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0C9E" w14:textId="77777777" w:rsidR="004070DE" w:rsidRDefault="00000000">
      <w:pPr>
        <w:jc w:val="center"/>
      </w:pPr>
      <w:r>
        <w:rPr>
          <w:b/>
        </w:rPr>
        <w:t>CARE (CAse REport) Checklist – Completed for Submission</w:t>
      </w:r>
    </w:p>
    <w:p w14:paraId="7F95FC43" w14:textId="77777777" w:rsidR="004070DE" w:rsidRDefault="00000000">
      <w:r>
        <w:t>Manuscript title: When the patient “goes under” without induction: psychogenic unresponsiveness mimicking general anesthesia — a case report</w:t>
      </w:r>
    </w:p>
    <w:p w14:paraId="6279F784" w14:textId="498D86F5" w:rsidR="004070DE" w:rsidRDefault="00000000">
      <w:r>
        <w:t>Journal: BMC Anesthesiology</w:t>
      </w:r>
    </w:p>
    <w:p w14:paraId="7C195BBD" w14:textId="77777777" w:rsidR="004070DE" w:rsidRDefault="00000000">
      <w:r>
        <w:t>This checklist follows the CARE guidelines (CARE 2013/2017). It documents where each reporting item is addressed in the manuscript. For items that are not applicable, “N/A” is indicated. Line/page numbers can be added after pagination if desired.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2414"/>
        <w:gridCol w:w="2154"/>
        <w:gridCol w:w="2149"/>
      </w:tblGrid>
      <w:tr w:rsidR="004070DE" w14:paraId="76A4B223" w14:textId="77777777">
        <w:tc>
          <w:tcPr>
            <w:tcW w:w="2160" w:type="dxa"/>
          </w:tcPr>
          <w:p w14:paraId="73E16B3A" w14:textId="77777777" w:rsidR="004070DE" w:rsidRDefault="00000000">
            <w:r>
              <w:t>CARE item</w:t>
            </w:r>
          </w:p>
        </w:tc>
        <w:tc>
          <w:tcPr>
            <w:tcW w:w="2160" w:type="dxa"/>
          </w:tcPr>
          <w:p w14:paraId="29DB7CCB" w14:textId="77777777" w:rsidR="004070DE" w:rsidRDefault="00000000">
            <w:r>
              <w:t>Requirement</w:t>
            </w:r>
          </w:p>
        </w:tc>
        <w:tc>
          <w:tcPr>
            <w:tcW w:w="2160" w:type="dxa"/>
          </w:tcPr>
          <w:p w14:paraId="644F40CD" w14:textId="77777777" w:rsidR="004070DE" w:rsidRDefault="00000000">
            <w:r>
              <w:t>How addressed in this manuscript</w:t>
            </w:r>
          </w:p>
        </w:tc>
        <w:tc>
          <w:tcPr>
            <w:tcW w:w="2160" w:type="dxa"/>
          </w:tcPr>
          <w:p w14:paraId="4F75D622" w14:textId="77777777" w:rsidR="004070DE" w:rsidRDefault="00000000">
            <w:r>
              <w:t>Section/Location</w:t>
            </w:r>
          </w:p>
        </w:tc>
      </w:tr>
      <w:tr w:rsidR="004070DE" w14:paraId="31E7D9F0" w14:textId="77777777">
        <w:tc>
          <w:tcPr>
            <w:tcW w:w="2160" w:type="dxa"/>
          </w:tcPr>
          <w:p w14:paraId="2752D61D" w14:textId="77777777" w:rsidR="004070DE" w:rsidRDefault="00000000">
            <w:r>
              <w:t>1. Title</w:t>
            </w:r>
          </w:p>
        </w:tc>
        <w:tc>
          <w:tcPr>
            <w:tcW w:w="2160" w:type="dxa"/>
          </w:tcPr>
          <w:p w14:paraId="2FECD181" w14:textId="77777777" w:rsidR="004070DE" w:rsidRDefault="00000000">
            <w:r>
              <w:t>Identify the report as a case report; include phenomenon of interest</w:t>
            </w:r>
          </w:p>
        </w:tc>
        <w:tc>
          <w:tcPr>
            <w:tcW w:w="2160" w:type="dxa"/>
          </w:tcPr>
          <w:p w14:paraId="2B2E19D5" w14:textId="77777777" w:rsidR="004070DE" w:rsidRDefault="00000000">
            <w:r>
              <w:t>Title identifies a case report and the phenomenon (psychogenic unresponsiveness mimicking anesthesia).</w:t>
            </w:r>
          </w:p>
        </w:tc>
        <w:tc>
          <w:tcPr>
            <w:tcW w:w="2160" w:type="dxa"/>
          </w:tcPr>
          <w:p w14:paraId="22A1BD4C" w14:textId="77777777" w:rsidR="004070DE" w:rsidRDefault="00000000">
            <w:r>
              <w:t>Title page</w:t>
            </w:r>
          </w:p>
        </w:tc>
      </w:tr>
      <w:tr w:rsidR="004070DE" w14:paraId="78BFFBF6" w14:textId="77777777">
        <w:tc>
          <w:tcPr>
            <w:tcW w:w="2160" w:type="dxa"/>
          </w:tcPr>
          <w:p w14:paraId="26A0910C" w14:textId="77777777" w:rsidR="004070DE" w:rsidRDefault="00000000">
            <w:r>
              <w:t>2. Keywords</w:t>
            </w:r>
          </w:p>
        </w:tc>
        <w:tc>
          <w:tcPr>
            <w:tcW w:w="2160" w:type="dxa"/>
          </w:tcPr>
          <w:p w14:paraId="78E9506C" w14:textId="77777777" w:rsidR="004070DE" w:rsidRDefault="00000000">
            <w:r>
              <w:t>3–10 keywords</w:t>
            </w:r>
          </w:p>
        </w:tc>
        <w:tc>
          <w:tcPr>
            <w:tcW w:w="2160" w:type="dxa"/>
          </w:tcPr>
          <w:p w14:paraId="29BF41FC" w14:textId="77777777" w:rsidR="004070DE" w:rsidRDefault="00000000">
            <w:r>
              <w:t>Provided (Psychogenic coma; Functional neurological disorder; …)</w:t>
            </w:r>
          </w:p>
        </w:tc>
        <w:tc>
          <w:tcPr>
            <w:tcW w:w="2160" w:type="dxa"/>
          </w:tcPr>
          <w:p w14:paraId="2953390A" w14:textId="77777777" w:rsidR="004070DE" w:rsidRDefault="00000000">
            <w:r>
              <w:t>Keywords</w:t>
            </w:r>
          </w:p>
        </w:tc>
      </w:tr>
      <w:tr w:rsidR="004070DE" w14:paraId="57F0633A" w14:textId="77777777">
        <w:tc>
          <w:tcPr>
            <w:tcW w:w="2160" w:type="dxa"/>
          </w:tcPr>
          <w:p w14:paraId="78320992" w14:textId="77777777" w:rsidR="004070DE" w:rsidRDefault="00000000">
            <w:r>
              <w:t>3. Abstract</w:t>
            </w:r>
          </w:p>
        </w:tc>
        <w:tc>
          <w:tcPr>
            <w:tcW w:w="2160" w:type="dxa"/>
          </w:tcPr>
          <w:p w14:paraId="32A613F6" w14:textId="77777777" w:rsidR="004070DE" w:rsidRDefault="00000000">
            <w:r>
              <w:t>Structured: Background, Case presentation, Conclusions; no references</w:t>
            </w:r>
          </w:p>
        </w:tc>
        <w:tc>
          <w:tcPr>
            <w:tcW w:w="2160" w:type="dxa"/>
          </w:tcPr>
          <w:p w14:paraId="285889D4" w14:textId="77777777" w:rsidR="004070DE" w:rsidRDefault="00000000">
            <w:r>
              <w:t>Structured abstract with Background / Case presentation / Conclusions.</w:t>
            </w:r>
          </w:p>
        </w:tc>
        <w:tc>
          <w:tcPr>
            <w:tcW w:w="2160" w:type="dxa"/>
          </w:tcPr>
          <w:p w14:paraId="67AC4C1A" w14:textId="77777777" w:rsidR="004070DE" w:rsidRDefault="00000000">
            <w:r>
              <w:t>Abstract</w:t>
            </w:r>
          </w:p>
        </w:tc>
      </w:tr>
      <w:tr w:rsidR="004070DE" w14:paraId="58DFC7AB" w14:textId="77777777">
        <w:tc>
          <w:tcPr>
            <w:tcW w:w="2160" w:type="dxa"/>
          </w:tcPr>
          <w:p w14:paraId="3C1B837C" w14:textId="77777777" w:rsidR="004070DE" w:rsidRDefault="00000000">
            <w:r>
              <w:t>4. Introduction (Background)</w:t>
            </w:r>
          </w:p>
        </w:tc>
        <w:tc>
          <w:tcPr>
            <w:tcW w:w="2160" w:type="dxa"/>
          </w:tcPr>
          <w:p w14:paraId="068FF69B" w14:textId="77777777" w:rsidR="004070DE" w:rsidRDefault="00000000">
            <w:r>
              <w:t>Brief context and rationale; objectives</w:t>
            </w:r>
          </w:p>
        </w:tc>
        <w:tc>
          <w:tcPr>
            <w:tcW w:w="2160" w:type="dxa"/>
          </w:tcPr>
          <w:p w14:paraId="5BF44185" w14:textId="77777777" w:rsidR="004070DE" w:rsidRDefault="00000000">
            <w:r>
              <w:t>Explains perioperative unresponsiveness and rationale for report.</w:t>
            </w:r>
          </w:p>
        </w:tc>
        <w:tc>
          <w:tcPr>
            <w:tcW w:w="2160" w:type="dxa"/>
          </w:tcPr>
          <w:p w14:paraId="44826169" w14:textId="77777777" w:rsidR="004070DE" w:rsidRDefault="00000000">
            <w:r>
              <w:t>Background</w:t>
            </w:r>
          </w:p>
        </w:tc>
      </w:tr>
      <w:tr w:rsidR="004070DE" w14:paraId="3279E16E" w14:textId="77777777">
        <w:tc>
          <w:tcPr>
            <w:tcW w:w="2160" w:type="dxa"/>
          </w:tcPr>
          <w:p w14:paraId="1BFBD2C0" w14:textId="77777777" w:rsidR="004070DE" w:rsidRDefault="00000000">
            <w:r>
              <w:t>5. Patient information</w:t>
            </w:r>
          </w:p>
        </w:tc>
        <w:tc>
          <w:tcPr>
            <w:tcW w:w="2160" w:type="dxa"/>
          </w:tcPr>
          <w:p w14:paraId="26D0CB3F" w14:textId="77777777" w:rsidR="004070DE" w:rsidRDefault="00000000">
            <w:r>
              <w:t>De-identified demographics, chief concerns, medical/family/social history</w:t>
            </w:r>
          </w:p>
        </w:tc>
        <w:tc>
          <w:tcPr>
            <w:tcW w:w="2160" w:type="dxa"/>
          </w:tcPr>
          <w:p w14:paraId="3311EBE8" w14:textId="77777777" w:rsidR="004070DE" w:rsidRDefault="00000000">
            <w:r>
              <w:t>72-year-old woman; diabetes, dementia, epilepsy; meds summarized; prior events.</w:t>
            </w:r>
          </w:p>
        </w:tc>
        <w:tc>
          <w:tcPr>
            <w:tcW w:w="2160" w:type="dxa"/>
          </w:tcPr>
          <w:p w14:paraId="5193E9B7" w14:textId="77777777" w:rsidR="004070DE" w:rsidRDefault="00000000">
            <w:r>
              <w:t>Case presentation</w:t>
            </w:r>
          </w:p>
        </w:tc>
      </w:tr>
      <w:tr w:rsidR="004070DE" w14:paraId="100C8846" w14:textId="77777777">
        <w:tc>
          <w:tcPr>
            <w:tcW w:w="2160" w:type="dxa"/>
          </w:tcPr>
          <w:p w14:paraId="08CA0B89" w14:textId="77777777" w:rsidR="004070DE" w:rsidRDefault="00000000">
            <w:r>
              <w:t>6. Clinical findings</w:t>
            </w:r>
          </w:p>
        </w:tc>
        <w:tc>
          <w:tcPr>
            <w:tcW w:w="2160" w:type="dxa"/>
          </w:tcPr>
          <w:p w14:paraId="4A2940B0" w14:textId="77777777" w:rsidR="004070DE" w:rsidRDefault="00000000">
            <w:r>
              <w:t>Relevant physical exam findings</w:t>
            </w:r>
          </w:p>
        </w:tc>
        <w:tc>
          <w:tcPr>
            <w:tcW w:w="2160" w:type="dxa"/>
          </w:tcPr>
          <w:p w14:paraId="2BA38970" w14:textId="77777777" w:rsidR="004070DE" w:rsidRDefault="00000000">
            <w:r>
              <w:t>Unresponsiveness with preserved respiration; vitals documented; neuro signs (pupils, tone).</w:t>
            </w:r>
          </w:p>
        </w:tc>
        <w:tc>
          <w:tcPr>
            <w:tcW w:w="2160" w:type="dxa"/>
          </w:tcPr>
          <w:p w14:paraId="3BDC5DF0" w14:textId="77777777" w:rsidR="004070DE" w:rsidRDefault="00000000">
            <w:r>
              <w:t>Case presentation</w:t>
            </w:r>
          </w:p>
        </w:tc>
      </w:tr>
      <w:tr w:rsidR="004070DE" w14:paraId="6B39C0A8" w14:textId="77777777">
        <w:tc>
          <w:tcPr>
            <w:tcW w:w="2160" w:type="dxa"/>
          </w:tcPr>
          <w:p w14:paraId="4BD48EDD" w14:textId="77777777" w:rsidR="004070DE" w:rsidRDefault="00000000">
            <w:r>
              <w:t>7. Timeline</w:t>
            </w:r>
          </w:p>
        </w:tc>
        <w:tc>
          <w:tcPr>
            <w:tcW w:w="2160" w:type="dxa"/>
          </w:tcPr>
          <w:p w14:paraId="34799F49" w14:textId="77777777" w:rsidR="004070DE" w:rsidRDefault="00000000">
            <w:r>
              <w:t>Important dates in a timeline figure or narrative</w:t>
            </w:r>
          </w:p>
        </w:tc>
        <w:tc>
          <w:tcPr>
            <w:tcW w:w="2160" w:type="dxa"/>
          </w:tcPr>
          <w:p w14:paraId="38E075AF" w14:textId="77777777" w:rsidR="004070DE" w:rsidRDefault="00000000">
            <w:r>
              <w:t xml:space="preserve">Two episodes dated 10/30 and 10/31/2025; perioperative </w:t>
            </w:r>
            <w:r>
              <w:lastRenderedPageBreak/>
              <w:t>sequence described.</w:t>
            </w:r>
          </w:p>
        </w:tc>
        <w:tc>
          <w:tcPr>
            <w:tcW w:w="2160" w:type="dxa"/>
          </w:tcPr>
          <w:p w14:paraId="160F7CF7" w14:textId="77777777" w:rsidR="004070DE" w:rsidRDefault="00000000">
            <w:r>
              <w:lastRenderedPageBreak/>
              <w:t>Case presentation</w:t>
            </w:r>
          </w:p>
        </w:tc>
      </w:tr>
      <w:tr w:rsidR="004070DE" w14:paraId="12A1B655" w14:textId="77777777">
        <w:tc>
          <w:tcPr>
            <w:tcW w:w="2160" w:type="dxa"/>
          </w:tcPr>
          <w:p w14:paraId="21A0DE53" w14:textId="77777777" w:rsidR="004070DE" w:rsidRDefault="00000000">
            <w:r>
              <w:t>8. Diagnostic assessment</w:t>
            </w:r>
          </w:p>
        </w:tc>
        <w:tc>
          <w:tcPr>
            <w:tcW w:w="2160" w:type="dxa"/>
          </w:tcPr>
          <w:p w14:paraId="337DE235" w14:textId="77777777" w:rsidR="004070DE" w:rsidRDefault="00000000">
            <w:r>
              <w:t>Differentials, tests, reasoning; diagnostic challenges; prognostic characteristics</w:t>
            </w:r>
          </w:p>
        </w:tc>
        <w:tc>
          <w:tcPr>
            <w:tcW w:w="2160" w:type="dxa"/>
          </w:tcPr>
          <w:p w14:paraId="7F5BCCBD" w14:textId="77777777" w:rsidR="004070DE" w:rsidRDefault="00000000">
            <w:r>
              <w:t>Differential (metabolic, neurologic, functional); POC glucose; CT/CTA; EEG; reasoning discussed.</w:t>
            </w:r>
          </w:p>
        </w:tc>
        <w:tc>
          <w:tcPr>
            <w:tcW w:w="2160" w:type="dxa"/>
          </w:tcPr>
          <w:p w14:paraId="7FCA656B" w14:textId="77777777" w:rsidR="004070DE" w:rsidRDefault="00000000">
            <w:r>
              <w:t>Case presentation; Discussion</w:t>
            </w:r>
          </w:p>
        </w:tc>
      </w:tr>
      <w:tr w:rsidR="004070DE" w14:paraId="104CF2A5" w14:textId="77777777">
        <w:tc>
          <w:tcPr>
            <w:tcW w:w="2160" w:type="dxa"/>
          </w:tcPr>
          <w:p w14:paraId="60DC831D" w14:textId="77777777" w:rsidR="004070DE" w:rsidRDefault="00000000">
            <w:r>
              <w:t>9. Therapeutic intervention</w:t>
            </w:r>
          </w:p>
        </w:tc>
        <w:tc>
          <w:tcPr>
            <w:tcW w:w="2160" w:type="dxa"/>
          </w:tcPr>
          <w:p w14:paraId="069EDE22" w14:textId="77777777" w:rsidR="004070DE" w:rsidRDefault="00000000">
            <w:r>
              <w:t>Types, administration, changes</w:t>
            </w:r>
          </w:p>
        </w:tc>
        <w:tc>
          <w:tcPr>
            <w:tcW w:w="2160" w:type="dxa"/>
          </w:tcPr>
          <w:p w14:paraId="17BC75BA" w14:textId="77777777" w:rsidR="004070DE" w:rsidRDefault="00000000">
            <w:r>
              <w:t>Hyperglycemia correction (insulin); decision to delay surgery; regional anesthesia without sedatives.</w:t>
            </w:r>
          </w:p>
        </w:tc>
        <w:tc>
          <w:tcPr>
            <w:tcW w:w="2160" w:type="dxa"/>
          </w:tcPr>
          <w:p w14:paraId="33FD1CF7" w14:textId="77777777" w:rsidR="004070DE" w:rsidRDefault="00000000">
            <w:r>
              <w:t>Case presentation</w:t>
            </w:r>
          </w:p>
        </w:tc>
      </w:tr>
      <w:tr w:rsidR="004070DE" w14:paraId="7EFB79AF" w14:textId="77777777">
        <w:tc>
          <w:tcPr>
            <w:tcW w:w="2160" w:type="dxa"/>
          </w:tcPr>
          <w:p w14:paraId="73055F48" w14:textId="77777777" w:rsidR="004070DE" w:rsidRDefault="00000000">
            <w:r>
              <w:t>10. Follow-up and outcomes</w:t>
            </w:r>
          </w:p>
        </w:tc>
        <w:tc>
          <w:tcPr>
            <w:tcW w:w="2160" w:type="dxa"/>
          </w:tcPr>
          <w:p w14:paraId="302547F7" w14:textId="77777777" w:rsidR="004070DE" w:rsidRDefault="00000000">
            <w:r>
              <w:t>Clinical course, outcomes, patient-reported outcomes if available</w:t>
            </w:r>
          </w:p>
        </w:tc>
        <w:tc>
          <w:tcPr>
            <w:tcW w:w="2160" w:type="dxa"/>
          </w:tcPr>
          <w:p w14:paraId="21469D7B" w14:textId="77777777" w:rsidR="004070DE" w:rsidRDefault="00000000">
            <w:r>
              <w:t>Spontaneous recovery to baseline; discharge.</w:t>
            </w:r>
          </w:p>
        </w:tc>
        <w:tc>
          <w:tcPr>
            <w:tcW w:w="2160" w:type="dxa"/>
          </w:tcPr>
          <w:p w14:paraId="2D144DDA" w14:textId="77777777" w:rsidR="004070DE" w:rsidRDefault="00000000">
            <w:r>
              <w:t>Case presentation</w:t>
            </w:r>
          </w:p>
        </w:tc>
      </w:tr>
      <w:tr w:rsidR="004070DE" w14:paraId="28B6D682" w14:textId="77777777">
        <w:tc>
          <w:tcPr>
            <w:tcW w:w="2160" w:type="dxa"/>
          </w:tcPr>
          <w:p w14:paraId="10783872" w14:textId="77777777" w:rsidR="004070DE" w:rsidRDefault="00000000">
            <w:r>
              <w:t>11. Discussion</w:t>
            </w:r>
          </w:p>
        </w:tc>
        <w:tc>
          <w:tcPr>
            <w:tcW w:w="2160" w:type="dxa"/>
          </w:tcPr>
          <w:p w14:paraId="6F1A2947" w14:textId="77777777" w:rsidR="004070DE" w:rsidRDefault="00000000">
            <w:r>
              <w:t>Strengths/limitations, literature review, rationale for conclusions, key takeaways</w:t>
            </w:r>
          </w:p>
        </w:tc>
        <w:tc>
          <w:tcPr>
            <w:tcW w:w="2160" w:type="dxa"/>
          </w:tcPr>
          <w:p w14:paraId="59AE8E04" w14:textId="77777777" w:rsidR="004070DE" w:rsidRDefault="00000000">
            <w:r>
              <w:t>Literature context and implications for anesthesiology practice; limitations noted implicitly.</w:t>
            </w:r>
          </w:p>
        </w:tc>
        <w:tc>
          <w:tcPr>
            <w:tcW w:w="2160" w:type="dxa"/>
          </w:tcPr>
          <w:p w14:paraId="188B07CC" w14:textId="77777777" w:rsidR="004070DE" w:rsidRDefault="00000000">
            <w:r>
              <w:t>Discussion and Conclusions</w:t>
            </w:r>
          </w:p>
        </w:tc>
      </w:tr>
      <w:tr w:rsidR="004070DE" w14:paraId="034BDDA2" w14:textId="77777777">
        <w:tc>
          <w:tcPr>
            <w:tcW w:w="2160" w:type="dxa"/>
          </w:tcPr>
          <w:p w14:paraId="094FF1F3" w14:textId="77777777" w:rsidR="004070DE" w:rsidRDefault="00000000">
            <w:r>
              <w:t>12. Patient perspective</w:t>
            </w:r>
          </w:p>
        </w:tc>
        <w:tc>
          <w:tcPr>
            <w:tcW w:w="2160" w:type="dxa"/>
          </w:tcPr>
          <w:p w14:paraId="5B01BE02" w14:textId="77777777" w:rsidR="004070DE" w:rsidRDefault="00000000">
            <w:r>
              <w:t>Patient’s or caregiver’s perspective when available</w:t>
            </w:r>
          </w:p>
        </w:tc>
        <w:tc>
          <w:tcPr>
            <w:tcW w:w="2160" w:type="dxa"/>
          </w:tcPr>
          <w:p w14:paraId="6CE33E8C" w14:textId="77777777" w:rsidR="004070DE" w:rsidRDefault="00000000">
            <w:r>
              <w:t>N/A (patient has dementia; caregiver perspective not recorded).</w:t>
            </w:r>
          </w:p>
        </w:tc>
        <w:tc>
          <w:tcPr>
            <w:tcW w:w="2160" w:type="dxa"/>
          </w:tcPr>
          <w:p w14:paraId="64E3694F" w14:textId="77777777" w:rsidR="004070DE" w:rsidRDefault="00000000">
            <w:r>
              <w:t>N/A</w:t>
            </w:r>
          </w:p>
        </w:tc>
      </w:tr>
      <w:tr w:rsidR="004070DE" w14:paraId="12C613F8" w14:textId="77777777">
        <w:tc>
          <w:tcPr>
            <w:tcW w:w="2160" w:type="dxa"/>
          </w:tcPr>
          <w:p w14:paraId="108252D7" w14:textId="77777777" w:rsidR="004070DE" w:rsidRDefault="00000000">
            <w:r>
              <w:t>13. Informed consent</w:t>
            </w:r>
          </w:p>
        </w:tc>
        <w:tc>
          <w:tcPr>
            <w:tcW w:w="2160" w:type="dxa"/>
          </w:tcPr>
          <w:p w14:paraId="72B0C46B" w14:textId="77777777" w:rsidR="004070DE" w:rsidRDefault="00000000">
            <w:r>
              <w:t>Consent for publication of case details/images</w:t>
            </w:r>
          </w:p>
        </w:tc>
        <w:tc>
          <w:tcPr>
            <w:tcW w:w="2160" w:type="dxa"/>
          </w:tcPr>
          <w:p w14:paraId="026C2434" w14:textId="77777777" w:rsidR="004070DE" w:rsidRDefault="00000000">
            <w:r>
              <w:t>Written consent from legally authorized representative obtained; stated in Declarations.</w:t>
            </w:r>
          </w:p>
        </w:tc>
        <w:tc>
          <w:tcPr>
            <w:tcW w:w="2160" w:type="dxa"/>
          </w:tcPr>
          <w:p w14:paraId="09B57E97" w14:textId="77777777" w:rsidR="004070DE" w:rsidRDefault="00000000">
            <w:r>
              <w:t>Declarations – Consent for publication</w:t>
            </w:r>
          </w:p>
        </w:tc>
      </w:tr>
      <w:tr w:rsidR="004070DE" w14:paraId="563F0B17" w14:textId="77777777">
        <w:tc>
          <w:tcPr>
            <w:tcW w:w="2160" w:type="dxa"/>
          </w:tcPr>
          <w:p w14:paraId="53F8C289" w14:textId="77777777" w:rsidR="004070DE" w:rsidRDefault="00000000">
            <w:r>
              <w:t>14. Diagnostic challenges</w:t>
            </w:r>
          </w:p>
        </w:tc>
        <w:tc>
          <w:tcPr>
            <w:tcW w:w="2160" w:type="dxa"/>
          </w:tcPr>
          <w:p w14:paraId="094BEE3B" w14:textId="77777777" w:rsidR="004070DE" w:rsidRDefault="00000000">
            <w:r>
              <w:t>Access to care, cultural/organizational issues, technical limitations</w:t>
            </w:r>
          </w:p>
        </w:tc>
        <w:tc>
          <w:tcPr>
            <w:tcW w:w="2160" w:type="dxa"/>
          </w:tcPr>
          <w:p w14:paraId="40FF112B" w14:textId="77777777" w:rsidR="004070DE" w:rsidRDefault="00000000">
            <w:r>
              <w:t>EEG technically limited; perioperative context; decision to postpone surgery.</w:t>
            </w:r>
          </w:p>
        </w:tc>
        <w:tc>
          <w:tcPr>
            <w:tcW w:w="2160" w:type="dxa"/>
          </w:tcPr>
          <w:p w14:paraId="14428041" w14:textId="77777777" w:rsidR="004070DE" w:rsidRDefault="00000000">
            <w:r>
              <w:t>Case presentation; Discussion</w:t>
            </w:r>
          </w:p>
        </w:tc>
      </w:tr>
      <w:tr w:rsidR="004070DE" w14:paraId="45ECBBFB" w14:textId="77777777">
        <w:tc>
          <w:tcPr>
            <w:tcW w:w="2160" w:type="dxa"/>
          </w:tcPr>
          <w:p w14:paraId="4B994427" w14:textId="77777777" w:rsidR="004070DE" w:rsidRDefault="00000000">
            <w:r>
              <w:t>15. Adverse events</w:t>
            </w:r>
          </w:p>
        </w:tc>
        <w:tc>
          <w:tcPr>
            <w:tcW w:w="2160" w:type="dxa"/>
          </w:tcPr>
          <w:p w14:paraId="51D85AFE" w14:textId="77777777" w:rsidR="004070DE" w:rsidRDefault="00000000">
            <w:r>
              <w:t>Adverse or unanticipated events</w:t>
            </w:r>
          </w:p>
        </w:tc>
        <w:tc>
          <w:tcPr>
            <w:tcW w:w="2160" w:type="dxa"/>
          </w:tcPr>
          <w:p w14:paraId="74279F68" w14:textId="77777777" w:rsidR="004070DE" w:rsidRDefault="00000000">
            <w:r>
              <w:t>Unexpected unresponsiveness; no harm from unnecessary interventions due to proper triage.</w:t>
            </w:r>
          </w:p>
        </w:tc>
        <w:tc>
          <w:tcPr>
            <w:tcW w:w="2160" w:type="dxa"/>
          </w:tcPr>
          <w:p w14:paraId="2F1B5085" w14:textId="77777777" w:rsidR="004070DE" w:rsidRDefault="00000000">
            <w:r>
              <w:t>Case presentation</w:t>
            </w:r>
          </w:p>
        </w:tc>
      </w:tr>
      <w:tr w:rsidR="004070DE" w14:paraId="455B2D4A" w14:textId="77777777">
        <w:tc>
          <w:tcPr>
            <w:tcW w:w="2160" w:type="dxa"/>
          </w:tcPr>
          <w:p w14:paraId="25F478D5" w14:textId="77777777" w:rsidR="004070DE" w:rsidRDefault="00000000">
            <w:r>
              <w:t>16. Conclusions (take‑home message)</w:t>
            </w:r>
          </w:p>
        </w:tc>
        <w:tc>
          <w:tcPr>
            <w:tcW w:w="2160" w:type="dxa"/>
          </w:tcPr>
          <w:p w14:paraId="2ECC4564" w14:textId="77777777" w:rsidR="004070DE" w:rsidRDefault="00000000">
            <w:r>
              <w:t>Key lessons</w:t>
            </w:r>
          </w:p>
        </w:tc>
        <w:tc>
          <w:tcPr>
            <w:tcW w:w="2160" w:type="dxa"/>
          </w:tcPr>
          <w:p w14:paraId="6D8EE824" w14:textId="77777777" w:rsidR="004070DE" w:rsidRDefault="00000000">
            <w:r>
              <w:t>Algorithmic bedside approach; avoid iatrogenesis; multidisciplinary coordination.</w:t>
            </w:r>
          </w:p>
        </w:tc>
        <w:tc>
          <w:tcPr>
            <w:tcW w:w="2160" w:type="dxa"/>
          </w:tcPr>
          <w:p w14:paraId="1E6C8C9D" w14:textId="77777777" w:rsidR="004070DE" w:rsidRDefault="00000000">
            <w:r>
              <w:t>Discussion and Conclusions</w:t>
            </w:r>
          </w:p>
        </w:tc>
      </w:tr>
      <w:tr w:rsidR="004070DE" w14:paraId="00B173EB" w14:textId="77777777">
        <w:tc>
          <w:tcPr>
            <w:tcW w:w="2160" w:type="dxa"/>
          </w:tcPr>
          <w:p w14:paraId="55E549F2" w14:textId="77777777" w:rsidR="004070DE" w:rsidRDefault="00000000">
            <w:r>
              <w:lastRenderedPageBreak/>
              <w:t>17. Ethics statement</w:t>
            </w:r>
          </w:p>
        </w:tc>
        <w:tc>
          <w:tcPr>
            <w:tcW w:w="2160" w:type="dxa"/>
          </w:tcPr>
          <w:p w14:paraId="5852AF7D" w14:textId="77777777" w:rsidR="004070DE" w:rsidRDefault="00000000">
            <w:r>
              <w:t>IRB/ethics requirements and justification</w:t>
            </w:r>
          </w:p>
        </w:tc>
        <w:tc>
          <w:tcPr>
            <w:tcW w:w="2160" w:type="dxa"/>
          </w:tcPr>
          <w:p w14:paraId="772341CC" w14:textId="77777777" w:rsidR="004070DE" w:rsidRDefault="00000000">
            <w:r>
              <w:t>Single-patient case report; IRB review not required per institutional policy; stated in Declarations.</w:t>
            </w:r>
          </w:p>
        </w:tc>
        <w:tc>
          <w:tcPr>
            <w:tcW w:w="2160" w:type="dxa"/>
          </w:tcPr>
          <w:p w14:paraId="1EA024D3" w14:textId="77777777" w:rsidR="004070DE" w:rsidRDefault="00000000">
            <w:r>
              <w:t>Declarations – Ethics approval</w:t>
            </w:r>
          </w:p>
        </w:tc>
      </w:tr>
    </w:tbl>
    <w:p w14:paraId="32B8B9DE" w14:textId="77777777" w:rsidR="004070DE" w:rsidRDefault="004070DE"/>
    <w:p w14:paraId="73BF35AA" w14:textId="77777777" w:rsidR="004070DE" w:rsidRDefault="00000000">
      <w:r>
        <w:t>Declaration regarding IRB: Per institutional policy, single-patient case reports do not constitute human subjects research and do not require IRB review. This is stated in the manuscript Declarations.</w:t>
      </w:r>
    </w:p>
    <w:p w14:paraId="097AB30F" w14:textId="77777777" w:rsidR="004070DE" w:rsidRDefault="00000000">
      <w:r>
        <w:t>Declaration regarding identifiers: All potentially identifying information has been removed or anonymized.</w:t>
      </w:r>
    </w:p>
    <w:sectPr w:rsidR="004070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135168">
    <w:abstractNumId w:val="8"/>
  </w:num>
  <w:num w:numId="2" w16cid:durableId="1400709825">
    <w:abstractNumId w:val="6"/>
  </w:num>
  <w:num w:numId="3" w16cid:durableId="1553494944">
    <w:abstractNumId w:val="5"/>
  </w:num>
  <w:num w:numId="4" w16cid:durableId="407385954">
    <w:abstractNumId w:val="4"/>
  </w:num>
  <w:num w:numId="5" w16cid:durableId="1715078623">
    <w:abstractNumId w:val="7"/>
  </w:num>
  <w:num w:numId="6" w16cid:durableId="2029521996">
    <w:abstractNumId w:val="3"/>
  </w:num>
  <w:num w:numId="7" w16cid:durableId="1782265329">
    <w:abstractNumId w:val="2"/>
  </w:num>
  <w:num w:numId="8" w16cid:durableId="1954825083">
    <w:abstractNumId w:val="1"/>
  </w:num>
  <w:num w:numId="9" w16cid:durableId="210626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70DE"/>
    <w:rsid w:val="005616F6"/>
    <w:rsid w:val="00A475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D5235"/>
  <w14:defaultImageDpi w14:val="300"/>
  <w15:docId w15:val="{F14A933E-3709-4BC4-A9DF-FFC35D01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deep kanth</cp:lastModifiedBy>
  <cp:revision>2</cp:revision>
  <dcterms:created xsi:type="dcterms:W3CDTF">2013-12-23T23:15:00Z</dcterms:created>
  <dcterms:modified xsi:type="dcterms:W3CDTF">2025-11-11T18:04:00Z</dcterms:modified>
  <cp:category/>
</cp:coreProperties>
</file>