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48BA78" w14:textId="2B0F7E2C" w:rsidR="0073710A" w:rsidRPr="006A4404" w:rsidRDefault="0073710A" w:rsidP="00A20F9D">
      <w:pPr>
        <w:rPr>
          <w:rFonts w:ascii="Arial" w:hAnsi="Arial" w:cs="Arial"/>
          <w:b/>
          <w:bCs/>
          <w:sz w:val="22"/>
          <w:szCs w:val="22"/>
        </w:rPr>
      </w:pPr>
      <w:r w:rsidRPr="006A4404">
        <w:rPr>
          <w:rFonts w:ascii="Arial" w:hAnsi="Arial" w:cs="Arial"/>
          <w:b/>
          <w:bCs/>
          <w:sz w:val="22"/>
          <w:szCs w:val="22"/>
        </w:rPr>
        <w:t>Supplementary Materials</w:t>
      </w:r>
    </w:p>
    <w:p w14:paraId="3DCC0F81" w14:textId="77777777" w:rsidR="006A4404" w:rsidRPr="006A4404" w:rsidRDefault="006A4404" w:rsidP="006A4404">
      <w:pPr>
        <w:rPr>
          <w:rFonts w:ascii="Arial" w:hAnsi="Arial" w:cs="Arial"/>
          <w:b/>
          <w:bCs/>
          <w:sz w:val="22"/>
          <w:szCs w:val="22"/>
        </w:rPr>
      </w:pPr>
      <w:r w:rsidRPr="006A4404">
        <w:rPr>
          <w:rFonts w:ascii="Arial" w:hAnsi="Arial" w:cs="Arial"/>
          <w:b/>
          <w:bCs/>
          <w:sz w:val="22"/>
          <w:szCs w:val="22"/>
        </w:rPr>
        <w:t>S1 Ablation Study</w:t>
      </w:r>
    </w:p>
    <w:p w14:paraId="587BA3F3" w14:textId="77777777" w:rsidR="006A4404" w:rsidRPr="006A4404" w:rsidRDefault="006A4404" w:rsidP="006A4404">
      <w:pPr>
        <w:rPr>
          <w:rFonts w:ascii="Arial" w:hAnsi="Arial" w:cs="Arial"/>
          <w:sz w:val="22"/>
          <w:szCs w:val="22"/>
        </w:rPr>
      </w:pPr>
      <w:r w:rsidRPr="006A4404">
        <w:rPr>
          <w:rFonts w:ascii="Arial" w:hAnsi="Arial" w:cs="Arial"/>
          <w:sz w:val="22"/>
          <w:szCs w:val="22"/>
        </w:rPr>
        <w:t>To rigorously evaluate the contributions of different components in our framework, we conducted a comprehensive ablation study across various configurations: 1D Projection (baseline), 2D Projection, 3D Projection, 1D without patch embeddings, and 2D without patch embeddings.  These configurations test different aspects of our architecture: 1D, 2D, and 3D Projection variants modify the dimensionality of the attention mechanism (projecting instance features onto 1-dimensional, 2-dimensional, or 3-dimensional spaces for attention weight calculation), while the "without patch embeddings" variants remove tissue-level context by using only cell-level information without the corresponding patch-level features from the same spatial regions. Performance was assessed using accuracy, sensitivity, specificity, and AUC on both validation and test sets.</w:t>
      </w:r>
    </w:p>
    <w:p w14:paraId="1A4D842F" w14:textId="77777777" w:rsidR="006A4404" w:rsidRPr="006A4404" w:rsidRDefault="006A4404" w:rsidP="006A4404">
      <w:pPr>
        <w:rPr>
          <w:rFonts w:ascii="Arial" w:hAnsi="Arial" w:cs="Arial"/>
          <w:b/>
          <w:bCs/>
          <w:sz w:val="22"/>
          <w:szCs w:val="22"/>
        </w:rPr>
      </w:pPr>
      <w:r w:rsidRPr="006A4404">
        <w:rPr>
          <w:rFonts w:ascii="Arial" w:hAnsi="Arial" w:cs="Arial"/>
          <w:b/>
          <w:bCs/>
          <w:sz w:val="22"/>
          <w:szCs w:val="22"/>
        </w:rPr>
        <w:t>S1.1 Validation Performance Comparison</w:t>
      </w:r>
    </w:p>
    <w:p w14:paraId="2AD4CFEC" w14:textId="77777777" w:rsidR="006A4404" w:rsidRPr="006A4404" w:rsidRDefault="006A4404" w:rsidP="006A4404">
      <w:pPr>
        <w:rPr>
          <w:rFonts w:ascii="Arial" w:hAnsi="Arial" w:cs="Arial"/>
          <w:sz w:val="22"/>
          <w:szCs w:val="22"/>
        </w:rPr>
      </w:pPr>
      <w:r w:rsidRPr="006A4404">
        <w:rPr>
          <w:rFonts w:ascii="Arial" w:hAnsi="Arial" w:cs="Arial"/>
          <w:sz w:val="22"/>
          <w:szCs w:val="22"/>
        </w:rPr>
        <w:t>The 1D Projection (baseline) achieved a mean validation AUC of 67.63 ± 3.34, with sensitivity and specificity at 59.92 ± 2.91 and 63.92 ± 4.74, respectively. The 2D Projection demonstrated significant improvements, achieving a 3.6% higher mean validation AUC (70.06 ± 1.95) than the baseline. Notably, the 2D variant improved sensitivity by 12.7% (67.55 ± 7.37 vs. 59.92 ± 2.91), confirming its ability to better model feature interactions through orthogonal attention mechanisms. Expanding to 3D Projection did not yield further gains; instead, validation AUC dropped by 3.3% (67.61 ± 6.93) compared to 2D, with sensitivity and specificity variance spiking (&gt; ±10.01 std), indicating overparameterization and training instability.</w:t>
      </w:r>
    </w:p>
    <w:p w14:paraId="41396A33" w14:textId="77777777" w:rsidR="006A4404" w:rsidRPr="006A4404" w:rsidRDefault="006A4404" w:rsidP="006A4404">
      <w:pPr>
        <w:rPr>
          <w:rFonts w:ascii="Arial" w:hAnsi="Arial" w:cs="Arial"/>
          <w:sz w:val="22"/>
          <w:szCs w:val="22"/>
        </w:rPr>
      </w:pPr>
      <w:r w:rsidRPr="006A4404">
        <w:rPr>
          <w:rFonts w:ascii="Arial" w:hAnsi="Arial" w:cs="Arial"/>
          <w:sz w:val="22"/>
          <w:szCs w:val="22"/>
        </w:rPr>
        <w:t>The most severe degradation occurred when patch embeddings were removed. The 1D variant without patches collapsed to a 15.3% lower validation AUC (57.31 ± 3.83) than the baseline, while the 2D variant preserved marginally better performance (62.08 ± 4.83 AUC), still 8.4% worse than standard 2D. This underscores that patch embeddings contribute critically to model performance, meaning that they capture some complementary information to the cell-level representations.</w:t>
      </w:r>
    </w:p>
    <w:p w14:paraId="52ABFBB8" w14:textId="77777777" w:rsidR="006A4404" w:rsidRPr="006A4404" w:rsidRDefault="006A4404" w:rsidP="006A4404">
      <w:pPr>
        <w:rPr>
          <w:rFonts w:ascii="Arial" w:hAnsi="Arial" w:cs="Arial"/>
          <w:b/>
          <w:bCs/>
          <w:sz w:val="22"/>
          <w:szCs w:val="22"/>
        </w:rPr>
      </w:pPr>
      <w:r w:rsidRPr="006A4404">
        <w:rPr>
          <w:rFonts w:ascii="Arial" w:hAnsi="Arial" w:cs="Arial"/>
          <w:b/>
          <w:bCs/>
          <w:sz w:val="22"/>
          <w:szCs w:val="22"/>
        </w:rPr>
        <w:t>S1.2 Test Set Confirmation</w:t>
      </w:r>
    </w:p>
    <w:p w14:paraId="2AE4AFD7" w14:textId="77777777" w:rsidR="006A4404" w:rsidRPr="006A4404" w:rsidRDefault="006A4404" w:rsidP="006A4404">
      <w:pPr>
        <w:rPr>
          <w:rFonts w:ascii="Arial" w:hAnsi="Arial" w:cs="Arial"/>
          <w:sz w:val="22"/>
          <w:szCs w:val="22"/>
        </w:rPr>
      </w:pPr>
      <w:r w:rsidRPr="006A4404">
        <w:rPr>
          <w:rFonts w:ascii="Arial" w:hAnsi="Arial" w:cs="Arial"/>
          <w:sz w:val="22"/>
          <w:szCs w:val="22"/>
        </w:rPr>
        <w:t>Test results mirrored validation trends: 2D Projection achieved the highest mean AUC (74.28 ± 3.07), outperforming 1D by 4.9% (70.84 ± 2.48) and 3D by 3.9% (71.50 ± 2.00). Specificity stability also improved (2D std: ±5.78 vs. 1D: ±6.38), reinforcing its robustness. Removing patch embeddings consistently degraded test metrics, validating our design choice to retain them.</w:t>
      </w:r>
    </w:p>
    <w:p w14:paraId="223A9776" w14:textId="77777777" w:rsidR="006A4404" w:rsidRDefault="006A4404" w:rsidP="006A4404">
      <w:pPr>
        <w:rPr>
          <w:rFonts w:ascii="Arial" w:hAnsi="Arial" w:cs="Arial"/>
          <w:sz w:val="22"/>
          <w:szCs w:val="22"/>
        </w:rPr>
      </w:pPr>
      <w:r w:rsidRPr="006A4404">
        <w:rPr>
          <w:rFonts w:ascii="Arial" w:hAnsi="Arial" w:cs="Arial"/>
          <w:sz w:val="22"/>
          <w:szCs w:val="22"/>
        </w:rPr>
        <w:t>The final model (2D attention with patch embeddings) was selected based on validation metrics, with test results and cell-specific analyses further corroborating its advantage, see Table S1 for detailed results. This systematic evaluation ensures that our design decisions are empirically grounded, maximizing both discriminative power and robustness.</w:t>
      </w:r>
    </w:p>
    <w:p w14:paraId="68F24F02" w14:textId="309CF9C1" w:rsidR="00EF3990" w:rsidRPr="00A57EC3" w:rsidRDefault="00EF3990" w:rsidP="006A4404">
      <w:pPr>
        <w:rPr>
          <w:rFonts w:ascii="Arial" w:hAnsi="Arial" w:cs="Arial"/>
          <w:i/>
          <w:sz w:val="22"/>
          <w:szCs w:val="22"/>
        </w:rPr>
      </w:pPr>
      <w:r w:rsidRPr="00A57EC3">
        <w:rPr>
          <w:rFonts w:ascii="Arial" w:hAnsi="Arial" w:cs="Arial"/>
          <w:b/>
          <w:i/>
          <w:sz w:val="22"/>
          <w:szCs w:val="22"/>
        </w:rPr>
        <w:t>Table S1:</w:t>
      </w:r>
      <w:r w:rsidRPr="00A57EC3">
        <w:rPr>
          <w:rFonts w:ascii="Arial" w:hAnsi="Arial" w:cs="Arial"/>
          <w:i/>
          <w:sz w:val="22"/>
          <w:szCs w:val="22"/>
        </w:rPr>
        <w:t xml:space="preserve"> Performance comparison across ablation settings, showing validation and test results (mean ± std) for models with different projection dimensions (1D, 2D, 3D) and patch embedding configurations. Bold values highlight top-performing configurations per metric, while the underlined show the second best. P.E. denotes patch embeddings, A.P. denotes attention projection, Acc stands for accuracy, Sen for sensitivity, and Spe for specificity.</w:t>
      </w:r>
    </w:p>
    <w:tbl>
      <w:tblPr>
        <w:tblStyle w:val="ListTable1Light"/>
        <w:tblW w:w="10529" w:type="dxa"/>
        <w:tblLook w:val="06A0" w:firstRow="1" w:lastRow="0" w:firstColumn="1" w:lastColumn="0" w:noHBand="1" w:noVBand="1"/>
      </w:tblPr>
      <w:tblGrid>
        <w:gridCol w:w="1127"/>
        <w:gridCol w:w="975"/>
        <w:gridCol w:w="1336"/>
        <w:gridCol w:w="1121"/>
        <w:gridCol w:w="1121"/>
        <w:gridCol w:w="1033"/>
        <w:gridCol w:w="954"/>
        <w:gridCol w:w="954"/>
        <w:gridCol w:w="954"/>
        <w:gridCol w:w="954"/>
      </w:tblGrid>
      <w:tr w:rsidR="00241F75" w:rsidRPr="00F916A5" w14:paraId="7069EC2B" w14:textId="77777777" w:rsidTr="004F1D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dxa"/>
            <w:gridSpan w:val="2"/>
          </w:tcPr>
          <w:p w14:paraId="32EA3033" w14:textId="77777777" w:rsidR="00241F75" w:rsidRPr="00920A07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20A07">
              <w:rPr>
                <w:rFonts w:ascii="Times New Roman" w:hAnsi="Times New Roman" w:cs="Times New Roman"/>
                <w:sz w:val="16"/>
                <w:szCs w:val="16"/>
              </w:rPr>
              <w:t>Ablation Settings</w:t>
            </w:r>
          </w:p>
        </w:tc>
        <w:tc>
          <w:tcPr>
            <w:tcW w:w="4576" w:type="dxa"/>
            <w:gridSpan w:val="4"/>
          </w:tcPr>
          <w:p w14:paraId="5D47E260" w14:textId="77777777" w:rsidR="00241F75" w:rsidRPr="00F916A5" w:rsidRDefault="00241F75" w:rsidP="001403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Validation Results</w:t>
            </w:r>
          </w:p>
        </w:tc>
        <w:tc>
          <w:tcPr>
            <w:tcW w:w="0" w:type="auto"/>
            <w:gridSpan w:val="4"/>
          </w:tcPr>
          <w:p w14:paraId="29C47284" w14:textId="77777777" w:rsidR="00241F75" w:rsidRPr="00F916A5" w:rsidRDefault="00241F75" w:rsidP="001403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Test Results</w:t>
            </w:r>
          </w:p>
        </w:tc>
      </w:tr>
      <w:tr w:rsidR="00241F75" w:rsidRPr="00F916A5" w14:paraId="6B20C6B1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2A9632FF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P.E.</w:t>
            </w:r>
          </w:p>
        </w:tc>
        <w:tc>
          <w:tcPr>
            <w:tcW w:w="975" w:type="dxa"/>
          </w:tcPr>
          <w:p w14:paraId="5F2F2066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A.P.</w:t>
            </w:r>
          </w:p>
        </w:tc>
        <w:tc>
          <w:tcPr>
            <w:tcW w:w="1233" w:type="dxa"/>
          </w:tcPr>
          <w:p w14:paraId="2DFAD900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Acc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uracy</w:t>
            </w:r>
          </w:p>
        </w:tc>
        <w:tc>
          <w:tcPr>
            <w:tcW w:w="0" w:type="auto"/>
          </w:tcPr>
          <w:p w14:paraId="0B6396B7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Sen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sitivity</w:t>
            </w:r>
          </w:p>
        </w:tc>
        <w:tc>
          <w:tcPr>
            <w:tcW w:w="0" w:type="auto"/>
          </w:tcPr>
          <w:p w14:paraId="0699A96D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Spe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cificity</w:t>
            </w:r>
          </w:p>
        </w:tc>
        <w:tc>
          <w:tcPr>
            <w:tcW w:w="0" w:type="auto"/>
          </w:tcPr>
          <w:p w14:paraId="50055DE3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AUC</w:t>
            </w:r>
          </w:p>
        </w:tc>
        <w:tc>
          <w:tcPr>
            <w:tcW w:w="0" w:type="auto"/>
          </w:tcPr>
          <w:p w14:paraId="78EFBC8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Acc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uracy</w:t>
            </w:r>
          </w:p>
        </w:tc>
        <w:tc>
          <w:tcPr>
            <w:tcW w:w="0" w:type="auto"/>
          </w:tcPr>
          <w:p w14:paraId="201FA869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Sen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sitivity</w:t>
            </w:r>
          </w:p>
        </w:tc>
        <w:tc>
          <w:tcPr>
            <w:tcW w:w="0" w:type="auto"/>
          </w:tcPr>
          <w:p w14:paraId="798C8E3F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Spe</w:t>
            </w: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cificity</w:t>
            </w:r>
          </w:p>
        </w:tc>
        <w:tc>
          <w:tcPr>
            <w:tcW w:w="0" w:type="auto"/>
          </w:tcPr>
          <w:p w14:paraId="2039F96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AUC</w:t>
            </w:r>
          </w:p>
        </w:tc>
      </w:tr>
      <w:tr w:rsidR="00241F75" w:rsidRPr="00F916A5" w14:paraId="32963196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637366F0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Wingdings" w:eastAsia="Wingdings" w:hAnsi="Wingdings" w:cs="Wingdings"/>
                <w:sz w:val="16"/>
                <w:szCs w:val="16"/>
              </w:rPr>
              <w:t>ü</w:t>
            </w:r>
          </w:p>
        </w:tc>
        <w:tc>
          <w:tcPr>
            <w:tcW w:w="975" w:type="dxa"/>
          </w:tcPr>
          <w:p w14:paraId="5D410217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1D</w:t>
            </w:r>
          </w:p>
        </w:tc>
        <w:tc>
          <w:tcPr>
            <w:tcW w:w="1233" w:type="dxa"/>
          </w:tcPr>
          <w:p w14:paraId="21FA24B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62.38±4.03</w:t>
            </w:r>
          </w:p>
        </w:tc>
        <w:tc>
          <w:tcPr>
            <w:tcW w:w="0" w:type="auto"/>
          </w:tcPr>
          <w:p w14:paraId="145E6934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59.91±2.91</w:t>
            </w:r>
          </w:p>
        </w:tc>
        <w:tc>
          <w:tcPr>
            <w:tcW w:w="0" w:type="auto"/>
          </w:tcPr>
          <w:p w14:paraId="04F6ADA3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63.90±4.74</w:t>
            </w:r>
          </w:p>
        </w:tc>
        <w:tc>
          <w:tcPr>
            <w:tcW w:w="0" w:type="auto"/>
          </w:tcPr>
          <w:p w14:paraId="066FED1B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67.63±3.34</w:t>
            </w:r>
          </w:p>
        </w:tc>
        <w:tc>
          <w:tcPr>
            <w:tcW w:w="0" w:type="auto"/>
          </w:tcPr>
          <w:p w14:paraId="0EE7E2B4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65.46±3.21</w:t>
            </w:r>
          </w:p>
        </w:tc>
        <w:tc>
          <w:tcPr>
            <w:tcW w:w="0" w:type="auto"/>
          </w:tcPr>
          <w:p w14:paraId="70F0C836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67.30±5.51</w:t>
            </w:r>
          </w:p>
        </w:tc>
        <w:tc>
          <w:tcPr>
            <w:tcW w:w="0" w:type="auto"/>
          </w:tcPr>
          <w:p w14:paraId="603DC1FE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63.90±6.38</w:t>
            </w:r>
          </w:p>
        </w:tc>
        <w:tc>
          <w:tcPr>
            <w:tcW w:w="0" w:type="auto"/>
          </w:tcPr>
          <w:p w14:paraId="3C480936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70.83±2.48</w:t>
            </w:r>
          </w:p>
        </w:tc>
      </w:tr>
      <w:tr w:rsidR="00241F75" w:rsidRPr="00F916A5" w14:paraId="7C387BD6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46F92095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Wingdings" w:eastAsia="Wingdings" w:hAnsi="Wingdings" w:cs="Wingdings"/>
                <w:sz w:val="16"/>
                <w:szCs w:val="16"/>
              </w:rPr>
              <w:t>ü</w:t>
            </w:r>
          </w:p>
        </w:tc>
        <w:tc>
          <w:tcPr>
            <w:tcW w:w="975" w:type="dxa"/>
          </w:tcPr>
          <w:p w14:paraId="5E63CCD8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2D</w:t>
            </w:r>
          </w:p>
        </w:tc>
        <w:tc>
          <w:tcPr>
            <w:tcW w:w="1233" w:type="dxa"/>
          </w:tcPr>
          <w:p w14:paraId="35B656B5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65.74±3.22</w:t>
            </w:r>
          </w:p>
        </w:tc>
        <w:tc>
          <w:tcPr>
            <w:tcW w:w="0" w:type="auto"/>
          </w:tcPr>
          <w:p w14:paraId="2F29283C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67.55±7.37</w:t>
            </w:r>
          </w:p>
        </w:tc>
        <w:tc>
          <w:tcPr>
            <w:tcW w:w="0" w:type="auto"/>
          </w:tcPr>
          <w:p w14:paraId="58F94E67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64.34±6.94</w:t>
            </w:r>
          </w:p>
        </w:tc>
        <w:tc>
          <w:tcPr>
            <w:tcW w:w="0" w:type="auto"/>
          </w:tcPr>
          <w:p w14:paraId="6F419FA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70.06±1.95</w:t>
            </w:r>
          </w:p>
        </w:tc>
        <w:tc>
          <w:tcPr>
            <w:tcW w:w="0" w:type="auto"/>
          </w:tcPr>
          <w:p w14:paraId="4395D800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68.60±1.62</w:t>
            </w:r>
          </w:p>
        </w:tc>
        <w:tc>
          <w:tcPr>
            <w:tcW w:w="0" w:type="auto"/>
          </w:tcPr>
          <w:p w14:paraId="668C6338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61.89±6.17</w:t>
            </w:r>
          </w:p>
        </w:tc>
        <w:tc>
          <w:tcPr>
            <w:tcW w:w="0" w:type="auto"/>
          </w:tcPr>
          <w:p w14:paraId="32C758C6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73.32±5.78</w:t>
            </w:r>
          </w:p>
        </w:tc>
        <w:tc>
          <w:tcPr>
            <w:tcW w:w="0" w:type="auto"/>
          </w:tcPr>
          <w:p w14:paraId="24A5805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74.28±3.07</w:t>
            </w:r>
          </w:p>
        </w:tc>
      </w:tr>
      <w:tr w:rsidR="00241F75" w:rsidRPr="00F916A5" w14:paraId="0DCEBDB4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1DF3CDD6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Wingdings" w:eastAsia="Wingdings" w:hAnsi="Wingdings" w:cs="Wingdings"/>
                <w:sz w:val="16"/>
                <w:szCs w:val="16"/>
              </w:rPr>
              <w:t>ü</w:t>
            </w:r>
          </w:p>
        </w:tc>
        <w:tc>
          <w:tcPr>
            <w:tcW w:w="975" w:type="dxa"/>
          </w:tcPr>
          <w:p w14:paraId="2D2C3F6B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3D</w:t>
            </w:r>
          </w:p>
        </w:tc>
        <w:tc>
          <w:tcPr>
            <w:tcW w:w="1233" w:type="dxa"/>
          </w:tcPr>
          <w:p w14:paraId="1589B9F3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62.08±8.04</w:t>
            </w:r>
          </w:p>
        </w:tc>
        <w:tc>
          <w:tcPr>
            <w:tcW w:w="0" w:type="auto"/>
          </w:tcPr>
          <w:p w14:paraId="5FAF5D17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67.68±10.01</w:t>
            </w:r>
          </w:p>
        </w:tc>
        <w:tc>
          <w:tcPr>
            <w:tcW w:w="0" w:type="auto"/>
          </w:tcPr>
          <w:p w14:paraId="659335F0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58.52±10.25</w:t>
            </w:r>
          </w:p>
        </w:tc>
        <w:tc>
          <w:tcPr>
            <w:tcW w:w="0" w:type="auto"/>
          </w:tcPr>
          <w:p w14:paraId="5B891852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67.61±6.93</w:t>
            </w:r>
          </w:p>
        </w:tc>
        <w:tc>
          <w:tcPr>
            <w:tcW w:w="0" w:type="auto"/>
          </w:tcPr>
          <w:p w14:paraId="3576DD5A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64.16±2.30</w:t>
            </w:r>
          </w:p>
        </w:tc>
        <w:tc>
          <w:tcPr>
            <w:tcW w:w="0" w:type="auto"/>
          </w:tcPr>
          <w:p w14:paraId="2C169E30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66.94±8.37</w:t>
            </w:r>
          </w:p>
        </w:tc>
        <w:tc>
          <w:tcPr>
            <w:tcW w:w="0" w:type="auto"/>
          </w:tcPr>
          <w:p w14:paraId="7ABF5EC4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62.25±9.16</w:t>
            </w:r>
          </w:p>
        </w:tc>
        <w:tc>
          <w:tcPr>
            <w:tcW w:w="0" w:type="auto"/>
          </w:tcPr>
          <w:p w14:paraId="1AA38269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71.50±2.00</w:t>
            </w:r>
          </w:p>
        </w:tc>
      </w:tr>
      <w:tr w:rsidR="00241F75" w:rsidRPr="00F916A5" w14:paraId="6CD8555B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4F5067C6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Wingdings" w:eastAsia="Wingdings" w:hAnsi="Wingdings" w:cs="Wingdings"/>
                <w:sz w:val="16"/>
                <w:szCs w:val="16"/>
              </w:rPr>
              <w:lastRenderedPageBreak/>
              <w:t>û</w:t>
            </w:r>
          </w:p>
        </w:tc>
        <w:tc>
          <w:tcPr>
            <w:tcW w:w="975" w:type="dxa"/>
          </w:tcPr>
          <w:p w14:paraId="5AA9F869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1D</w:t>
            </w:r>
          </w:p>
        </w:tc>
        <w:tc>
          <w:tcPr>
            <w:tcW w:w="1233" w:type="dxa"/>
          </w:tcPr>
          <w:p w14:paraId="45ABBA0C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57.60±5.54</w:t>
            </w:r>
          </w:p>
        </w:tc>
        <w:tc>
          <w:tcPr>
            <w:tcW w:w="0" w:type="auto"/>
          </w:tcPr>
          <w:p w14:paraId="680D3965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54.60±7.64</w:t>
            </w:r>
          </w:p>
        </w:tc>
        <w:tc>
          <w:tcPr>
            <w:tcW w:w="0" w:type="auto"/>
          </w:tcPr>
          <w:p w14:paraId="5E5FCC21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59.37±5.25</w:t>
            </w:r>
          </w:p>
        </w:tc>
        <w:tc>
          <w:tcPr>
            <w:tcW w:w="0" w:type="auto"/>
          </w:tcPr>
          <w:p w14:paraId="1C26F22B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57.30±3.83</w:t>
            </w:r>
          </w:p>
        </w:tc>
        <w:tc>
          <w:tcPr>
            <w:tcW w:w="0" w:type="auto"/>
          </w:tcPr>
          <w:p w14:paraId="1D252FD8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61.18±0.85</w:t>
            </w:r>
          </w:p>
        </w:tc>
        <w:tc>
          <w:tcPr>
            <w:tcW w:w="0" w:type="auto"/>
          </w:tcPr>
          <w:p w14:paraId="36A92B3D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55.75±3.56</w:t>
            </w:r>
          </w:p>
        </w:tc>
        <w:tc>
          <w:tcPr>
            <w:tcW w:w="0" w:type="auto"/>
          </w:tcPr>
          <w:p w14:paraId="12EC9EBA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64.89±3.67</w:t>
            </w:r>
          </w:p>
        </w:tc>
        <w:tc>
          <w:tcPr>
            <w:tcW w:w="0" w:type="auto"/>
          </w:tcPr>
          <w:p w14:paraId="1A91F7B3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63.52±2.26</w:t>
            </w:r>
          </w:p>
        </w:tc>
      </w:tr>
      <w:tr w:rsidR="00241F75" w:rsidRPr="00F916A5" w14:paraId="7ED2AB27" w14:textId="77777777" w:rsidTr="004F1DC2">
        <w:trPr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6" w:type="dxa"/>
          </w:tcPr>
          <w:p w14:paraId="424F8144" w14:textId="77777777" w:rsidR="00241F75" w:rsidRPr="00F916A5" w:rsidRDefault="00241F75" w:rsidP="0014032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Wingdings" w:eastAsia="Wingdings" w:hAnsi="Wingdings" w:cs="Wingdings"/>
                <w:sz w:val="16"/>
                <w:szCs w:val="16"/>
              </w:rPr>
              <w:t>û</w:t>
            </w:r>
          </w:p>
        </w:tc>
        <w:tc>
          <w:tcPr>
            <w:tcW w:w="975" w:type="dxa"/>
          </w:tcPr>
          <w:p w14:paraId="7F1ED542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2D</w:t>
            </w:r>
          </w:p>
        </w:tc>
        <w:tc>
          <w:tcPr>
            <w:tcW w:w="1233" w:type="dxa"/>
          </w:tcPr>
          <w:p w14:paraId="5CE830B9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58.53±5.38</w:t>
            </w:r>
          </w:p>
        </w:tc>
        <w:tc>
          <w:tcPr>
            <w:tcW w:w="0" w:type="auto"/>
          </w:tcPr>
          <w:p w14:paraId="52A20AD6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65.15±12.7</w:t>
            </w:r>
          </w:p>
        </w:tc>
        <w:tc>
          <w:tcPr>
            <w:tcW w:w="0" w:type="auto"/>
          </w:tcPr>
          <w:p w14:paraId="2D86A795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54.07±7.29</w:t>
            </w:r>
          </w:p>
        </w:tc>
        <w:tc>
          <w:tcPr>
            <w:tcW w:w="0" w:type="auto"/>
          </w:tcPr>
          <w:p w14:paraId="21D7D1ED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62.07±4.83</w:t>
            </w:r>
          </w:p>
        </w:tc>
        <w:tc>
          <w:tcPr>
            <w:tcW w:w="0" w:type="auto"/>
          </w:tcPr>
          <w:p w14:paraId="6F9D3FEB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61.58±3.61</w:t>
            </w:r>
          </w:p>
        </w:tc>
        <w:tc>
          <w:tcPr>
            <w:tcW w:w="0" w:type="auto"/>
          </w:tcPr>
          <w:p w14:paraId="7EAA1DDE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64.34±5.59</w:t>
            </w:r>
          </w:p>
        </w:tc>
        <w:tc>
          <w:tcPr>
            <w:tcW w:w="0" w:type="auto"/>
          </w:tcPr>
          <w:p w14:paraId="5F48C575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59.90±3.93</w:t>
            </w:r>
          </w:p>
        </w:tc>
        <w:tc>
          <w:tcPr>
            <w:tcW w:w="0" w:type="auto"/>
          </w:tcPr>
          <w:p w14:paraId="05CC046E" w14:textId="77777777" w:rsidR="00241F75" w:rsidRPr="00F916A5" w:rsidRDefault="00241F75" w:rsidP="001403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916A5">
              <w:rPr>
                <w:rFonts w:ascii="Times New Roman" w:hAnsi="Times New Roman" w:cs="Times New Roman"/>
                <w:sz w:val="16"/>
                <w:szCs w:val="16"/>
              </w:rPr>
              <w:t>64.28±5.27</w:t>
            </w:r>
          </w:p>
        </w:tc>
      </w:tr>
    </w:tbl>
    <w:p w14:paraId="50CDC59D" w14:textId="26E18F12" w:rsidR="004F1DC2" w:rsidRPr="004F1DC2" w:rsidRDefault="004F1DC2" w:rsidP="004F1DC2">
      <w:pPr>
        <w:rPr>
          <w:rFonts w:ascii="Arial" w:hAnsi="Arial" w:cs="Arial"/>
          <w:i/>
          <w:iCs/>
          <w:sz w:val="22"/>
          <w:szCs w:val="22"/>
        </w:rPr>
      </w:pPr>
      <w:r w:rsidRPr="004F1DC2">
        <w:rPr>
          <w:rFonts w:ascii="Arial" w:hAnsi="Arial" w:cs="Arial"/>
          <w:b/>
          <w:bCs/>
          <w:i/>
          <w:iCs/>
          <w:sz w:val="22"/>
          <w:szCs w:val="22"/>
        </w:rPr>
        <w:t xml:space="preserve">Table </w:t>
      </w:r>
      <w:r w:rsidR="009F1775">
        <w:rPr>
          <w:rFonts w:ascii="Arial" w:hAnsi="Arial" w:cs="Arial"/>
          <w:b/>
          <w:bCs/>
          <w:i/>
          <w:iCs/>
          <w:sz w:val="22"/>
          <w:szCs w:val="22"/>
        </w:rPr>
        <w:t>S2</w:t>
      </w:r>
      <w:r w:rsidRPr="004F1DC2">
        <w:rPr>
          <w:rFonts w:ascii="Arial" w:hAnsi="Arial" w:cs="Arial"/>
          <w:b/>
          <w:bCs/>
          <w:i/>
          <w:iCs/>
          <w:sz w:val="22"/>
          <w:szCs w:val="22"/>
        </w:rPr>
        <w:t>:</w:t>
      </w:r>
      <w:r w:rsidRPr="004F1DC2">
        <w:rPr>
          <w:rFonts w:ascii="Arial" w:hAnsi="Arial" w:cs="Arial"/>
          <w:i/>
          <w:iCs/>
          <w:sz w:val="22"/>
          <w:szCs w:val="22"/>
        </w:rPr>
        <w:t xml:space="preserve"> Performance comparison of state-of-the-art MIL methods with our best performing model. Metrics show mean ± standard deviation across test folds. *DAMIL uses a different encoder (CTransPath), and data folds compared to other methods. Best performance in each metric is bolded, while second-best is underlined.</w:t>
      </w:r>
    </w:p>
    <w:tbl>
      <w:tblPr>
        <w:tblStyle w:val="ListTable1Light"/>
        <w:tblW w:w="0" w:type="auto"/>
        <w:tblLook w:val="06A0" w:firstRow="1" w:lastRow="0" w:firstColumn="1" w:lastColumn="0" w:noHBand="1" w:noVBand="1"/>
      </w:tblPr>
      <w:tblGrid>
        <w:gridCol w:w="2756"/>
        <w:gridCol w:w="1943"/>
        <w:gridCol w:w="2046"/>
        <w:gridCol w:w="2046"/>
        <w:gridCol w:w="1835"/>
      </w:tblGrid>
      <w:tr w:rsidR="004F1DC2" w:rsidRPr="00B12022" w14:paraId="00319E2B" w14:textId="77777777" w:rsidTr="00324F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0122F314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Model</w:t>
            </w:r>
          </w:p>
        </w:tc>
        <w:tc>
          <w:tcPr>
            <w:tcW w:w="1943" w:type="dxa"/>
          </w:tcPr>
          <w:p w14:paraId="34D3EDFB" w14:textId="77777777" w:rsidR="004F1DC2" w:rsidRPr="00B12022" w:rsidRDefault="004F1DC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Accuracy (%)</w:t>
            </w:r>
          </w:p>
        </w:tc>
        <w:tc>
          <w:tcPr>
            <w:tcW w:w="2046" w:type="dxa"/>
          </w:tcPr>
          <w:p w14:paraId="415D7400" w14:textId="77777777" w:rsidR="004F1DC2" w:rsidRPr="00B12022" w:rsidRDefault="004F1DC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Sensitivity (%)</w:t>
            </w:r>
          </w:p>
        </w:tc>
        <w:tc>
          <w:tcPr>
            <w:tcW w:w="2046" w:type="dxa"/>
          </w:tcPr>
          <w:p w14:paraId="393803B9" w14:textId="77777777" w:rsidR="004F1DC2" w:rsidRPr="00B12022" w:rsidRDefault="004F1DC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Specificity (%)</w:t>
            </w:r>
          </w:p>
        </w:tc>
        <w:tc>
          <w:tcPr>
            <w:tcW w:w="1835" w:type="dxa"/>
          </w:tcPr>
          <w:p w14:paraId="34F39897" w14:textId="77777777" w:rsidR="004F1DC2" w:rsidRPr="00B12022" w:rsidRDefault="004F1DC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AUC (%)</w:t>
            </w:r>
          </w:p>
        </w:tc>
      </w:tr>
      <w:tr w:rsidR="004F1DC2" w:rsidRPr="00B12022" w14:paraId="60277A49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0A8D8BC6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AttMIL</w:t>
            </w:r>
            <w:proofErr w:type="spellEnd"/>
          </w:p>
        </w:tc>
        <w:tc>
          <w:tcPr>
            <w:tcW w:w="1943" w:type="dxa"/>
          </w:tcPr>
          <w:p w14:paraId="7337EE97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61.55 ± 8.23</w:t>
            </w:r>
          </w:p>
        </w:tc>
        <w:tc>
          <w:tcPr>
            <w:tcW w:w="2046" w:type="dxa"/>
          </w:tcPr>
          <w:p w14:paraId="43C8FFE5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55.77 ± 12.04</w:t>
            </w:r>
          </w:p>
        </w:tc>
        <w:tc>
          <w:tcPr>
            <w:tcW w:w="2046" w:type="dxa"/>
          </w:tcPr>
          <w:p w14:paraId="110DD839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65.39 ± 7.79</w:t>
            </w:r>
          </w:p>
        </w:tc>
        <w:tc>
          <w:tcPr>
            <w:tcW w:w="1835" w:type="dxa"/>
          </w:tcPr>
          <w:p w14:paraId="5B2CC8FD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66.57 ± 5.55</w:t>
            </w:r>
          </w:p>
        </w:tc>
      </w:tr>
      <w:tr w:rsidR="004F1DC2" w:rsidRPr="00B12022" w14:paraId="57B22BF6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658B1D55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TransMIL</w:t>
            </w:r>
          </w:p>
        </w:tc>
        <w:tc>
          <w:tcPr>
            <w:tcW w:w="1943" w:type="dxa"/>
          </w:tcPr>
          <w:p w14:paraId="24F1256A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58.85 ± 5.14</w:t>
            </w:r>
          </w:p>
        </w:tc>
        <w:tc>
          <w:tcPr>
            <w:tcW w:w="2046" w:type="dxa"/>
          </w:tcPr>
          <w:p w14:paraId="52351DB0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54.75 ± 5.29</w:t>
            </w:r>
          </w:p>
        </w:tc>
        <w:tc>
          <w:tcPr>
            <w:tcW w:w="2046" w:type="dxa"/>
          </w:tcPr>
          <w:p w14:paraId="5AC0BC08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61.26 ± 9.2</w:t>
            </w:r>
          </w:p>
        </w:tc>
        <w:tc>
          <w:tcPr>
            <w:tcW w:w="1835" w:type="dxa"/>
          </w:tcPr>
          <w:p w14:paraId="2EFA699B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62.29 ± 3.85</w:t>
            </w:r>
          </w:p>
        </w:tc>
      </w:tr>
      <w:tr w:rsidR="004F1DC2" w:rsidRPr="00B12022" w14:paraId="652361C5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694D4F3C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CLAM</w:t>
            </w:r>
          </w:p>
        </w:tc>
        <w:tc>
          <w:tcPr>
            <w:tcW w:w="1943" w:type="dxa"/>
          </w:tcPr>
          <w:p w14:paraId="55E5ACF4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61.13 ± 7.52</w:t>
            </w:r>
          </w:p>
        </w:tc>
        <w:tc>
          <w:tcPr>
            <w:tcW w:w="2046" w:type="dxa"/>
          </w:tcPr>
          <w:p w14:paraId="6728E5A7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56.52 ± 12.89</w:t>
            </w:r>
          </w:p>
        </w:tc>
        <w:tc>
          <w:tcPr>
            <w:tcW w:w="2046" w:type="dxa"/>
          </w:tcPr>
          <w:p w14:paraId="26FF2FC8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64.56 ± 12.18</w:t>
            </w:r>
          </w:p>
        </w:tc>
        <w:tc>
          <w:tcPr>
            <w:tcW w:w="1835" w:type="dxa"/>
          </w:tcPr>
          <w:p w14:paraId="26D8C5A7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66.13 ± 5.90</w:t>
            </w:r>
          </w:p>
        </w:tc>
      </w:tr>
      <w:tr w:rsidR="004F1DC2" w:rsidRPr="00B12022" w14:paraId="7209FD5F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196AB50F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CAMIL</w:t>
            </w:r>
          </w:p>
        </w:tc>
        <w:tc>
          <w:tcPr>
            <w:tcW w:w="1943" w:type="dxa"/>
          </w:tcPr>
          <w:p w14:paraId="2DB0C8E8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66.77 ± 3.75</w:t>
            </w:r>
          </w:p>
        </w:tc>
        <w:tc>
          <w:tcPr>
            <w:tcW w:w="2046" w:type="dxa"/>
          </w:tcPr>
          <w:p w14:paraId="7218388E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57.50 ± 7.17</w:t>
            </w:r>
          </w:p>
        </w:tc>
        <w:tc>
          <w:tcPr>
            <w:tcW w:w="2046" w:type="dxa"/>
          </w:tcPr>
          <w:p w14:paraId="263E9C58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72.60 ± 3.63</w:t>
            </w:r>
          </w:p>
        </w:tc>
        <w:tc>
          <w:tcPr>
            <w:tcW w:w="1835" w:type="dxa"/>
          </w:tcPr>
          <w:p w14:paraId="4B00A014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67.47 ± 5.70</w:t>
            </w:r>
          </w:p>
        </w:tc>
      </w:tr>
      <w:tr w:rsidR="004F1DC2" w:rsidRPr="00B12022" w14:paraId="4678EC0E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044A2B1D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Kim et al.</w:t>
            </w:r>
          </w:p>
        </w:tc>
        <w:tc>
          <w:tcPr>
            <w:tcW w:w="1943" w:type="dxa"/>
          </w:tcPr>
          <w:p w14:paraId="2C64A5EB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61.84 ± 7.18</w:t>
            </w:r>
          </w:p>
        </w:tc>
        <w:tc>
          <w:tcPr>
            <w:tcW w:w="2046" w:type="dxa"/>
          </w:tcPr>
          <w:p w14:paraId="2C3DEC8F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68.00 ± 11.6</w:t>
            </w:r>
          </w:p>
        </w:tc>
        <w:tc>
          <w:tcPr>
            <w:tcW w:w="2046" w:type="dxa"/>
          </w:tcPr>
          <w:p w14:paraId="5EA8E8AA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58.16 ± 17.93</w:t>
            </w:r>
          </w:p>
        </w:tc>
        <w:tc>
          <w:tcPr>
            <w:tcW w:w="1835" w:type="dxa"/>
          </w:tcPr>
          <w:p w14:paraId="10F29CE0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66.81 ± 5.54</w:t>
            </w:r>
          </w:p>
        </w:tc>
      </w:tr>
      <w:tr w:rsidR="004F1DC2" w:rsidRPr="00B12022" w14:paraId="6565A3A6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2804B525" w14:textId="77777777" w:rsidR="004F1DC2" w:rsidRPr="00B12022" w:rsidRDefault="004F1DC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DAMIL*</w:t>
            </w:r>
          </w:p>
        </w:tc>
        <w:tc>
          <w:tcPr>
            <w:tcW w:w="1943" w:type="dxa"/>
          </w:tcPr>
          <w:p w14:paraId="57A62109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63.50 ± 3.10</w:t>
            </w:r>
          </w:p>
        </w:tc>
        <w:tc>
          <w:tcPr>
            <w:tcW w:w="2046" w:type="dxa"/>
          </w:tcPr>
          <w:p w14:paraId="1B4E32E2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53.00 ± 7.90</w:t>
            </w:r>
          </w:p>
        </w:tc>
        <w:tc>
          <w:tcPr>
            <w:tcW w:w="2046" w:type="dxa"/>
          </w:tcPr>
          <w:p w14:paraId="2202CF10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69.30 ± 6.60</w:t>
            </w:r>
          </w:p>
        </w:tc>
        <w:tc>
          <w:tcPr>
            <w:tcW w:w="1835" w:type="dxa"/>
          </w:tcPr>
          <w:p w14:paraId="60CE4CD0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64.90 ± 1.20</w:t>
            </w:r>
          </w:p>
        </w:tc>
      </w:tr>
      <w:tr w:rsidR="004F1DC2" w:rsidRPr="00B12022" w14:paraId="00D7DFD0" w14:textId="77777777" w:rsidTr="00324F99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56" w:type="dxa"/>
          </w:tcPr>
          <w:p w14:paraId="0743FA37" w14:textId="63C425E5" w:rsidR="004F1DC2" w:rsidRPr="00B12022" w:rsidRDefault="009C30E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PathRosetta</w:t>
            </w:r>
            <w:r w:rsidR="004F1DC2" w:rsidRPr="00B12022">
              <w:rPr>
                <w:rFonts w:ascii="Times New Roman" w:hAnsi="Times New Roman" w:cs="Times New Roman"/>
                <w:sz w:val="16"/>
                <w:szCs w:val="16"/>
              </w:rPr>
              <w:t xml:space="preserve"> (ours)</w:t>
            </w:r>
          </w:p>
        </w:tc>
        <w:tc>
          <w:tcPr>
            <w:tcW w:w="1943" w:type="dxa"/>
          </w:tcPr>
          <w:p w14:paraId="55E2BA77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71.72 ± 4.82</w:t>
            </w:r>
          </w:p>
        </w:tc>
        <w:tc>
          <w:tcPr>
            <w:tcW w:w="2046" w:type="dxa"/>
          </w:tcPr>
          <w:p w14:paraId="761840B1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65.81 ± 7.39</w:t>
            </w:r>
          </w:p>
        </w:tc>
        <w:tc>
          <w:tcPr>
            <w:tcW w:w="2046" w:type="dxa"/>
          </w:tcPr>
          <w:p w14:paraId="1B76C1DC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75.47 ± 5.38</w:t>
            </w:r>
          </w:p>
        </w:tc>
        <w:tc>
          <w:tcPr>
            <w:tcW w:w="1835" w:type="dxa"/>
          </w:tcPr>
          <w:p w14:paraId="35F7DCA1" w14:textId="77777777" w:rsidR="004F1DC2" w:rsidRPr="00B12022" w:rsidRDefault="004F1D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77.84 ± 3.99</w:t>
            </w:r>
          </w:p>
        </w:tc>
      </w:tr>
    </w:tbl>
    <w:p w14:paraId="240DBD65" w14:textId="29C97BE9" w:rsidR="00C00C52" w:rsidRPr="00D37CE9" w:rsidRDefault="00C00C52" w:rsidP="00C00C52">
      <w:pPr>
        <w:rPr>
          <w:rFonts w:ascii="Arial" w:hAnsi="Arial" w:cs="Arial"/>
          <w:i/>
          <w:iCs/>
          <w:sz w:val="22"/>
          <w:szCs w:val="22"/>
        </w:rPr>
      </w:pPr>
      <w:r w:rsidRPr="00D37CE9">
        <w:rPr>
          <w:rFonts w:ascii="Arial" w:hAnsi="Arial" w:cs="Arial"/>
          <w:b/>
          <w:bCs/>
          <w:i/>
          <w:iCs/>
          <w:sz w:val="22"/>
          <w:szCs w:val="22"/>
        </w:rPr>
        <w:t xml:space="preserve">Table </w:t>
      </w:r>
      <w:r w:rsidR="00D37CE9">
        <w:rPr>
          <w:rFonts w:ascii="Arial" w:hAnsi="Arial" w:cs="Arial"/>
          <w:b/>
          <w:bCs/>
          <w:i/>
          <w:iCs/>
          <w:sz w:val="22"/>
          <w:szCs w:val="22"/>
        </w:rPr>
        <w:t>S3</w:t>
      </w:r>
      <w:r w:rsidRPr="00D37CE9">
        <w:rPr>
          <w:rFonts w:ascii="Arial" w:hAnsi="Arial" w:cs="Arial"/>
          <w:b/>
          <w:bCs/>
          <w:i/>
          <w:iCs/>
          <w:sz w:val="22"/>
          <w:szCs w:val="22"/>
        </w:rPr>
        <w:t>:</w:t>
      </w:r>
      <w:r w:rsidRPr="00D37CE9">
        <w:rPr>
          <w:rFonts w:ascii="Arial" w:hAnsi="Arial" w:cs="Arial"/>
          <w:i/>
          <w:iCs/>
          <w:sz w:val="22"/>
          <w:szCs w:val="22"/>
        </w:rPr>
        <w:t xml:space="preserve"> Performance comparison of cell-type-specific models, the All-Cells model, and the Combined Model for ILA recurrence prediction. Metrics include accuracy, sensitivity, specificity, and AUC (mean ± standard deviation across test folds). The Combined Model (ensemble) achieves the highest performance across all metrics (bold). The second-best results are underlined.</w:t>
      </w:r>
    </w:p>
    <w:tbl>
      <w:tblPr>
        <w:tblStyle w:val="ListTable1Light"/>
        <w:tblW w:w="10831" w:type="dxa"/>
        <w:tblLook w:val="06A0" w:firstRow="1" w:lastRow="0" w:firstColumn="1" w:lastColumn="0" w:noHBand="1" w:noVBand="1"/>
      </w:tblPr>
      <w:tblGrid>
        <w:gridCol w:w="2601"/>
        <w:gridCol w:w="2294"/>
        <w:gridCol w:w="2085"/>
        <w:gridCol w:w="2085"/>
        <w:gridCol w:w="1766"/>
      </w:tblGrid>
      <w:tr w:rsidR="00C00C52" w:rsidRPr="00B12022" w14:paraId="2280BCD6" w14:textId="77777777" w:rsidTr="003669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3E279FFC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Model</w:t>
            </w:r>
          </w:p>
        </w:tc>
        <w:tc>
          <w:tcPr>
            <w:tcW w:w="2294" w:type="dxa"/>
          </w:tcPr>
          <w:p w14:paraId="11316DA7" w14:textId="77777777" w:rsidR="00C00C52" w:rsidRPr="00B12022" w:rsidRDefault="00C00C5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Accuracy (%)</w:t>
            </w:r>
          </w:p>
        </w:tc>
        <w:tc>
          <w:tcPr>
            <w:tcW w:w="2085" w:type="dxa"/>
          </w:tcPr>
          <w:p w14:paraId="304850BF" w14:textId="77777777" w:rsidR="00C00C52" w:rsidRPr="00B12022" w:rsidRDefault="00C00C5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Sensitivity (%)</w:t>
            </w:r>
          </w:p>
        </w:tc>
        <w:tc>
          <w:tcPr>
            <w:tcW w:w="2085" w:type="dxa"/>
          </w:tcPr>
          <w:p w14:paraId="614E8840" w14:textId="77777777" w:rsidR="00C00C52" w:rsidRPr="00B12022" w:rsidRDefault="00C00C5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Specificity (%)</w:t>
            </w:r>
          </w:p>
        </w:tc>
        <w:tc>
          <w:tcPr>
            <w:tcW w:w="1766" w:type="dxa"/>
          </w:tcPr>
          <w:p w14:paraId="1CCDE96D" w14:textId="77777777" w:rsidR="00C00C52" w:rsidRPr="00B12022" w:rsidRDefault="00C00C5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AUC (%)</w:t>
            </w:r>
          </w:p>
        </w:tc>
      </w:tr>
      <w:tr w:rsidR="00C00C52" w:rsidRPr="00B12022" w14:paraId="62AA5687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3FD92719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Stromal Cells</w:t>
            </w:r>
          </w:p>
        </w:tc>
        <w:tc>
          <w:tcPr>
            <w:tcW w:w="2294" w:type="dxa"/>
          </w:tcPr>
          <w:p w14:paraId="08BDBD42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63.81 ± 4.40</w:t>
            </w:r>
          </w:p>
        </w:tc>
        <w:tc>
          <w:tcPr>
            <w:tcW w:w="2085" w:type="dxa"/>
          </w:tcPr>
          <w:p w14:paraId="721231EA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62.89 ± 7.27</w:t>
            </w:r>
          </w:p>
        </w:tc>
        <w:tc>
          <w:tcPr>
            <w:tcW w:w="2085" w:type="dxa"/>
          </w:tcPr>
          <w:p w14:paraId="3F11CCE7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64.26 ± 7.63</w:t>
            </w:r>
          </w:p>
        </w:tc>
        <w:tc>
          <w:tcPr>
            <w:tcW w:w="1766" w:type="dxa"/>
          </w:tcPr>
          <w:p w14:paraId="28EE8D2A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71.69 ± 6.31</w:t>
            </w:r>
          </w:p>
        </w:tc>
      </w:tr>
      <w:tr w:rsidR="00C00C52" w:rsidRPr="00B12022" w14:paraId="7AB7B915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3BC663D1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Inflammatory Cells</w:t>
            </w:r>
          </w:p>
        </w:tc>
        <w:tc>
          <w:tcPr>
            <w:tcW w:w="2294" w:type="dxa"/>
          </w:tcPr>
          <w:p w14:paraId="44F01C8C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64.12 ± 3.50</w:t>
            </w:r>
          </w:p>
        </w:tc>
        <w:tc>
          <w:tcPr>
            <w:tcW w:w="2085" w:type="dxa"/>
          </w:tcPr>
          <w:p w14:paraId="4A83F59C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62.09 ± 5.50</w:t>
            </w:r>
          </w:p>
        </w:tc>
        <w:tc>
          <w:tcPr>
            <w:tcW w:w="2085" w:type="dxa"/>
          </w:tcPr>
          <w:p w14:paraId="437237D7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65.27 ± 3.84</w:t>
            </w:r>
          </w:p>
        </w:tc>
        <w:tc>
          <w:tcPr>
            <w:tcW w:w="1766" w:type="dxa"/>
          </w:tcPr>
          <w:p w14:paraId="0FD5089A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70.27 ± 6.49</w:t>
            </w:r>
          </w:p>
        </w:tc>
      </w:tr>
      <w:tr w:rsidR="00C00C52" w:rsidRPr="00B12022" w14:paraId="28C8E54A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75446338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Neoplastic Cells</w:t>
            </w:r>
          </w:p>
        </w:tc>
        <w:tc>
          <w:tcPr>
            <w:tcW w:w="2294" w:type="dxa"/>
          </w:tcPr>
          <w:p w14:paraId="5B9F60A4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65.64 ± 4.78</w:t>
            </w:r>
          </w:p>
        </w:tc>
        <w:tc>
          <w:tcPr>
            <w:tcW w:w="2085" w:type="dxa"/>
          </w:tcPr>
          <w:p w14:paraId="0C4B52D1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63.36 ± 4.69</w:t>
            </w:r>
          </w:p>
        </w:tc>
        <w:tc>
          <w:tcPr>
            <w:tcW w:w="2085" w:type="dxa"/>
          </w:tcPr>
          <w:p w14:paraId="40B4CA3B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67.13 ± 5.52</w:t>
            </w:r>
          </w:p>
        </w:tc>
        <w:tc>
          <w:tcPr>
            <w:tcW w:w="1766" w:type="dxa"/>
          </w:tcPr>
          <w:p w14:paraId="72BF1D03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71.92 ± 3.26</w:t>
            </w:r>
          </w:p>
        </w:tc>
      </w:tr>
      <w:tr w:rsidR="00C00C52" w:rsidRPr="00B12022" w14:paraId="31852C27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3E11229F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Dead Cells</w:t>
            </w:r>
          </w:p>
        </w:tc>
        <w:tc>
          <w:tcPr>
            <w:tcW w:w="2294" w:type="dxa"/>
          </w:tcPr>
          <w:p w14:paraId="326A0654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67.30 ± 1.73</w:t>
            </w:r>
          </w:p>
        </w:tc>
        <w:tc>
          <w:tcPr>
            <w:tcW w:w="2085" w:type="dxa"/>
          </w:tcPr>
          <w:p w14:paraId="288192D1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64.38 ± 10.63</w:t>
            </w:r>
          </w:p>
        </w:tc>
        <w:tc>
          <w:tcPr>
            <w:tcW w:w="2085" w:type="dxa"/>
          </w:tcPr>
          <w:p w14:paraId="0DEA2EA6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69.14 ± 7.80</w:t>
            </w:r>
          </w:p>
        </w:tc>
        <w:tc>
          <w:tcPr>
            <w:tcW w:w="1766" w:type="dxa"/>
          </w:tcPr>
          <w:p w14:paraId="6C0C5E29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72.99 ± 3.89</w:t>
            </w:r>
          </w:p>
        </w:tc>
      </w:tr>
      <w:tr w:rsidR="00C00C52" w:rsidRPr="00B12022" w14:paraId="3F2B33B6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5CFBA550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Benign Epithelial Cells</w:t>
            </w:r>
          </w:p>
        </w:tc>
        <w:tc>
          <w:tcPr>
            <w:tcW w:w="2294" w:type="dxa"/>
          </w:tcPr>
          <w:p w14:paraId="3D01E367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69.14 ± 2.84</w:t>
            </w:r>
          </w:p>
        </w:tc>
        <w:tc>
          <w:tcPr>
            <w:tcW w:w="2085" w:type="dxa"/>
          </w:tcPr>
          <w:p w14:paraId="0C7DAB21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64.94 ± 4.39</w:t>
            </w:r>
          </w:p>
        </w:tc>
        <w:tc>
          <w:tcPr>
            <w:tcW w:w="2085" w:type="dxa"/>
          </w:tcPr>
          <w:p w14:paraId="4C1ADA1E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71.24 ± 4.99</w:t>
            </w:r>
          </w:p>
        </w:tc>
        <w:tc>
          <w:tcPr>
            <w:tcW w:w="1766" w:type="dxa"/>
          </w:tcPr>
          <w:p w14:paraId="3D2E9587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74.98 ± 3.36</w:t>
            </w:r>
          </w:p>
        </w:tc>
      </w:tr>
      <w:tr w:rsidR="00C00C52" w:rsidRPr="00B12022" w14:paraId="062C709A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776B9485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All-Cells</w:t>
            </w:r>
          </w:p>
        </w:tc>
        <w:tc>
          <w:tcPr>
            <w:tcW w:w="2294" w:type="dxa"/>
          </w:tcPr>
          <w:p w14:paraId="752DB67D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68.60 ± 1.62</w:t>
            </w:r>
          </w:p>
        </w:tc>
        <w:tc>
          <w:tcPr>
            <w:tcW w:w="2085" w:type="dxa"/>
          </w:tcPr>
          <w:p w14:paraId="75BEC322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61.89 ± 6.17</w:t>
            </w:r>
          </w:p>
        </w:tc>
        <w:tc>
          <w:tcPr>
            <w:tcW w:w="2085" w:type="dxa"/>
          </w:tcPr>
          <w:p w14:paraId="3250D495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73.32 ± 5.78</w:t>
            </w:r>
          </w:p>
        </w:tc>
        <w:tc>
          <w:tcPr>
            <w:tcW w:w="1766" w:type="dxa"/>
          </w:tcPr>
          <w:p w14:paraId="61F81AE3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74.28 ± 3.07</w:t>
            </w:r>
          </w:p>
        </w:tc>
      </w:tr>
      <w:tr w:rsidR="00C00C52" w:rsidRPr="00B12022" w14:paraId="4E250C32" w14:textId="77777777" w:rsidTr="0036694A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14:paraId="71E87A44" w14:textId="77777777" w:rsidR="00C00C52" w:rsidRPr="00B12022" w:rsidRDefault="00C00C5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Combined Model</w:t>
            </w:r>
          </w:p>
        </w:tc>
        <w:tc>
          <w:tcPr>
            <w:tcW w:w="2294" w:type="dxa"/>
          </w:tcPr>
          <w:p w14:paraId="7EA776FD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71.72 ± 4.82</w:t>
            </w:r>
          </w:p>
        </w:tc>
        <w:tc>
          <w:tcPr>
            <w:tcW w:w="2085" w:type="dxa"/>
          </w:tcPr>
          <w:p w14:paraId="798CC483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65.81 ± 7.39</w:t>
            </w:r>
          </w:p>
        </w:tc>
        <w:tc>
          <w:tcPr>
            <w:tcW w:w="2085" w:type="dxa"/>
          </w:tcPr>
          <w:p w14:paraId="285BD87E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75.47 ± 5.38</w:t>
            </w:r>
          </w:p>
        </w:tc>
        <w:tc>
          <w:tcPr>
            <w:tcW w:w="1766" w:type="dxa"/>
          </w:tcPr>
          <w:p w14:paraId="668D19D6" w14:textId="77777777" w:rsidR="00C00C52" w:rsidRPr="00B12022" w:rsidRDefault="00C00C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77.84 ± 3.99</w:t>
            </w:r>
          </w:p>
        </w:tc>
      </w:tr>
    </w:tbl>
    <w:p w14:paraId="31955EB6" w14:textId="4D2BB4CE" w:rsidR="00603B96" w:rsidRPr="00C50798" w:rsidRDefault="00603B96" w:rsidP="00603B96">
      <w:pPr>
        <w:rPr>
          <w:rFonts w:ascii="Times New Roman" w:hAnsi="Times New Roman" w:cs="Times New Roman"/>
          <w:i/>
          <w:iCs/>
          <w:sz w:val="16"/>
          <w:szCs w:val="16"/>
        </w:rPr>
      </w:pPr>
      <w:r w:rsidRPr="00603B96">
        <w:rPr>
          <w:rFonts w:ascii="Arial" w:hAnsi="Arial" w:cs="Arial"/>
          <w:b/>
          <w:bCs/>
          <w:i/>
          <w:iCs/>
          <w:sz w:val="22"/>
          <w:szCs w:val="22"/>
        </w:rPr>
        <w:t xml:space="preserve">Table </w:t>
      </w:r>
      <w:r>
        <w:rPr>
          <w:rFonts w:ascii="Arial" w:hAnsi="Arial" w:cs="Arial"/>
          <w:b/>
          <w:bCs/>
          <w:i/>
          <w:iCs/>
          <w:sz w:val="22"/>
          <w:szCs w:val="22"/>
        </w:rPr>
        <w:t>S4</w:t>
      </w:r>
      <w:r w:rsidRPr="00603B96">
        <w:rPr>
          <w:rFonts w:ascii="Arial" w:hAnsi="Arial" w:cs="Arial"/>
          <w:b/>
          <w:bCs/>
          <w:i/>
          <w:iCs/>
          <w:sz w:val="22"/>
          <w:szCs w:val="22"/>
        </w:rPr>
        <w:t xml:space="preserve">: </w:t>
      </w:r>
      <w:r w:rsidRPr="00603B96">
        <w:rPr>
          <w:rFonts w:ascii="Arial" w:hAnsi="Arial" w:cs="Arial"/>
          <w:i/>
          <w:iCs/>
          <w:sz w:val="22"/>
          <w:szCs w:val="22"/>
        </w:rPr>
        <w:t>HR and C-Index of all models including cell-type specific, all-cell and combined models. The table also shows the 95% confidence interval of the HRs with a p-value &lt; 0.005, as well as the standard deviation of C-Index across folds</w:t>
      </w:r>
      <w:r w:rsidRPr="00C50798">
        <w:rPr>
          <w:rFonts w:ascii="Times New Roman" w:hAnsi="Times New Roman" w:cs="Times New Roman"/>
          <w:i/>
          <w:iCs/>
          <w:sz w:val="16"/>
          <w:szCs w:val="16"/>
        </w:rPr>
        <w:t>.</w:t>
      </w:r>
    </w:p>
    <w:tbl>
      <w:tblPr>
        <w:tblStyle w:val="ListTable1Light"/>
        <w:tblW w:w="6476" w:type="dxa"/>
        <w:jc w:val="center"/>
        <w:tblLook w:val="06A0" w:firstRow="1" w:lastRow="0" w:firstColumn="1" w:lastColumn="0" w:noHBand="1" w:noVBand="1"/>
      </w:tblPr>
      <w:tblGrid>
        <w:gridCol w:w="2700"/>
        <w:gridCol w:w="2070"/>
        <w:gridCol w:w="1706"/>
      </w:tblGrid>
      <w:tr w:rsidR="00603B96" w:rsidRPr="00D21158" w14:paraId="13D0AD1D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4A5F3E77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Model</w:t>
            </w:r>
          </w:p>
        </w:tc>
        <w:tc>
          <w:tcPr>
            <w:tcW w:w="2070" w:type="dxa"/>
          </w:tcPr>
          <w:p w14:paraId="42EC269C" w14:textId="77777777" w:rsidR="00603B96" w:rsidRPr="00D21158" w:rsidRDefault="00603B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HR</w:t>
            </w:r>
          </w:p>
        </w:tc>
        <w:tc>
          <w:tcPr>
            <w:tcW w:w="1706" w:type="dxa"/>
          </w:tcPr>
          <w:p w14:paraId="7891FE2B" w14:textId="77777777" w:rsidR="00603B96" w:rsidRPr="00D21158" w:rsidRDefault="00603B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C-Index</w:t>
            </w:r>
          </w:p>
        </w:tc>
      </w:tr>
      <w:tr w:rsidR="00603B96" w:rsidRPr="00D21158" w14:paraId="3FB7F932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478DDDD1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Stromal Cell</w:t>
            </w:r>
          </w:p>
        </w:tc>
        <w:tc>
          <w:tcPr>
            <w:tcW w:w="2070" w:type="dxa"/>
          </w:tcPr>
          <w:p w14:paraId="2883822E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5.44 [2.69–11.02]</w:t>
            </w:r>
          </w:p>
        </w:tc>
        <w:tc>
          <w:tcPr>
            <w:tcW w:w="1706" w:type="dxa"/>
          </w:tcPr>
          <w:p w14:paraId="5825DDB9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0.671 ± 0.05</w:t>
            </w:r>
          </w:p>
        </w:tc>
      </w:tr>
      <w:tr w:rsidR="00603B96" w:rsidRPr="00D21158" w14:paraId="58DF0B08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0FDFB7BA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Inflammatory Cell</w:t>
            </w:r>
          </w:p>
        </w:tc>
        <w:tc>
          <w:tcPr>
            <w:tcW w:w="2070" w:type="dxa"/>
          </w:tcPr>
          <w:p w14:paraId="149815C4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5.06 [2.41–10.62]</w:t>
            </w:r>
          </w:p>
        </w:tc>
        <w:tc>
          <w:tcPr>
            <w:tcW w:w="1706" w:type="dxa"/>
          </w:tcPr>
          <w:p w14:paraId="2987C6B6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0.666 ± 0.02</w:t>
            </w:r>
          </w:p>
        </w:tc>
      </w:tr>
      <w:tr w:rsidR="00603B96" w:rsidRPr="00D21158" w14:paraId="1BB13712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7FB726B7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Neoplastic Cell</w:t>
            </w:r>
          </w:p>
        </w:tc>
        <w:tc>
          <w:tcPr>
            <w:tcW w:w="2070" w:type="dxa"/>
          </w:tcPr>
          <w:p w14:paraId="30554181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4.98 [2.46–10.06]</w:t>
            </w:r>
          </w:p>
        </w:tc>
        <w:tc>
          <w:tcPr>
            <w:tcW w:w="1706" w:type="dxa"/>
          </w:tcPr>
          <w:p w14:paraId="51BEB1A0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0.663 ± 0.04</w:t>
            </w:r>
          </w:p>
        </w:tc>
      </w:tr>
      <w:tr w:rsidR="00603B96" w:rsidRPr="00D21158" w14:paraId="65EBC734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789A6F40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Dead Cell</w:t>
            </w:r>
          </w:p>
        </w:tc>
        <w:tc>
          <w:tcPr>
            <w:tcW w:w="2070" w:type="dxa"/>
          </w:tcPr>
          <w:p w14:paraId="57AACF8D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5.69 [2.96–10.96]</w:t>
            </w:r>
          </w:p>
        </w:tc>
        <w:tc>
          <w:tcPr>
            <w:tcW w:w="1706" w:type="dxa"/>
          </w:tcPr>
          <w:p w14:paraId="4EE9443D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0.688 ± 0.02</w:t>
            </w:r>
          </w:p>
        </w:tc>
      </w:tr>
      <w:tr w:rsidR="00603B96" w:rsidRPr="00D21158" w14:paraId="3E2CB620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2145F713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Benign Epithelial Cell</w:t>
            </w:r>
          </w:p>
        </w:tc>
        <w:tc>
          <w:tcPr>
            <w:tcW w:w="2070" w:type="dxa"/>
          </w:tcPr>
          <w:p w14:paraId="14245DEF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6.04 [3.15–11.56]</w:t>
            </w:r>
          </w:p>
        </w:tc>
        <w:tc>
          <w:tcPr>
            <w:tcW w:w="1706" w:type="dxa"/>
          </w:tcPr>
          <w:p w14:paraId="52345EFB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0.708 ± 0.02</w:t>
            </w:r>
          </w:p>
        </w:tc>
      </w:tr>
      <w:tr w:rsidR="00603B96" w:rsidRPr="00D21158" w14:paraId="3627BF36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5453B587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All-Cells</w:t>
            </w:r>
          </w:p>
        </w:tc>
        <w:tc>
          <w:tcPr>
            <w:tcW w:w="2070" w:type="dxa"/>
          </w:tcPr>
          <w:p w14:paraId="2A67D5F5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7.70 [3.80–15.60]</w:t>
            </w:r>
          </w:p>
        </w:tc>
        <w:tc>
          <w:tcPr>
            <w:tcW w:w="1706" w:type="dxa"/>
          </w:tcPr>
          <w:p w14:paraId="6C87F0A4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0.698 ± 0.03</w:t>
            </w:r>
          </w:p>
        </w:tc>
      </w:tr>
      <w:tr w:rsidR="00603B96" w:rsidRPr="00D21158" w14:paraId="65D5EBE0" w14:textId="77777777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00" w:type="dxa"/>
          </w:tcPr>
          <w:p w14:paraId="2DDF495E" w14:textId="77777777" w:rsidR="00603B96" w:rsidRPr="00D21158" w:rsidRDefault="00603B96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</w:rPr>
              <w:t>Combined Model</w:t>
            </w:r>
          </w:p>
        </w:tc>
        <w:tc>
          <w:tcPr>
            <w:tcW w:w="2070" w:type="dxa"/>
          </w:tcPr>
          <w:p w14:paraId="6A0E7150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9.54 [4.34–20.98]</w:t>
            </w:r>
          </w:p>
        </w:tc>
        <w:tc>
          <w:tcPr>
            <w:tcW w:w="1706" w:type="dxa"/>
          </w:tcPr>
          <w:p w14:paraId="471E05EB" w14:textId="77777777" w:rsidR="00603B96" w:rsidRPr="00D21158" w:rsidRDefault="00603B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21158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0.704 ± 0.02</w:t>
            </w:r>
          </w:p>
        </w:tc>
      </w:tr>
    </w:tbl>
    <w:p w14:paraId="15E25E83" w14:textId="25FFAF3E" w:rsidR="00587842" w:rsidRPr="00587842" w:rsidRDefault="00587842" w:rsidP="00587842">
      <w:pPr>
        <w:rPr>
          <w:rFonts w:ascii="Arial" w:hAnsi="Arial" w:cs="Arial"/>
          <w:sz w:val="22"/>
          <w:szCs w:val="22"/>
        </w:rPr>
      </w:pPr>
      <w:r w:rsidRPr="00587842">
        <w:rPr>
          <w:rFonts w:ascii="Arial" w:hAnsi="Arial" w:cs="Arial"/>
          <w:b/>
          <w:bCs/>
          <w:i/>
          <w:iCs/>
          <w:sz w:val="22"/>
          <w:szCs w:val="22"/>
        </w:rPr>
        <w:t>Table S</w:t>
      </w:r>
      <w:r w:rsidR="0013558F">
        <w:rPr>
          <w:rFonts w:ascii="Arial" w:hAnsi="Arial" w:cs="Arial"/>
          <w:b/>
          <w:bCs/>
          <w:i/>
          <w:iCs/>
          <w:sz w:val="22"/>
          <w:szCs w:val="22"/>
        </w:rPr>
        <w:t>5</w:t>
      </w:r>
      <w:r w:rsidRPr="00587842">
        <w:rPr>
          <w:rFonts w:ascii="Arial" w:hAnsi="Arial" w:cs="Arial"/>
          <w:b/>
          <w:bCs/>
          <w:i/>
          <w:iCs/>
          <w:sz w:val="22"/>
          <w:szCs w:val="22"/>
        </w:rPr>
        <w:t>:</w:t>
      </w:r>
      <w:r w:rsidRPr="00587842">
        <w:rPr>
          <w:rFonts w:ascii="Arial" w:hAnsi="Arial" w:cs="Arial"/>
          <w:i/>
          <w:iCs/>
          <w:sz w:val="22"/>
          <w:szCs w:val="22"/>
        </w:rPr>
        <w:t xml:space="preserve"> Subgroup-wise performance metrics of the model across demographic and clinical variables. N denotes the number of patients in each subgroup. The results are reported by combining the test splits from all cross-validation folds, ensuring complete coverage of the dataset. "Old Grade" refers to the traditional predominant pattern–based grading system in WHO 4</w:t>
      </w:r>
      <w:r w:rsidRPr="00587842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Pr="00587842">
        <w:rPr>
          <w:rFonts w:ascii="Arial" w:hAnsi="Arial" w:cs="Arial"/>
          <w:i/>
          <w:iCs/>
          <w:sz w:val="22"/>
          <w:szCs w:val="22"/>
        </w:rPr>
        <w:t xml:space="preserve"> Ed. (2015), whereas "New Grade" corresponds to the IASLC grading system in WHO 5</w:t>
      </w:r>
      <w:r w:rsidRPr="00587842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Pr="00587842">
        <w:rPr>
          <w:rFonts w:ascii="Arial" w:hAnsi="Arial" w:cs="Arial"/>
          <w:i/>
          <w:iCs/>
          <w:sz w:val="22"/>
          <w:szCs w:val="22"/>
        </w:rPr>
        <w:t xml:space="preserve"> Ed. (2021). Metrics reported include AUC, accuracy, sensitivity, and specificity, computed separately for each subgroup to evaluate model fairness and robustness.</w:t>
      </w:r>
    </w:p>
    <w:tbl>
      <w:tblPr>
        <w:tblStyle w:val="ListTable1Light"/>
        <w:tblW w:w="0" w:type="auto"/>
        <w:jc w:val="center"/>
        <w:tblLook w:val="06A0" w:firstRow="1" w:lastRow="0" w:firstColumn="1" w:lastColumn="0" w:noHBand="1" w:noVBand="1"/>
      </w:tblPr>
      <w:tblGrid>
        <w:gridCol w:w="1980"/>
        <w:gridCol w:w="1136"/>
        <w:gridCol w:w="1558"/>
        <w:gridCol w:w="1558"/>
        <w:gridCol w:w="1559"/>
        <w:gridCol w:w="1559"/>
      </w:tblGrid>
      <w:tr w:rsidR="00587842" w:rsidRPr="00E87606" w14:paraId="4A88667B" w14:textId="77777777" w:rsidTr="007D6E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28507FB7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Subgroup</w:t>
            </w:r>
          </w:p>
        </w:tc>
        <w:tc>
          <w:tcPr>
            <w:tcW w:w="1136" w:type="dxa"/>
          </w:tcPr>
          <w:p w14:paraId="334044D5" w14:textId="77777777" w:rsidR="00587842" w:rsidRPr="00E87606" w:rsidRDefault="005878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N</w:t>
            </w:r>
          </w:p>
        </w:tc>
        <w:tc>
          <w:tcPr>
            <w:tcW w:w="1558" w:type="dxa"/>
          </w:tcPr>
          <w:p w14:paraId="439D5F71" w14:textId="77777777" w:rsidR="00587842" w:rsidRPr="00E87606" w:rsidRDefault="005878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Accuracy</w:t>
            </w:r>
          </w:p>
        </w:tc>
        <w:tc>
          <w:tcPr>
            <w:tcW w:w="1558" w:type="dxa"/>
          </w:tcPr>
          <w:p w14:paraId="07635782" w14:textId="77777777" w:rsidR="00587842" w:rsidRPr="00E87606" w:rsidRDefault="005878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Sensitivity</w:t>
            </w:r>
          </w:p>
        </w:tc>
        <w:tc>
          <w:tcPr>
            <w:tcW w:w="1559" w:type="dxa"/>
          </w:tcPr>
          <w:p w14:paraId="0920C775" w14:textId="77777777" w:rsidR="00587842" w:rsidRPr="00E87606" w:rsidRDefault="005878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Specificity</w:t>
            </w:r>
          </w:p>
        </w:tc>
        <w:tc>
          <w:tcPr>
            <w:tcW w:w="1559" w:type="dxa"/>
          </w:tcPr>
          <w:p w14:paraId="499093F1" w14:textId="77777777" w:rsidR="00587842" w:rsidRPr="00E87606" w:rsidRDefault="0058784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AUC</w:t>
            </w:r>
          </w:p>
        </w:tc>
      </w:tr>
      <w:tr w:rsidR="00587842" w:rsidRPr="00E87606" w14:paraId="76CAF9DE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DD06608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White</w:t>
            </w:r>
          </w:p>
        </w:tc>
        <w:tc>
          <w:tcPr>
            <w:tcW w:w="1136" w:type="dxa"/>
          </w:tcPr>
          <w:p w14:paraId="6EE7299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149</w:t>
            </w:r>
          </w:p>
        </w:tc>
        <w:tc>
          <w:tcPr>
            <w:tcW w:w="1558" w:type="dxa"/>
          </w:tcPr>
          <w:p w14:paraId="3533098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71.14</w:t>
            </w:r>
          </w:p>
        </w:tc>
        <w:tc>
          <w:tcPr>
            <w:tcW w:w="1558" w:type="dxa"/>
          </w:tcPr>
          <w:p w14:paraId="0201562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66.67</w:t>
            </w:r>
          </w:p>
        </w:tc>
        <w:tc>
          <w:tcPr>
            <w:tcW w:w="1559" w:type="dxa"/>
          </w:tcPr>
          <w:p w14:paraId="08524B3E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73.91</w:t>
            </w:r>
          </w:p>
        </w:tc>
        <w:tc>
          <w:tcPr>
            <w:tcW w:w="1559" w:type="dxa"/>
          </w:tcPr>
          <w:p w14:paraId="581D4ACA" w14:textId="6E463786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75.93</w:t>
            </w:r>
          </w:p>
        </w:tc>
      </w:tr>
      <w:tr w:rsidR="00587842" w:rsidRPr="00E87606" w14:paraId="57EDEDF1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3E0AA0A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African American</w:t>
            </w:r>
          </w:p>
        </w:tc>
        <w:tc>
          <w:tcPr>
            <w:tcW w:w="1136" w:type="dxa"/>
          </w:tcPr>
          <w:p w14:paraId="3CE82D28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1558" w:type="dxa"/>
          </w:tcPr>
          <w:p w14:paraId="3219241C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65.00</w:t>
            </w:r>
          </w:p>
        </w:tc>
        <w:tc>
          <w:tcPr>
            <w:tcW w:w="1558" w:type="dxa"/>
          </w:tcPr>
          <w:p w14:paraId="098B121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75.00</w:t>
            </w:r>
          </w:p>
        </w:tc>
        <w:tc>
          <w:tcPr>
            <w:tcW w:w="1559" w:type="dxa"/>
          </w:tcPr>
          <w:p w14:paraId="37413CD1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58.33</w:t>
            </w:r>
          </w:p>
        </w:tc>
        <w:tc>
          <w:tcPr>
            <w:tcW w:w="1559" w:type="dxa"/>
          </w:tcPr>
          <w:p w14:paraId="5CC6F691" w14:textId="16CD0DB6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77.08</w:t>
            </w:r>
          </w:p>
        </w:tc>
      </w:tr>
      <w:tr w:rsidR="00587842" w:rsidRPr="00E87606" w14:paraId="018F99EE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5DCE2B83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Age &lt; 65</w:t>
            </w:r>
          </w:p>
        </w:tc>
        <w:tc>
          <w:tcPr>
            <w:tcW w:w="1136" w:type="dxa"/>
          </w:tcPr>
          <w:p w14:paraId="49682F2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1558" w:type="dxa"/>
          </w:tcPr>
          <w:p w14:paraId="3CE6FBC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66.00</w:t>
            </w:r>
          </w:p>
        </w:tc>
        <w:tc>
          <w:tcPr>
            <w:tcW w:w="1558" w:type="dxa"/>
          </w:tcPr>
          <w:p w14:paraId="045716F5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64.71</w:t>
            </w:r>
          </w:p>
        </w:tc>
        <w:tc>
          <w:tcPr>
            <w:tcW w:w="1559" w:type="dxa"/>
          </w:tcPr>
          <w:p w14:paraId="1C1877EB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66.67</w:t>
            </w:r>
          </w:p>
        </w:tc>
        <w:tc>
          <w:tcPr>
            <w:tcW w:w="1559" w:type="dxa"/>
          </w:tcPr>
          <w:p w14:paraId="71BD2DB6" w14:textId="5393C6AC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69.56</w:t>
            </w:r>
          </w:p>
        </w:tc>
      </w:tr>
      <w:tr w:rsidR="00587842" w:rsidRPr="00E87606" w14:paraId="735039A5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D10E7D8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Age &gt;= 65</w:t>
            </w:r>
          </w:p>
        </w:tc>
        <w:tc>
          <w:tcPr>
            <w:tcW w:w="1136" w:type="dxa"/>
          </w:tcPr>
          <w:p w14:paraId="0C9B4601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89</w:t>
            </w:r>
          </w:p>
        </w:tc>
        <w:tc>
          <w:tcPr>
            <w:tcW w:w="1558" w:type="dxa"/>
          </w:tcPr>
          <w:p w14:paraId="3BD94F08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74.16</w:t>
            </w:r>
          </w:p>
        </w:tc>
        <w:tc>
          <w:tcPr>
            <w:tcW w:w="1558" w:type="dxa"/>
          </w:tcPr>
          <w:p w14:paraId="1AB9C85D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65.79</w:t>
            </w:r>
          </w:p>
        </w:tc>
        <w:tc>
          <w:tcPr>
            <w:tcW w:w="1559" w:type="dxa"/>
          </w:tcPr>
          <w:p w14:paraId="6448652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80.39</w:t>
            </w:r>
          </w:p>
        </w:tc>
        <w:tc>
          <w:tcPr>
            <w:tcW w:w="1559" w:type="dxa"/>
          </w:tcPr>
          <w:p w14:paraId="485EAE44" w14:textId="6739A03B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80.70</w:t>
            </w:r>
          </w:p>
        </w:tc>
      </w:tr>
      <w:tr w:rsidR="00587842" w:rsidRPr="00E87606" w14:paraId="331ABEB2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7C07210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Female</w:t>
            </w:r>
          </w:p>
        </w:tc>
        <w:tc>
          <w:tcPr>
            <w:tcW w:w="1136" w:type="dxa"/>
          </w:tcPr>
          <w:p w14:paraId="5CE4CB38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107</w:t>
            </w:r>
          </w:p>
        </w:tc>
        <w:tc>
          <w:tcPr>
            <w:tcW w:w="1558" w:type="dxa"/>
          </w:tcPr>
          <w:p w14:paraId="5055036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69.16</w:t>
            </w:r>
          </w:p>
        </w:tc>
        <w:tc>
          <w:tcPr>
            <w:tcW w:w="1558" w:type="dxa"/>
          </w:tcPr>
          <w:p w14:paraId="68705B03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61.29</w:t>
            </w:r>
          </w:p>
        </w:tc>
        <w:tc>
          <w:tcPr>
            <w:tcW w:w="1559" w:type="dxa"/>
          </w:tcPr>
          <w:p w14:paraId="39605EB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72.37</w:t>
            </w:r>
          </w:p>
        </w:tc>
        <w:tc>
          <w:tcPr>
            <w:tcW w:w="1559" w:type="dxa"/>
          </w:tcPr>
          <w:p w14:paraId="411DE659" w14:textId="28C4D8EB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71.43</w:t>
            </w:r>
          </w:p>
        </w:tc>
      </w:tr>
      <w:tr w:rsidR="00587842" w:rsidRPr="00E87606" w14:paraId="7E8B65AD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24128EC1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Male</w:t>
            </w:r>
          </w:p>
        </w:tc>
        <w:tc>
          <w:tcPr>
            <w:tcW w:w="1136" w:type="dxa"/>
          </w:tcPr>
          <w:p w14:paraId="76FB3EA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</w:tc>
        <w:tc>
          <w:tcPr>
            <w:tcW w:w="1558" w:type="dxa"/>
          </w:tcPr>
          <w:p w14:paraId="1F9F83E2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70.13</w:t>
            </w:r>
          </w:p>
        </w:tc>
        <w:tc>
          <w:tcPr>
            <w:tcW w:w="1558" w:type="dxa"/>
          </w:tcPr>
          <w:p w14:paraId="4593284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69.23</w:t>
            </w:r>
          </w:p>
        </w:tc>
        <w:tc>
          <w:tcPr>
            <w:tcW w:w="1559" w:type="dxa"/>
          </w:tcPr>
          <w:p w14:paraId="397D07F5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71.05</w:t>
            </w:r>
          </w:p>
        </w:tc>
        <w:tc>
          <w:tcPr>
            <w:tcW w:w="1559" w:type="dxa"/>
          </w:tcPr>
          <w:p w14:paraId="0CA70585" w14:textId="22C26EEA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75.44</w:t>
            </w:r>
          </w:p>
        </w:tc>
      </w:tr>
      <w:tr w:rsidR="00587842" w:rsidRPr="00E87606" w14:paraId="24FC4A6D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4C89E0D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New Grade G1</w:t>
            </w:r>
          </w:p>
        </w:tc>
        <w:tc>
          <w:tcPr>
            <w:tcW w:w="1136" w:type="dxa"/>
          </w:tcPr>
          <w:p w14:paraId="5F642A78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1558" w:type="dxa"/>
          </w:tcPr>
          <w:p w14:paraId="20BE1DF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87.50</w:t>
            </w:r>
          </w:p>
        </w:tc>
        <w:tc>
          <w:tcPr>
            <w:tcW w:w="1558" w:type="dxa"/>
          </w:tcPr>
          <w:p w14:paraId="388FE3B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100.00</w:t>
            </w:r>
          </w:p>
        </w:tc>
        <w:tc>
          <w:tcPr>
            <w:tcW w:w="1559" w:type="dxa"/>
          </w:tcPr>
          <w:p w14:paraId="0320E285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86.96</w:t>
            </w:r>
          </w:p>
        </w:tc>
        <w:tc>
          <w:tcPr>
            <w:tcW w:w="1559" w:type="dxa"/>
          </w:tcPr>
          <w:p w14:paraId="1F9EAA69" w14:textId="1825BBAF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86.96</w:t>
            </w:r>
          </w:p>
        </w:tc>
      </w:tr>
      <w:tr w:rsidR="00587842" w:rsidRPr="00E87606" w14:paraId="06C50092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DBFFEA0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New Grade G2</w:t>
            </w:r>
          </w:p>
        </w:tc>
        <w:tc>
          <w:tcPr>
            <w:tcW w:w="1136" w:type="dxa"/>
          </w:tcPr>
          <w:p w14:paraId="499847D2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1558" w:type="dxa"/>
          </w:tcPr>
          <w:p w14:paraId="72081B5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73.58</w:t>
            </w:r>
          </w:p>
        </w:tc>
        <w:tc>
          <w:tcPr>
            <w:tcW w:w="1558" w:type="dxa"/>
          </w:tcPr>
          <w:p w14:paraId="3C0D4FC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70.00</w:t>
            </w:r>
          </w:p>
        </w:tc>
        <w:tc>
          <w:tcPr>
            <w:tcW w:w="1559" w:type="dxa"/>
          </w:tcPr>
          <w:p w14:paraId="65B9DB8E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74.42</w:t>
            </w:r>
          </w:p>
        </w:tc>
        <w:tc>
          <w:tcPr>
            <w:tcW w:w="1559" w:type="dxa"/>
          </w:tcPr>
          <w:p w14:paraId="2628D01F" w14:textId="7A9DF6A5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73.26</w:t>
            </w:r>
          </w:p>
        </w:tc>
      </w:tr>
      <w:tr w:rsidR="00587842" w:rsidRPr="00E87606" w14:paraId="0CE26576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EB38335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New Grade G3</w:t>
            </w:r>
          </w:p>
        </w:tc>
        <w:tc>
          <w:tcPr>
            <w:tcW w:w="1136" w:type="dxa"/>
          </w:tcPr>
          <w:p w14:paraId="57BD5B80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112</w:t>
            </w:r>
          </w:p>
        </w:tc>
        <w:tc>
          <w:tcPr>
            <w:tcW w:w="1558" w:type="dxa"/>
          </w:tcPr>
          <w:p w14:paraId="166C0FC6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64.29</w:t>
            </w:r>
          </w:p>
        </w:tc>
        <w:tc>
          <w:tcPr>
            <w:tcW w:w="1558" w:type="dxa"/>
          </w:tcPr>
          <w:p w14:paraId="4AA5E35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63.93</w:t>
            </w:r>
          </w:p>
        </w:tc>
        <w:tc>
          <w:tcPr>
            <w:tcW w:w="1559" w:type="dxa"/>
          </w:tcPr>
          <w:p w14:paraId="590F5439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64.71</w:t>
            </w:r>
          </w:p>
        </w:tc>
        <w:tc>
          <w:tcPr>
            <w:tcW w:w="1559" w:type="dxa"/>
          </w:tcPr>
          <w:p w14:paraId="3C1F03D2" w14:textId="190C227D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69.98</w:t>
            </w:r>
          </w:p>
        </w:tc>
      </w:tr>
      <w:tr w:rsidR="00587842" w:rsidRPr="00E87606" w14:paraId="4273E2E2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45B0EFF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Old Grade G1</w:t>
            </w:r>
          </w:p>
        </w:tc>
        <w:tc>
          <w:tcPr>
            <w:tcW w:w="1136" w:type="dxa"/>
          </w:tcPr>
          <w:p w14:paraId="145B3025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1558" w:type="dxa"/>
          </w:tcPr>
          <w:p w14:paraId="0952B750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75.44</w:t>
            </w:r>
          </w:p>
        </w:tc>
        <w:tc>
          <w:tcPr>
            <w:tcW w:w="1558" w:type="dxa"/>
          </w:tcPr>
          <w:p w14:paraId="454F308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60.00</w:t>
            </w:r>
          </w:p>
        </w:tc>
        <w:tc>
          <w:tcPr>
            <w:tcW w:w="1559" w:type="dxa"/>
          </w:tcPr>
          <w:p w14:paraId="0A06B625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78.72</w:t>
            </w:r>
          </w:p>
        </w:tc>
        <w:tc>
          <w:tcPr>
            <w:tcW w:w="1559" w:type="dxa"/>
          </w:tcPr>
          <w:p w14:paraId="3E8654E6" w14:textId="0193C358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69.36</w:t>
            </w:r>
          </w:p>
        </w:tc>
      </w:tr>
      <w:tr w:rsidR="00587842" w:rsidRPr="00E87606" w14:paraId="3974272A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2D3BE15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Old Grade G2</w:t>
            </w:r>
          </w:p>
        </w:tc>
        <w:tc>
          <w:tcPr>
            <w:tcW w:w="1136" w:type="dxa"/>
          </w:tcPr>
          <w:p w14:paraId="40301E7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102</w:t>
            </w:r>
          </w:p>
        </w:tc>
        <w:tc>
          <w:tcPr>
            <w:tcW w:w="1558" w:type="dxa"/>
          </w:tcPr>
          <w:p w14:paraId="110EB326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70.59</w:t>
            </w:r>
          </w:p>
        </w:tc>
        <w:tc>
          <w:tcPr>
            <w:tcW w:w="1558" w:type="dxa"/>
          </w:tcPr>
          <w:p w14:paraId="7BFB7771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70.83</w:t>
            </w:r>
          </w:p>
        </w:tc>
        <w:tc>
          <w:tcPr>
            <w:tcW w:w="1559" w:type="dxa"/>
          </w:tcPr>
          <w:p w14:paraId="7922248E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70.37</w:t>
            </w:r>
          </w:p>
        </w:tc>
        <w:tc>
          <w:tcPr>
            <w:tcW w:w="1559" w:type="dxa"/>
          </w:tcPr>
          <w:p w14:paraId="2DE15B31" w14:textId="1CB9C7B6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77.78</w:t>
            </w:r>
          </w:p>
        </w:tc>
      </w:tr>
      <w:tr w:rsidR="00587842" w:rsidRPr="00E87606" w14:paraId="559A6D01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380F5139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Old Grade G3</w:t>
            </w:r>
          </w:p>
        </w:tc>
        <w:tc>
          <w:tcPr>
            <w:tcW w:w="1136" w:type="dxa"/>
          </w:tcPr>
          <w:p w14:paraId="3EABBED0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1558" w:type="dxa"/>
          </w:tcPr>
          <w:p w14:paraId="5DC419DC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60.71</w:t>
            </w:r>
          </w:p>
        </w:tc>
        <w:tc>
          <w:tcPr>
            <w:tcW w:w="1558" w:type="dxa"/>
          </w:tcPr>
          <w:p w14:paraId="47210721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53.85</w:t>
            </w:r>
          </w:p>
        </w:tc>
        <w:tc>
          <w:tcPr>
            <w:tcW w:w="1559" w:type="dxa"/>
          </w:tcPr>
          <w:p w14:paraId="591B60A4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66.67</w:t>
            </w:r>
          </w:p>
        </w:tc>
        <w:tc>
          <w:tcPr>
            <w:tcW w:w="1559" w:type="dxa"/>
          </w:tcPr>
          <w:p w14:paraId="0A5763C0" w14:textId="1E2F4233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62.05</w:t>
            </w:r>
          </w:p>
        </w:tc>
      </w:tr>
      <w:tr w:rsidR="00587842" w:rsidRPr="00E87606" w14:paraId="539B3C78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2054984E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Stage I</w:t>
            </w:r>
          </w:p>
        </w:tc>
        <w:tc>
          <w:tcPr>
            <w:tcW w:w="1136" w:type="dxa"/>
          </w:tcPr>
          <w:p w14:paraId="6863B31D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130</w:t>
            </w:r>
          </w:p>
        </w:tc>
        <w:tc>
          <w:tcPr>
            <w:tcW w:w="1558" w:type="dxa"/>
          </w:tcPr>
          <w:p w14:paraId="53DB4403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73.85</w:t>
            </w:r>
          </w:p>
        </w:tc>
        <w:tc>
          <w:tcPr>
            <w:tcW w:w="1558" w:type="dxa"/>
          </w:tcPr>
          <w:p w14:paraId="1DCD172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64.86</w:t>
            </w:r>
          </w:p>
        </w:tc>
        <w:tc>
          <w:tcPr>
            <w:tcW w:w="1559" w:type="dxa"/>
          </w:tcPr>
          <w:p w14:paraId="5FFF35B9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77.42</w:t>
            </w:r>
          </w:p>
        </w:tc>
        <w:tc>
          <w:tcPr>
            <w:tcW w:w="1559" w:type="dxa"/>
          </w:tcPr>
          <w:p w14:paraId="5CBCD744" w14:textId="160B5C89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75.12</w:t>
            </w:r>
          </w:p>
        </w:tc>
      </w:tr>
      <w:tr w:rsidR="00587842" w:rsidRPr="00E87606" w14:paraId="577CD947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056BAF99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Stage II</w:t>
            </w:r>
          </w:p>
        </w:tc>
        <w:tc>
          <w:tcPr>
            <w:tcW w:w="1136" w:type="dxa"/>
          </w:tcPr>
          <w:p w14:paraId="0F3C388F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1558" w:type="dxa"/>
          </w:tcPr>
          <w:p w14:paraId="14526D5D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65.85</w:t>
            </w:r>
          </w:p>
        </w:tc>
        <w:tc>
          <w:tcPr>
            <w:tcW w:w="1558" w:type="dxa"/>
          </w:tcPr>
          <w:p w14:paraId="393A5117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69.57</w:t>
            </w:r>
          </w:p>
        </w:tc>
        <w:tc>
          <w:tcPr>
            <w:tcW w:w="1559" w:type="dxa"/>
          </w:tcPr>
          <w:p w14:paraId="0D45C410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61.11</w:t>
            </w:r>
          </w:p>
        </w:tc>
        <w:tc>
          <w:tcPr>
            <w:tcW w:w="1559" w:type="dxa"/>
          </w:tcPr>
          <w:p w14:paraId="487F5215" w14:textId="4CE99FDD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69.57</w:t>
            </w:r>
          </w:p>
        </w:tc>
      </w:tr>
      <w:tr w:rsidR="00587842" w:rsidRPr="00E87606" w14:paraId="37D116CE" w14:textId="77777777" w:rsidTr="00587842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BA856FA" w14:textId="77777777" w:rsidR="00587842" w:rsidRPr="00E87606" w:rsidRDefault="005878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Stage III</w:t>
            </w:r>
          </w:p>
        </w:tc>
        <w:tc>
          <w:tcPr>
            <w:tcW w:w="1136" w:type="dxa"/>
          </w:tcPr>
          <w:p w14:paraId="341D9B06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1558" w:type="dxa"/>
          </w:tcPr>
          <w:p w14:paraId="6ED105BA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53.33</w:t>
            </w:r>
          </w:p>
        </w:tc>
        <w:tc>
          <w:tcPr>
            <w:tcW w:w="1558" w:type="dxa"/>
          </w:tcPr>
          <w:p w14:paraId="63D59486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58.33</w:t>
            </w:r>
          </w:p>
        </w:tc>
        <w:tc>
          <w:tcPr>
            <w:tcW w:w="1559" w:type="dxa"/>
          </w:tcPr>
          <w:p w14:paraId="13AFBE83" w14:textId="77777777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33.33</w:t>
            </w:r>
          </w:p>
        </w:tc>
        <w:tc>
          <w:tcPr>
            <w:tcW w:w="1559" w:type="dxa"/>
          </w:tcPr>
          <w:p w14:paraId="582C554C" w14:textId="39A6CA4C" w:rsidR="00587842" w:rsidRPr="00E87606" w:rsidRDefault="005878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E87606">
              <w:rPr>
                <w:rFonts w:ascii="Times New Roman" w:hAnsi="Times New Roman" w:cs="Times New Roman"/>
                <w:sz w:val="16"/>
                <w:szCs w:val="16"/>
              </w:rPr>
              <w:t>52.78</w:t>
            </w:r>
          </w:p>
        </w:tc>
      </w:tr>
    </w:tbl>
    <w:p w14:paraId="59C75BC9" w14:textId="3BE1A533" w:rsidR="007D6E93" w:rsidRPr="004F1DC2" w:rsidRDefault="007D6E93" w:rsidP="007D6E93">
      <w:pPr>
        <w:rPr>
          <w:rFonts w:ascii="Arial" w:hAnsi="Arial" w:cs="Arial"/>
          <w:i/>
          <w:iCs/>
          <w:sz w:val="22"/>
          <w:szCs w:val="22"/>
        </w:rPr>
      </w:pPr>
      <w:r w:rsidRPr="004F1DC2">
        <w:rPr>
          <w:rFonts w:ascii="Arial" w:hAnsi="Arial" w:cs="Arial"/>
          <w:b/>
          <w:bCs/>
          <w:i/>
          <w:iCs/>
          <w:sz w:val="22"/>
          <w:szCs w:val="22"/>
        </w:rPr>
        <w:t xml:space="preserve">Table </w:t>
      </w:r>
      <w:r>
        <w:rPr>
          <w:rFonts w:ascii="Arial" w:hAnsi="Arial" w:cs="Arial"/>
          <w:b/>
          <w:bCs/>
          <w:i/>
          <w:iCs/>
          <w:sz w:val="22"/>
          <w:szCs w:val="22"/>
        </w:rPr>
        <w:t>S6</w:t>
      </w:r>
      <w:r w:rsidRPr="004F1DC2">
        <w:rPr>
          <w:rFonts w:ascii="Arial" w:hAnsi="Arial" w:cs="Arial"/>
          <w:b/>
          <w:bCs/>
          <w:i/>
          <w:iCs/>
          <w:sz w:val="22"/>
          <w:szCs w:val="22"/>
        </w:rPr>
        <w:t>:</w:t>
      </w:r>
      <w:r w:rsidRPr="004F1DC2">
        <w:rPr>
          <w:rFonts w:ascii="Arial" w:hAnsi="Arial" w:cs="Arial"/>
          <w:i/>
          <w:iCs/>
          <w:sz w:val="22"/>
          <w:szCs w:val="22"/>
        </w:rPr>
        <w:t xml:space="preserve"> Performance comparison of </w:t>
      </w:r>
      <w:r w:rsidR="008E417B">
        <w:rPr>
          <w:rFonts w:ascii="Arial" w:hAnsi="Arial" w:cs="Arial"/>
          <w:i/>
          <w:iCs/>
          <w:sz w:val="22"/>
          <w:szCs w:val="22"/>
        </w:rPr>
        <w:t>the best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>-</w:t>
      </w:r>
      <w:r w:rsidR="008E417B">
        <w:rPr>
          <w:rFonts w:ascii="Arial" w:hAnsi="Arial" w:cs="Arial"/>
          <w:i/>
          <w:iCs/>
          <w:sz w:val="22"/>
          <w:szCs w:val="22"/>
        </w:rPr>
        <w:t>performing models</w:t>
      </w:r>
      <w:r w:rsidR="00C45BA2">
        <w:rPr>
          <w:rFonts w:ascii="Arial" w:hAnsi="Arial" w:cs="Arial"/>
          <w:i/>
          <w:iCs/>
          <w:sz w:val="22"/>
          <w:szCs w:val="22"/>
        </w:rPr>
        <w:t xml:space="preserve">, 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>selected based</w:t>
      </w:r>
      <w:r w:rsidR="008E417B">
        <w:rPr>
          <w:rFonts w:ascii="Arial" w:hAnsi="Arial" w:cs="Arial"/>
          <w:i/>
          <w:iCs/>
          <w:sz w:val="22"/>
          <w:szCs w:val="22"/>
        </w:rPr>
        <w:t xml:space="preserve"> </w:t>
      </w:r>
      <w:r w:rsidR="00DB080E">
        <w:rPr>
          <w:rFonts w:ascii="Arial" w:hAnsi="Arial" w:cs="Arial"/>
          <w:i/>
          <w:iCs/>
          <w:sz w:val="22"/>
          <w:szCs w:val="22"/>
        </w:rPr>
        <w:t xml:space="preserve">on validation 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results from five-fold cross-validation </w:t>
      </w:r>
      <w:r w:rsidR="00487E97">
        <w:rPr>
          <w:rFonts w:ascii="Arial" w:hAnsi="Arial" w:cs="Arial"/>
          <w:i/>
          <w:iCs/>
          <w:sz w:val="22"/>
          <w:szCs w:val="22"/>
        </w:rPr>
        <w:t xml:space="preserve">on 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>the WFBCCC cohort</w:t>
      </w:r>
      <w:r w:rsidR="004500F5">
        <w:rPr>
          <w:rFonts w:ascii="Arial" w:hAnsi="Arial" w:cs="Arial"/>
          <w:i/>
          <w:iCs/>
          <w:sz w:val="22"/>
          <w:szCs w:val="22"/>
        </w:rPr>
        <w:t>,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 on the </w:t>
      </w:r>
      <w:r w:rsidR="00487E97">
        <w:rPr>
          <w:rFonts w:ascii="Arial" w:hAnsi="Arial" w:cs="Arial"/>
          <w:i/>
          <w:iCs/>
          <w:sz w:val="22"/>
          <w:szCs w:val="22"/>
        </w:rPr>
        <w:t>TCGA-LUAD</w:t>
      </w:r>
      <w:r w:rsidRPr="004F1DC2">
        <w:rPr>
          <w:rFonts w:ascii="Arial" w:hAnsi="Arial" w:cs="Arial"/>
          <w:i/>
          <w:iCs/>
          <w:sz w:val="22"/>
          <w:szCs w:val="22"/>
        </w:rPr>
        <w:t xml:space="preserve"> and </w:t>
      </w:r>
      <w:r w:rsidR="00487E97">
        <w:rPr>
          <w:rFonts w:ascii="Arial" w:hAnsi="Arial" w:cs="Arial"/>
          <w:i/>
          <w:iCs/>
          <w:sz w:val="22"/>
          <w:szCs w:val="22"/>
        </w:rPr>
        <w:t xml:space="preserve">CPTAC-LUAD 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external test sets. The table reports key performance metrics, including AUC, accuracy, </w:t>
      </w:r>
      <w:r w:rsidR="007D055F">
        <w:rPr>
          <w:rFonts w:ascii="Arial" w:hAnsi="Arial" w:cs="Arial"/>
          <w:i/>
          <w:iCs/>
          <w:sz w:val="22"/>
          <w:szCs w:val="22"/>
        </w:rPr>
        <w:t>sensitivity and specificity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, comparing </w:t>
      </w:r>
      <w:r w:rsidR="007D055F">
        <w:rPr>
          <w:rFonts w:ascii="Arial" w:hAnsi="Arial" w:cs="Arial"/>
          <w:i/>
          <w:iCs/>
          <w:sz w:val="22"/>
          <w:szCs w:val="22"/>
        </w:rPr>
        <w:t xml:space="preserve">state-of-the-art 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MIL methods and the proposed </w:t>
      </w:r>
      <w:r w:rsidR="009C30E0">
        <w:rPr>
          <w:rFonts w:ascii="Arial" w:hAnsi="Arial" w:cs="Arial"/>
          <w:i/>
          <w:iCs/>
          <w:sz w:val="22"/>
          <w:szCs w:val="22"/>
        </w:rPr>
        <w:t>PathRosetta</w:t>
      </w:r>
      <w:r w:rsidR="00C45BA2" w:rsidRPr="00C45BA2">
        <w:rPr>
          <w:rFonts w:ascii="Arial" w:hAnsi="Arial" w:cs="Arial"/>
          <w:i/>
          <w:iCs/>
          <w:sz w:val="22"/>
          <w:szCs w:val="22"/>
        </w:rPr>
        <w:t xml:space="preserve"> framework</w:t>
      </w:r>
      <w:r w:rsidRPr="004F1DC2">
        <w:rPr>
          <w:rFonts w:ascii="Arial" w:hAnsi="Arial" w:cs="Arial"/>
          <w:i/>
          <w:iCs/>
          <w:sz w:val="22"/>
          <w:szCs w:val="22"/>
        </w:rPr>
        <w:t>.</w:t>
      </w:r>
    </w:p>
    <w:tbl>
      <w:tblPr>
        <w:tblStyle w:val="ListTable1Light"/>
        <w:tblW w:w="0" w:type="auto"/>
        <w:tblLook w:val="06A0" w:firstRow="1" w:lastRow="0" w:firstColumn="1" w:lastColumn="0" w:noHBand="1" w:noVBand="1"/>
      </w:tblPr>
      <w:tblGrid>
        <w:gridCol w:w="1501"/>
        <w:gridCol w:w="1172"/>
        <w:gridCol w:w="1234"/>
        <w:gridCol w:w="1234"/>
        <w:gridCol w:w="435"/>
        <w:gridCol w:w="435"/>
        <w:gridCol w:w="1172"/>
        <w:gridCol w:w="1234"/>
        <w:gridCol w:w="1234"/>
        <w:gridCol w:w="435"/>
        <w:gridCol w:w="435"/>
      </w:tblGrid>
      <w:tr w:rsidR="00C41038" w:rsidRPr="00F731D2" w14:paraId="61CB0443" w14:textId="43F3F751" w:rsidTr="00090054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bottom w:val="single" w:sz="4" w:space="0" w:color="auto"/>
            </w:tcBorders>
          </w:tcPr>
          <w:p w14:paraId="3D28C1A6" w14:textId="77777777" w:rsidR="00C41038" w:rsidRPr="00B12022" w:rsidRDefault="00C4103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0" w:type="auto"/>
            <w:gridSpan w:val="4"/>
            <w:tcBorders>
              <w:bottom w:val="single" w:sz="4" w:space="0" w:color="auto"/>
            </w:tcBorders>
          </w:tcPr>
          <w:p w14:paraId="21234998" w14:textId="0AB49E5E" w:rsidR="00C41038" w:rsidRPr="00B12022" w:rsidRDefault="00D82C5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TCGA-LUAD</w:t>
            </w:r>
          </w:p>
        </w:tc>
        <w:tc>
          <w:tcPr>
            <w:tcW w:w="0" w:type="auto"/>
            <w:gridSpan w:val="5"/>
            <w:tcBorders>
              <w:bottom w:val="single" w:sz="4" w:space="0" w:color="auto"/>
            </w:tcBorders>
          </w:tcPr>
          <w:p w14:paraId="69E49453" w14:textId="11368CD0" w:rsidR="00634C9D" w:rsidRPr="00B12022" w:rsidRDefault="00D82C5E" w:rsidP="00634C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TCGA-CPTAC</w:t>
            </w:r>
          </w:p>
        </w:tc>
      </w:tr>
      <w:tr w:rsidR="007D6E93" w:rsidRPr="00F731D2" w14:paraId="2B9C56DB" w14:textId="5702B03E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0190456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Model</w:t>
            </w:r>
          </w:p>
        </w:tc>
        <w:tc>
          <w:tcPr>
            <w:tcW w:w="0" w:type="auto"/>
          </w:tcPr>
          <w:p w14:paraId="6AC83AAB" w14:textId="5B2AC786" w:rsidR="007D6E93" w:rsidRPr="00B12022" w:rsidRDefault="007D6E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Accuracy (%)</w:t>
            </w:r>
          </w:p>
        </w:tc>
        <w:tc>
          <w:tcPr>
            <w:tcW w:w="0" w:type="auto"/>
          </w:tcPr>
          <w:p w14:paraId="1E7FB3C0" w14:textId="7E145C27" w:rsidR="007D6E93" w:rsidRPr="00B12022" w:rsidRDefault="007D6E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Sensitivity (%)</w:t>
            </w:r>
          </w:p>
        </w:tc>
        <w:tc>
          <w:tcPr>
            <w:tcW w:w="0" w:type="auto"/>
          </w:tcPr>
          <w:p w14:paraId="241F8985" w14:textId="69026A34" w:rsidR="007D6E93" w:rsidRPr="00B12022" w:rsidRDefault="007D6E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Specificity (%)</w:t>
            </w:r>
          </w:p>
        </w:tc>
        <w:tc>
          <w:tcPr>
            <w:tcW w:w="0" w:type="auto"/>
            <w:gridSpan w:val="2"/>
          </w:tcPr>
          <w:p w14:paraId="68EB72B4" w14:textId="544158EE" w:rsidR="007D6E93" w:rsidRPr="00B12022" w:rsidRDefault="007D6E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AUC (%)</w:t>
            </w:r>
          </w:p>
        </w:tc>
        <w:tc>
          <w:tcPr>
            <w:tcW w:w="0" w:type="auto"/>
          </w:tcPr>
          <w:p w14:paraId="59273B75" w14:textId="50982864" w:rsidR="00634C9D" w:rsidRPr="00CB6021" w:rsidRDefault="00634C9D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Accuracy (%)</w:t>
            </w:r>
          </w:p>
        </w:tc>
        <w:tc>
          <w:tcPr>
            <w:tcW w:w="0" w:type="auto"/>
          </w:tcPr>
          <w:p w14:paraId="5120E469" w14:textId="78527445" w:rsidR="00634C9D" w:rsidRPr="00CB6021" w:rsidRDefault="00634C9D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Sensitivity (%)</w:t>
            </w:r>
          </w:p>
        </w:tc>
        <w:tc>
          <w:tcPr>
            <w:tcW w:w="0" w:type="auto"/>
          </w:tcPr>
          <w:p w14:paraId="75E77DB0" w14:textId="0E436325" w:rsidR="00634C9D" w:rsidRPr="00CB6021" w:rsidRDefault="00634C9D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Specificity (%)</w:t>
            </w:r>
          </w:p>
        </w:tc>
        <w:tc>
          <w:tcPr>
            <w:tcW w:w="0" w:type="auto"/>
            <w:gridSpan w:val="2"/>
          </w:tcPr>
          <w:p w14:paraId="4CCDB835" w14:textId="4A3F4175" w:rsidR="00634C9D" w:rsidRPr="00CB6021" w:rsidRDefault="00634C9D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6021">
              <w:rPr>
                <w:rFonts w:ascii="Times New Roman" w:hAnsi="Times New Roman" w:cs="Times New Roman"/>
                <w:b/>
                <w:sz w:val="16"/>
                <w:szCs w:val="16"/>
              </w:rPr>
              <w:t>AUC (%)</w:t>
            </w:r>
          </w:p>
        </w:tc>
      </w:tr>
      <w:tr w:rsidR="007D6E93" w:rsidRPr="00F731D2" w14:paraId="2134A7D5" w14:textId="788A66C6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7BCE5E1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AttMIL</w:t>
            </w:r>
            <w:proofErr w:type="spellEnd"/>
          </w:p>
        </w:tc>
        <w:tc>
          <w:tcPr>
            <w:tcW w:w="0" w:type="auto"/>
          </w:tcPr>
          <w:p w14:paraId="14CBA5CF" w14:textId="7F9348D7" w:rsidR="007D6E93" w:rsidRPr="00E9606D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E9606D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69.51</w:t>
            </w:r>
          </w:p>
        </w:tc>
        <w:tc>
          <w:tcPr>
            <w:tcW w:w="0" w:type="auto"/>
          </w:tcPr>
          <w:p w14:paraId="63A4AB19" w14:textId="57B33ACF" w:rsidR="007D6E93" w:rsidRPr="00E9606D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9606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90.38</w:t>
            </w:r>
          </w:p>
        </w:tc>
        <w:tc>
          <w:tcPr>
            <w:tcW w:w="0" w:type="auto"/>
          </w:tcPr>
          <w:p w14:paraId="3F44C110" w14:textId="2CC5FD8C" w:rsidR="007D6E93" w:rsidRPr="00B12022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33.33</w:t>
            </w:r>
          </w:p>
        </w:tc>
        <w:tc>
          <w:tcPr>
            <w:tcW w:w="0" w:type="auto"/>
            <w:gridSpan w:val="2"/>
          </w:tcPr>
          <w:p w14:paraId="4BAF5AA1" w14:textId="54C12FEE" w:rsidR="007D6E93" w:rsidRPr="00B12022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65.9</w:t>
            </w:r>
            <w:r w:rsidR="00782834" w:rsidRPr="00F731D2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0" w:type="auto"/>
          </w:tcPr>
          <w:p w14:paraId="60112FF9" w14:textId="060FA994" w:rsidR="00634C9D" w:rsidRPr="00B12022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50.00</w:t>
            </w:r>
          </w:p>
        </w:tc>
        <w:tc>
          <w:tcPr>
            <w:tcW w:w="0" w:type="auto"/>
          </w:tcPr>
          <w:p w14:paraId="0E6A41B8" w14:textId="3DDC7420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44.44</w:t>
            </w:r>
          </w:p>
        </w:tc>
        <w:tc>
          <w:tcPr>
            <w:tcW w:w="0" w:type="auto"/>
          </w:tcPr>
          <w:p w14:paraId="1D67F6A7" w14:textId="3D4503BC" w:rsidR="00634C9D" w:rsidRPr="00B12022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55.56</w:t>
            </w:r>
          </w:p>
        </w:tc>
        <w:tc>
          <w:tcPr>
            <w:tcW w:w="0" w:type="auto"/>
            <w:gridSpan w:val="2"/>
          </w:tcPr>
          <w:p w14:paraId="386E3118" w14:textId="2E6DB961" w:rsidR="00634C9D" w:rsidRPr="00B12022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45.68</w:t>
            </w:r>
          </w:p>
        </w:tc>
      </w:tr>
      <w:tr w:rsidR="007D6E93" w:rsidRPr="00F731D2" w14:paraId="580F6375" w14:textId="382C8BFD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C176BF2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TransMIL</w:t>
            </w:r>
          </w:p>
        </w:tc>
        <w:tc>
          <w:tcPr>
            <w:tcW w:w="0" w:type="auto"/>
          </w:tcPr>
          <w:p w14:paraId="29950D64" w14:textId="505E4F73" w:rsidR="007D6E93" w:rsidRPr="00B12022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59.76</w:t>
            </w:r>
          </w:p>
        </w:tc>
        <w:tc>
          <w:tcPr>
            <w:tcW w:w="0" w:type="auto"/>
          </w:tcPr>
          <w:p w14:paraId="562F6D26" w14:textId="11E3F038" w:rsidR="007D6E93" w:rsidRPr="00B12022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61.54</w:t>
            </w:r>
          </w:p>
        </w:tc>
        <w:tc>
          <w:tcPr>
            <w:tcW w:w="0" w:type="auto"/>
          </w:tcPr>
          <w:p w14:paraId="747B3101" w14:textId="429CAC3E" w:rsidR="007D6E93" w:rsidRPr="00B12022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56.67</w:t>
            </w:r>
          </w:p>
        </w:tc>
        <w:tc>
          <w:tcPr>
            <w:tcW w:w="0" w:type="auto"/>
            <w:gridSpan w:val="2"/>
          </w:tcPr>
          <w:p w14:paraId="3513EA47" w14:textId="3A3360B3" w:rsidR="007D6E93" w:rsidRPr="00B12022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63.59</w:t>
            </w:r>
          </w:p>
        </w:tc>
        <w:tc>
          <w:tcPr>
            <w:tcW w:w="0" w:type="auto"/>
          </w:tcPr>
          <w:p w14:paraId="2C4ACD86" w14:textId="0C68C75A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55.56</w:t>
            </w:r>
          </w:p>
        </w:tc>
        <w:tc>
          <w:tcPr>
            <w:tcW w:w="0" w:type="auto"/>
          </w:tcPr>
          <w:p w14:paraId="4CBB56E2" w14:textId="4D5FC378" w:rsidR="00634C9D" w:rsidRPr="00B12022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11.11</w:t>
            </w:r>
          </w:p>
        </w:tc>
        <w:tc>
          <w:tcPr>
            <w:tcW w:w="0" w:type="auto"/>
          </w:tcPr>
          <w:p w14:paraId="4A0107B3" w14:textId="66F564E0" w:rsidR="00634C9D" w:rsidRPr="00090054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100.0</w:t>
            </w:r>
          </w:p>
        </w:tc>
        <w:tc>
          <w:tcPr>
            <w:tcW w:w="0" w:type="auto"/>
            <w:gridSpan w:val="2"/>
          </w:tcPr>
          <w:p w14:paraId="24913193" w14:textId="426D8BB7" w:rsidR="00634C9D" w:rsidRPr="00ED44C1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ED44C1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62.96</w:t>
            </w:r>
          </w:p>
        </w:tc>
      </w:tr>
      <w:tr w:rsidR="007D6E93" w:rsidRPr="00F731D2" w14:paraId="7DB9E523" w14:textId="1F98FFD9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1676C26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CLAM</w:t>
            </w:r>
          </w:p>
        </w:tc>
        <w:tc>
          <w:tcPr>
            <w:tcW w:w="0" w:type="auto"/>
          </w:tcPr>
          <w:p w14:paraId="57ACD62E" w14:textId="4D1AC59E" w:rsidR="007D6E93" w:rsidRPr="00B12022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68.29</w:t>
            </w:r>
          </w:p>
        </w:tc>
        <w:tc>
          <w:tcPr>
            <w:tcW w:w="0" w:type="auto"/>
          </w:tcPr>
          <w:p w14:paraId="1CA17D87" w14:textId="70833FB9" w:rsidR="007D6E93" w:rsidRPr="00090054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86.54</w:t>
            </w:r>
          </w:p>
        </w:tc>
        <w:tc>
          <w:tcPr>
            <w:tcW w:w="0" w:type="auto"/>
          </w:tcPr>
          <w:p w14:paraId="7A595D36" w14:textId="0F888BD6" w:rsidR="007D6E93" w:rsidRPr="00B12022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36.67</w:t>
            </w:r>
          </w:p>
        </w:tc>
        <w:tc>
          <w:tcPr>
            <w:tcW w:w="0" w:type="auto"/>
            <w:gridSpan w:val="2"/>
          </w:tcPr>
          <w:p w14:paraId="5159D129" w14:textId="60118C1E" w:rsidR="007D6E93" w:rsidRPr="00B12022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65.64</w:t>
            </w:r>
          </w:p>
        </w:tc>
        <w:tc>
          <w:tcPr>
            <w:tcW w:w="0" w:type="auto"/>
          </w:tcPr>
          <w:p w14:paraId="765971D0" w14:textId="2AB48BA8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55.56</w:t>
            </w:r>
          </w:p>
        </w:tc>
        <w:tc>
          <w:tcPr>
            <w:tcW w:w="0" w:type="auto"/>
          </w:tcPr>
          <w:p w14:paraId="60702B47" w14:textId="6DDAB63F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66.67</w:t>
            </w:r>
          </w:p>
        </w:tc>
        <w:tc>
          <w:tcPr>
            <w:tcW w:w="0" w:type="auto"/>
          </w:tcPr>
          <w:p w14:paraId="4A39203A" w14:textId="588ED88E" w:rsidR="00634C9D" w:rsidRPr="00B12022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44.44</w:t>
            </w:r>
          </w:p>
        </w:tc>
        <w:tc>
          <w:tcPr>
            <w:tcW w:w="0" w:type="auto"/>
            <w:gridSpan w:val="2"/>
          </w:tcPr>
          <w:p w14:paraId="0C963E52" w14:textId="7F95BE46" w:rsidR="00634C9D" w:rsidRPr="00ED44C1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ED44C1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62.96</w:t>
            </w:r>
          </w:p>
        </w:tc>
      </w:tr>
      <w:tr w:rsidR="007D6E93" w:rsidRPr="00F731D2" w14:paraId="65DC4288" w14:textId="0BA2EDDA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F986859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CAMIL</w:t>
            </w:r>
          </w:p>
        </w:tc>
        <w:tc>
          <w:tcPr>
            <w:tcW w:w="0" w:type="auto"/>
          </w:tcPr>
          <w:p w14:paraId="74E80940" w14:textId="281F95AA" w:rsidR="007D6E93" w:rsidRPr="00B12022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  <w:r w:rsidR="00165F43" w:rsidRPr="00F731D2">
              <w:rPr>
                <w:rFonts w:ascii="Times New Roman" w:hAnsi="Times New Roman" w:cs="Times New Roman"/>
                <w:sz w:val="16"/>
                <w:szCs w:val="16"/>
              </w:rPr>
              <w:t>.00</w:t>
            </w:r>
          </w:p>
        </w:tc>
        <w:tc>
          <w:tcPr>
            <w:tcW w:w="0" w:type="auto"/>
          </w:tcPr>
          <w:p w14:paraId="04B7E42D" w14:textId="7630A2ED" w:rsidR="007D6E93" w:rsidRPr="00B12022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26.92</w:t>
            </w:r>
          </w:p>
        </w:tc>
        <w:tc>
          <w:tcPr>
            <w:tcW w:w="0" w:type="auto"/>
          </w:tcPr>
          <w:p w14:paraId="1DB932A5" w14:textId="7648EF68" w:rsidR="007D6E93" w:rsidRPr="00090054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90</w:t>
            </w:r>
            <w:r w:rsidR="002704E9"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.00</w:t>
            </w:r>
          </w:p>
        </w:tc>
        <w:tc>
          <w:tcPr>
            <w:tcW w:w="0" w:type="auto"/>
            <w:gridSpan w:val="2"/>
          </w:tcPr>
          <w:p w14:paraId="64D8A26E" w14:textId="1C39339E" w:rsidR="007D6E93" w:rsidRPr="00B12022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63.46</w:t>
            </w:r>
          </w:p>
        </w:tc>
        <w:tc>
          <w:tcPr>
            <w:tcW w:w="0" w:type="auto"/>
          </w:tcPr>
          <w:p w14:paraId="308AFA7E" w14:textId="6B5E7C34" w:rsidR="00634C9D" w:rsidRPr="00B12022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33.33</w:t>
            </w:r>
          </w:p>
        </w:tc>
        <w:tc>
          <w:tcPr>
            <w:tcW w:w="0" w:type="auto"/>
          </w:tcPr>
          <w:p w14:paraId="5EB87B7A" w14:textId="5983964B" w:rsidR="00634C9D" w:rsidRPr="00B12022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00.00</w:t>
            </w:r>
          </w:p>
        </w:tc>
        <w:tc>
          <w:tcPr>
            <w:tcW w:w="0" w:type="auto"/>
          </w:tcPr>
          <w:p w14:paraId="6665F100" w14:textId="7B1694B4" w:rsidR="00634C9D" w:rsidRPr="00B12022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66.67</w:t>
            </w:r>
          </w:p>
        </w:tc>
        <w:tc>
          <w:tcPr>
            <w:tcW w:w="0" w:type="auto"/>
            <w:gridSpan w:val="2"/>
          </w:tcPr>
          <w:p w14:paraId="6FDB8C9A" w14:textId="2EB1789E" w:rsidR="00634C9D" w:rsidRPr="00B12022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38.27</w:t>
            </w:r>
          </w:p>
        </w:tc>
      </w:tr>
      <w:tr w:rsidR="007D6E93" w:rsidRPr="00F731D2" w14:paraId="68EEE9E1" w14:textId="1CE365D7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DF13CD0" w14:textId="77777777" w:rsidR="007D6E93" w:rsidRPr="00B12022" w:rsidRDefault="007D6E9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12022">
              <w:rPr>
                <w:rFonts w:ascii="Times New Roman" w:hAnsi="Times New Roman" w:cs="Times New Roman"/>
                <w:sz w:val="16"/>
                <w:szCs w:val="16"/>
              </w:rPr>
              <w:t>Kim et al.</w:t>
            </w:r>
          </w:p>
        </w:tc>
        <w:tc>
          <w:tcPr>
            <w:tcW w:w="0" w:type="auto"/>
          </w:tcPr>
          <w:p w14:paraId="3AB6D67F" w14:textId="2EDA2B4E" w:rsidR="007D6E93" w:rsidRPr="00B12022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68.29</w:t>
            </w:r>
          </w:p>
        </w:tc>
        <w:tc>
          <w:tcPr>
            <w:tcW w:w="0" w:type="auto"/>
          </w:tcPr>
          <w:p w14:paraId="134FA54C" w14:textId="42E74EB7" w:rsidR="007D6E93" w:rsidRPr="00B12022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82.69</w:t>
            </w:r>
          </w:p>
        </w:tc>
        <w:tc>
          <w:tcPr>
            <w:tcW w:w="0" w:type="auto"/>
          </w:tcPr>
          <w:p w14:paraId="7185224F" w14:textId="5584C8DA" w:rsidR="007D6E93" w:rsidRPr="00B12022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43.33</w:t>
            </w:r>
          </w:p>
        </w:tc>
        <w:tc>
          <w:tcPr>
            <w:tcW w:w="0" w:type="auto"/>
            <w:gridSpan w:val="2"/>
          </w:tcPr>
          <w:p w14:paraId="1B821867" w14:textId="597DEA45" w:rsidR="007D6E93" w:rsidRPr="00090054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69.68</w:t>
            </w:r>
          </w:p>
        </w:tc>
        <w:tc>
          <w:tcPr>
            <w:tcW w:w="0" w:type="auto"/>
          </w:tcPr>
          <w:p w14:paraId="10689AFC" w14:textId="22CFBE5E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55.56</w:t>
            </w:r>
          </w:p>
        </w:tc>
        <w:tc>
          <w:tcPr>
            <w:tcW w:w="0" w:type="auto"/>
          </w:tcPr>
          <w:p w14:paraId="180E674D" w14:textId="47AD12C7" w:rsidR="00634C9D" w:rsidRPr="00B12022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22.22</w:t>
            </w:r>
          </w:p>
        </w:tc>
        <w:tc>
          <w:tcPr>
            <w:tcW w:w="0" w:type="auto"/>
          </w:tcPr>
          <w:p w14:paraId="7B9DBFD3" w14:textId="2C53A46B" w:rsidR="00634C9D" w:rsidRPr="00090054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88.89</w:t>
            </w:r>
          </w:p>
        </w:tc>
        <w:tc>
          <w:tcPr>
            <w:tcW w:w="0" w:type="auto"/>
            <w:gridSpan w:val="2"/>
          </w:tcPr>
          <w:p w14:paraId="6DD4ED19" w14:textId="696D2288" w:rsidR="00634C9D" w:rsidRPr="00B12022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60.49</w:t>
            </w:r>
          </w:p>
        </w:tc>
      </w:tr>
      <w:tr w:rsidR="007D6E93" w:rsidRPr="00F731D2" w14:paraId="07964FDB" w14:textId="0103F39D" w:rsidTr="002A6ECF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D44E23F" w14:textId="2F95D958" w:rsidR="007D6E93" w:rsidRPr="00B12022" w:rsidRDefault="009C30E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PathRosetta</w:t>
            </w:r>
            <w:r w:rsidR="007D6E93" w:rsidRPr="00B12022">
              <w:rPr>
                <w:rFonts w:ascii="Times New Roman" w:hAnsi="Times New Roman" w:cs="Times New Roman"/>
                <w:sz w:val="16"/>
                <w:szCs w:val="16"/>
              </w:rPr>
              <w:t xml:space="preserve"> (ours)</w:t>
            </w:r>
          </w:p>
        </w:tc>
        <w:tc>
          <w:tcPr>
            <w:tcW w:w="0" w:type="auto"/>
          </w:tcPr>
          <w:p w14:paraId="46A85C42" w14:textId="02BC0E94" w:rsidR="007D6E93" w:rsidRPr="00E9606D" w:rsidRDefault="005D1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9606D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74.39</w:t>
            </w:r>
          </w:p>
        </w:tc>
        <w:tc>
          <w:tcPr>
            <w:tcW w:w="0" w:type="auto"/>
          </w:tcPr>
          <w:p w14:paraId="43E833DB" w14:textId="30ECE55A" w:rsidR="007D6E93" w:rsidRPr="00B12022" w:rsidRDefault="002309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6"/>
                <w:szCs w:val="16"/>
                <w:u w:val="single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75</w:t>
            </w:r>
            <w:r w:rsidR="00165F43" w:rsidRPr="00F731D2">
              <w:rPr>
                <w:rFonts w:ascii="Times New Roman" w:hAnsi="Times New Roman" w:cs="Times New Roman"/>
                <w:sz w:val="16"/>
                <w:szCs w:val="16"/>
              </w:rPr>
              <w:t>.00</w:t>
            </w:r>
          </w:p>
        </w:tc>
        <w:tc>
          <w:tcPr>
            <w:tcW w:w="0" w:type="auto"/>
          </w:tcPr>
          <w:p w14:paraId="3E1A3745" w14:textId="621A2DDB" w:rsidR="007D6E93" w:rsidRPr="00090054" w:rsidRDefault="00165F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  <w:u w:val="single"/>
              </w:rPr>
            </w:pPr>
            <w:r w:rsidRPr="00090054">
              <w:rPr>
                <w:rFonts w:ascii="Times New Roman" w:hAnsi="Times New Roman" w:cs="Times New Roman"/>
                <w:sz w:val="16"/>
                <w:szCs w:val="16"/>
                <w:u w:val="single"/>
              </w:rPr>
              <w:t>73.33</w:t>
            </w:r>
          </w:p>
        </w:tc>
        <w:tc>
          <w:tcPr>
            <w:tcW w:w="0" w:type="auto"/>
            <w:gridSpan w:val="2"/>
          </w:tcPr>
          <w:p w14:paraId="0EC71C53" w14:textId="4E9149E8" w:rsidR="007D6E93" w:rsidRPr="00090054" w:rsidRDefault="00C37B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75.96</w:t>
            </w:r>
          </w:p>
        </w:tc>
        <w:tc>
          <w:tcPr>
            <w:tcW w:w="0" w:type="auto"/>
          </w:tcPr>
          <w:p w14:paraId="78AFF092" w14:textId="16C6F025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72.22</w:t>
            </w:r>
          </w:p>
        </w:tc>
        <w:tc>
          <w:tcPr>
            <w:tcW w:w="0" w:type="auto"/>
          </w:tcPr>
          <w:p w14:paraId="10AD1AB0" w14:textId="55B63C46" w:rsidR="00634C9D" w:rsidRPr="00090054" w:rsidRDefault="00E80C66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90054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66.67</w:t>
            </w:r>
          </w:p>
        </w:tc>
        <w:tc>
          <w:tcPr>
            <w:tcW w:w="0" w:type="auto"/>
          </w:tcPr>
          <w:p w14:paraId="5BE578F9" w14:textId="1FD76D6C" w:rsidR="00634C9D" w:rsidRPr="00B12022" w:rsidRDefault="00D92060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731D2">
              <w:rPr>
                <w:rFonts w:ascii="Times New Roman" w:hAnsi="Times New Roman" w:cs="Times New Roman"/>
                <w:sz w:val="16"/>
                <w:szCs w:val="16"/>
              </w:rPr>
              <w:t>77.78</w:t>
            </w:r>
          </w:p>
        </w:tc>
        <w:tc>
          <w:tcPr>
            <w:tcW w:w="0" w:type="auto"/>
            <w:gridSpan w:val="2"/>
          </w:tcPr>
          <w:p w14:paraId="0D5EDAA7" w14:textId="1AD2B325" w:rsidR="00634C9D" w:rsidRPr="00ED44C1" w:rsidRDefault="00F731D2" w:rsidP="00634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D44C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76.54</w:t>
            </w:r>
          </w:p>
        </w:tc>
      </w:tr>
    </w:tbl>
    <w:p w14:paraId="1FBF26A7" w14:textId="77777777" w:rsidR="00473401" w:rsidRPr="00473401" w:rsidRDefault="00473401" w:rsidP="00473401">
      <w:pPr>
        <w:rPr>
          <w:rFonts w:ascii="Arial" w:hAnsi="Arial" w:cs="Arial"/>
          <w:sz w:val="22"/>
          <w:szCs w:val="22"/>
        </w:rPr>
      </w:pPr>
    </w:p>
    <w:p w14:paraId="7A615B70" w14:textId="77777777" w:rsidR="00AC0125" w:rsidRDefault="00480F30" w:rsidP="00FA46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7D4BA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87F886B" wp14:editId="1FA11643">
            <wp:extent cx="5943600" cy="4709795"/>
            <wp:effectExtent l="0" t="0" r="0" b="0"/>
            <wp:docPr id="1399310088" name="Picture 14" descr="A collage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10088" name="Picture 14" descr="A collage of cells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8D552" w14:textId="12C3BE1F" w:rsidR="006A4404" w:rsidRDefault="00473401" w:rsidP="00AC0125">
      <w:pPr>
        <w:rPr>
          <w:rFonts w:ascii="Arial" w:hAnsi="Arial" w:cs="Arial"/>
          <w:sz w:val="22"/>
          <w:szCs w:val="22"/>
        </w:rPr>
      </w:pPr>
      <w:r w:rsidRPr="00480F30">
        <w:rPr>
          <w:rFonts w:ascii="Arial" w:hAnsi="Arial" w:cs="Arial"/>
          <w:b/>
          <w:sz w:val="22"/>
          <w:szCs w:val="22"/>
        </w:rPr>
        <w:t xml:space="preserve">Figure </w:t>
      </w:r>
      <w:r w:rsidR="00480F30">
        <w:rPr>
          <w:rFonts w:ascii="Arial" w:hAnsi="Arial" w:cs="Arial"/>
          <w:b/>
          <w:bCs/>
          <w:sz w:val="22"/>
          <w:szCs w:val="22"/>
        </w:rPr>
        <w:t>S1</w:t>
      </w:r>
      <w:r w:rsidRPr="00480F30">
        <w:rPr>
          <w:rFonts w:ascii="Arial" w:hAnsi="Arial" w:cs="Arial"/>
          <w:b/>
          <w:sz w:val="22"/>
          <w:szCs w:val="22"/>
        </w:rPr>
        <w:t>:</w:t>
      </w:r>
      <w:r w:rsidRPr="00473401">
        <w:rPr>
          <w:rFonts w:ascii="Arial" w:hAnsi="Arial" w:cs="Arial"/>
          <w:sz w:val="22"/>
          <w:szCs w:val="22"/>
        </w:rPr>
        <w:t xml:space="preserve"> This figure displays sample cells from recurrent and non-recurrent patients, encoded differently by </w:t>
      </w:r>
      <w:proofErr w:type="spellStart"/>
      <w:r w:rsidRPr="00473401">
        <w:rPr>
          <w:rFonts w:ascii="Arial" w:hAnsi="Arial" w:cs="Arial"/>
          <w:sz w:val="22"/>
          <w:szCs w:val="22"/>
        </w:rPr>
        <w:t>CellViT</w:t>
      </w:r>
      <w:proofErr w:type="spellEnd"/>
      <w:r w:rsidRPr="00473401">
        <w:rPr>
          <w:rFonts w:ascii="Arial" w:hAnsi="Arial" w:cs="Arial"/>
          <w:sz w:val="22"/>
          <w:szCs w:val="22"/>
        </w:rPr>
        <w:t>++, leading to their distinct spatial separation in the 3D t-SNE embedding space (Fig</w:t>
      </w:r>
      <w:r w:rsidR="00480F30">
        <w:rPr>
          <w:rFonts w:ascii="Arial" w:hAnsi="Arial" w:cs="Arial"/>
          <w:sz w:val="22"/>
          <w:szCs w:val="22"/>
        </w:rPr>
        <w:t>. 7</w:t>
      </w:r>
      <w:r w:rsidRPr="00473401">
        <w:rPr>
          <w:rFonts w:ascii="Arial" w:hAnsi="Arial" w:cs="Arial"/>
          <w:sz w:val="22"/>
          <w:szCs w:val="22"/>
        </w:rPr>
        <w:t>).</w:t>
      </w:r>
    </w:p>
    <w:p w14:paraId="6CC1C38E" w14:textId="706ADEDD" w:rsidR="00FA4631" w:rsidRDefault="00232F8C" w:rsidP="00EE10ED">
      <w:pPr>
        <w:jc w:val="center"/>
        <w:rPr>
          <w:rFonts w:ascii="Arial" w:hAnsi="Arial" w:cs="Arial"/>
          <w:sz w:val="22"/>
          <w:szCs w:val="22"/>
        </w:rPr>
      </w:pPr>
      <w:r w:rsidRPr="007D4BA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AE92FD4" wp14:editId="6EDCC841">
            <wp:extent cx="5943600" cy="3648075"/>
            <wp:effectExtent l="0" t="0" r="0" b="9525"/>
            <wp:docPr id="1650709757" name="Picture 1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70832" name="Picture 1" descr="A close-up of a microscop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10ED" w:rsidRPr="007D4BA5">
        <w:rPr>
          <w:rFonts w:ascii="Times New Roman" w:hAnsi="Times New Roman" w:cs="Times New Roman"/>
          <w:noProof/>
        </w:rPr>
        <w:drawing>
          <wp:inline distT="0" distB="0" distL="0" distR="0" wp14:anchorId="4EF4B5E0" wp14:editId="1CF23A4E">
            <wp:extent cx="5943600" cy="3648075"/>
            <wp:effectExtent l="0" t="0" r="0" b="9525"/>
            <wp:docPr id="3047529" name="Picture 7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925600" name="Picture 7" descr="A close-up of a microscop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45BD" w14:textId="7495B687" w:rsidR="00EE10ED" w:rsidRDefault="009960F9" w:rsidP="00AC0125">
      <w:pPr>
        <w:rPr>
          <w:rFonts w:ascii="Arial" w:hAnsi="Arial" w:cs="Arial"/>
          <w:sz w:val="22"/>
          <w:szCs w:val="22"/>
        </w:rPr>
      </w:pPr>
      <w:r w:rsidRPr="009960F9">
        <w:rPr>
          <w:rFonts w:ascii="Arial" w:hAnsi="Arial" w:cs="Arial"/>
          <w:b/>
          <w:bCs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sz w:val="22"/>
          <w:szCs w:val="22"/>
        </w:rPr>
        <w:t>S2</w:t>
      </w:r>
      <w:r w:rsidRPr="009960F9">
        <w:rPr>
          <w:rFonts w:ascii="Arial" w:hAnsi="Arial" w:cs="Arial"/>
          <w:b/>
          <w:bCs/>
          <w:sz w:val="22"/>
          <w:szCs w:val="22"/>
        </w:rPr>
        <w:t>:</w:t>
      </w:r>
      <w:r w:rsidRPr="009960F9">
        <w:rPr>
          <w:rFonts w:ascii="Arial" w:hAnsi="Arial" w:cs="Arial"/>
          <w:sz w:val="22"/>
          <w:szCs w:val="22"/>
        </w:rPr>
        <w:t xml:space="preserve"> Attention maps for correctly predicted recurred patients. In each row, a representative WSI’s attention map is shown alongside its topmost highly attended patches. These patterns are all consistent with known poor prognostic indicators.</w:t>
      </w:r>
    </w:p>
    <w:p w14:paraId="3733AEEC" w14:textId="0C90BB2A" w:rsidR="00873F75" w:rsidRDefault="00801228" w:rsidP="00341556">
      <w:pPr>
        <w:jc w:val="center"/>
        <w:rPr>
          <w:rFonts w:ascii="Arial" w:hAnsi="Arial" w:cs="Arial"/>
          <w:sz w:val="22"/>
          <w:szCs w:val="22"/>
        </w:rPr>
      </w:pPr>
      <w:r w:rsidRPr="007D4BA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75F4C0" wp14:editId="473B29E3">
            <wp:extent cx="5943600" cy="3648075"/>
            <wp:effectExtent l="0" t="0" r="0" b="9525"/>
            <wp:docPr id="957167248" name="Picture 4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369300" name="Picture 4" descr="A close-up of a microscop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1556" w:rsidRPr="007D4BA5">
        <w:rPr>
          <w:rFonts w:ascii="Times New Roman" w:hAnsi="Times New Roman" w:cs="Times New Roman"/>
          <w:noProof/>
        </w:rPr>
        <w:drawing>
          <wp:inline distT="0" distB="0" distL="0" distR="0" wp14:anchorId="2768F9CD" wp14:editId="0143E227">
            <wp:extent cx="5943600" cy="3648075"/>
            <wp:effectExtent l="0" t="0" r="0" b="9525"/>
            <wp:docPr id="104347634" name="Picture 5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0691" name="Picture 5" descr="A close-up of a microscop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F76F9" w14:textId="0ABAF5D5" w:rsidR="00341556" w:rsidRDefault="00852249" w:rsidP="00AC0125">
      <w:pPr>
        <w:rPr>
          <w:rFonts w:ascii="Arial" w:hAnsi="Arial" w:cs="Arial"/>
          <w:sz w:val="22"/>
          <w:szCs w:val="22"/>
        </w:rPr>
      </w:pPr>
      <w:r w:rsidRPr="00852249">
        <w:rPr>
          <w:rFonts w:ascii="Arial" w:hAnsi="Arial" w:cs="Arial"/>
          <w:b/>
          <w:bCs/>
          <w:sz w:val="22"/>
          <w:szCs w:val="22"/>
        </w:rPr>
        <w:t>Figure S3:</w:t>
      </w:r>
      <w:r w:rsidRPr="00852249">
        <w:rPr>
          <w:rFonts w:ascii="Arial" w:hAnsi="Arial" w:cs="Arial"/>
          <w:sz w:val="22"/>
          <w:szCs w:val="22"/>
        </w:rPr>
        <w:t xml:space="preserve"> Attention maps for correctly predicted non-recurred patients. These patterns suggest the model integrates microenvironmental cues in its risk assessment.</w:t>
      </w:r>
    </w:p>
    <w:p w14:paraId="588B05D7" w14:textId="0179E701" w:rsidR="00852249" w:rsidRDefault="00057133" w:rsidP="00057133">
      <w:pPr>
        <w:jc w:val="center"/>
        <w:rPr>
          <w:rFonts w:ascii="Arial" w:hAnsi="Arial" w:cs="Arial"/>
          <w:sz w:val="22"/>
          <w:szCs w:val="22"/>
        </w:rPr>
      </w:pPr>
      <w:r w:rsidRPr="007D4BA5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C9FBD1F" wp14:editId="41611562">
            <wp:extent cx="6762307" cy="5634204"/>
            <wp:effectExtent l="0" t="0" r="635" b="5080"/>
            <wp:docPr id="1752556728" name="Picture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56728" name="Picture 5" descr="A screenshot of a computer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787" cy="5659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559CD" w14:textId="57639F15" w:rsidR="006A4404" w:rsidRDefault="008A21A3" w:rsidP="00057133">
      <w:pPr>
        <w:rPr>
          <w:rFonts w:ascii="Arial" w:hAnsi="Arial" w:cs="Arial"/>
          <w:sz w:val="22"/>
          <w:szCs w:val="22"/>
        </w:rPr>
      </w:pPr>
      <w:r w:rsidRPr="008A21A3">
        <w:rPr>
          <w:rFonts w:ascii="Arial" w:hAnsi="Arial" w:cs="Arial"/>
          <w:b/>
          <w:bCs/>
          <w:sz w:val="22"/>
          <w:szCs w:val="22"/>
        </w:rPr>
        <w:t>Figure S4: (A)</w:t>
      </w:r>
      <w:r w:rsidRPr="008A21A3">
        <w:rPr>
          <w:rFonts w:ascii="Arial" w:hAnsi="Arial" w:cs="Arial"/>
          <w:sz w:val="22"/>
          <w:szCs w:val="22"/>
        </w:rPr>
        <w:t xml:space="preserve"> Study population characteristics and cohort design. This shows patient selection criteria for invasive lung adenocarcinoma cases from 2008-2015, including exclusion criteria (previous lung cancer, other cancers or serious diseases (life-threatening conditions), mucinous adenocarcinoma, and lost follow-up within 5 years). The final study population comprised 189 patients with 456 whole slide images, stratified into recurrence (patients = 72, WSIs = 170) and non-recurrence (patients = 117, WSIs = 286) groups based on 5-year follow-up data. </w:t>
      </w:r>
      <w:r w:rsidRPr="008A21A3">
        <w:rPr>
          <w:rFonts w:ascii="Arial" w:hAnsi="Arial" w:cs="Arial"/>
          <w:b/>
          <w:bCs/>
          <w:sz w:val="22"/>
          <w:szCs w:val="22"/>
        </w:rPr>
        <w:t>(B)</w:t>
      </w:r>
      <w:r w:rsidRPr="008A21A3">
        <w:rPr>
          <w:rFonts w:ascii="Arial" w:hAnsi="Arial" w:cs="Arial"/>
          <w:sz w:val="22"/>
          <w:szCs w:val="22"/>
        </w:rPr>
        <w:t xml:space="preserve"> Demographic and clinical characteristics of patients with invasive lung adenocarcinoma examined in this study. Data are presented for the entire cohort (n=189) and stratified by recurrence status (no recurrence, n=117; recurrence, n=72). Variables include age at diagnosis, race, sex, survival outcomes, AJCC stage, histological grade (old and new classification systems), </w:t>
      </w:r>
      <w:proofErr w:type="spellStart"/>
      <w:r w:rsidRPr="008A21A3">
        <w:rPr>
          <w:rFonts w:ascii="Arial" w:hAnsi="Arial" w:cs="Arial"/>
          <w:sz w:val="22"/>
          <w:szCs w:val="22"/>
        </w:rPr>
        <w:t>intratumoral</w:t>
      </w:r>
      <w:proofErr w:type="spellEnd"/>
      <w:r w:rsidRPr="008A21A3">
        <w:rPr>
          <w:rFonts w:ascii="Arial" w:hAnsi="Arial" w:cs="Arial"/>
          <w:sz w:val="22"/>
          <w:szCs w:val="22"/>
        </w:rPr>
        <w:t xml:space="preserve"> lymphocytes, and </w:t>
      </w:r>
      <w:proofErr w:type="spellStart"/>
      <w:r w:rsidRPr="008A21A3">
        <w:rPr>
          <w:rFonts w:ascii="Arial" w:hAnsi="Arial" w:cs="Arial"/>
          <w:sz w:val="22"/>
          <w:szCs w:val="22"/>
        </w:rPr>
        <w:t>lymphovascular</w:t>
      </w:r>
      <w:proofErr w:type="spellEnd"/>
      <w:r w:rsidRPr="008A21A3">
        <w:rPr>
          <w:rFonts w:ascii="Arial" w:hAnsi="Arial" w:cs="Arial"/>
          <w:sz w:val="22"/>
          <w:szCs w:val="22"/>
        </w:rPr>
        <w:t xml:space="preserve"> invasion status.</w:t>
      </w:r>
    </w:p>
    <w:sectPr w:rsidR="006A4404" w:rsidSect="00A20F9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4E2E79" w14:textId="77777777" w:rsidR="005E3C3A" w:rsidRDefault="005E3C3A" w:rsidP="004771DA">
      <w:pPr>
        <w:spacing w:after="0" w:line="240" w:lineRule="auto"/>
      </w:pPr>
      <w:r>
        <w:separator/>
      </w:r>
    </w:p>
  </w:endnote>
  <w:endnote w:type="continuationSeparator" w:id="0">
    <w:p w14:paraId="7016EB04" w14:textId="77777777" w:rsidR="005E3C3A" w:rsidRDefault="005E3C3A" w:rsidP="004771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E2AD5E" w14:textId="77777777" w:rsidR="005E3C3A" w:rsidRDefault="005E3C3A" w:rsidP="004771DA">
      <w:pPr>
        <w:spacing w:after="0" w:line="240" w:lineRule="auto"/>
      </w:pPr>
      <w:r>
        <w:separator/>
      </w:r>
    </w:p>
  </w:footnote>
  <w:footnote w:type="continuationSeparator" w:id="0">
    <w:p w14:paraId="17457950" w14:textId="77777777" w:rsidR="005E3C3A" w:rsidRDefault="005E3C3A" w:rsidP="004771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F55BE1"/>
    <w:multiLevelType w:val="hybridMultilevel"/>
    <w:tmpl w:val="101EC9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266319"/>
    <w:multiLevelType w:val="hybridMultilevel"/>
    <w:tmpl w:val="6CBE3E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9278118">
    <w:abstractNumId w:val="1"/>
  </w:num>
  <w:num w:numId="2" w16cid:durableId="7177033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IEEE&lt;/Style&gt;&lt;LeftDelim&gt;{&lt;/LeftDelim&gt;&lt;RightDelim&gt;}&lt;/RightDelim&gt;&lt;FontName&gt;Aptos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Libraries&gt;&lt;/Libraries&gt;"/>
  </w:docVars>
  <w:rsids>
    <w:rsidRoot w:val="00A20F9D"/>
    <w:rsid w:val="000041E1"/>
    <w:rsid w:val="0000534C"/>
    <w:rsid w:val="00006076"/>
    <w:rsid w:val="00006882"/>
    <w:rsid w:val="00010C46"/>
    <w:rsid w:val="00015AA0"/>
    <w:rsid w:val="000369CD"/>
    <w:rsid w:val="00041477"/>
    <w:rsid w:val="000417DF"/>
    <w:rsid w:val="00041A40"/>
    <w:rsid w:val="00043AFE"/>
    <w:rsid w:val="000561B2"/>
    <w:rsid w:val="00057133"/>
    <w:rsid w:val="000604A9"/>
    <w:rsid w:val="000638CA"/>
    <w:rsid w:val="000658CC"/>
    <w:rsid w:val="00072E10"/>
    <w:rsid w:val="00073153"/>
    <w:rsid w:val="0007399B"/>
    <w:rsid w:val="0008130D"/>
    <w:rsid w:val="00087247"/>
    <w:rsid w:val="00090054"/>
    <w:rsid w:val="0009132A"/>
    <w:rsid w:val="000972DF"/>
    <w:rsid w:val="000A2B8B"/>
    <w:rsid w:val="000A7ACA"/>
    <w:rsid w:val="000B035E"/>
    <w:rsid w:val="000B6A9C"/>
    <w:rsid w:val="000D4A85"/>
    <w:rsid w:val="000E65CD"/>
    <w:rsid w:val="000E7FC6"/>
    <w:rsid w:val="000F17D1"/>
    <w:rsid w:val="000F27B6"/>
    <w:rsid w:val="000F517A"/>
    <w:rsid w:val="001155F5"/>
    <w:rsid w:val="00120967"/>
    <w:rsid w:val="00124FB5"/>
    <w:rsid w:val="0013180B"/>
    <w:rsid w:val="00134D86"/>
    <w:rsid w:val="0013558F"/>
    <w:rsid w:val="0014149A"/>
    <w:rsid w:val="00144FD0"/>
    <w:rsid w:val="00147116"/>
    <w:rsid w:val="001472A9"/>
    <w:rsid w:val="00147B7C"/>
    <w:rsid w:val="00151334"/>
    <w:rsid w:val="00154A5F"/>
    <w:rsid w:val="00156735"/>
    <w:rsid w:val="00157F43"/>
    <w:rsid w:val="00161097"/>
    <w:rsid w:val="0016509D"/>
    <w:rsid w:val="00165F43"/>
    <w:rsid w:val="001728AB"/>
    <w:rsid w:val="00174F5F"/>
    <w:rsid w:val="00177870"/>
    <w:rsid w:val="001853BE"/>
    <w:rsid w:val="00190F94"/>
    <w:rsid w:val="001B204B"/>
    <w:rsid w:val="001C0895"/>
    <w:rsid w:val="001D25E2"/>
    <w:rsid w:val="001D3D9E"/>
    <w:rsid w:val="001D75B4"/>
    <w:rsid w:val="001E42FE"/>
    <w:rsid w:val="001F26BE"/>
    <w:rsid w:val="001F6F88"/>
    <w:rsid w:val="001F7488"/>
    <w:rsid w:val="002013E3"/>
    <w:rsid w:val="00204C1B"/>
    <w:rsid w:val="0020642F"/>
    <w:rsid w:val="0022206B"/>
    <w:rsid w:val="002309FE"/>
    <w:rsid w:val="00232F8C"/>
    <w:rsid w:val="00233B70"/>
    <w:rsid w:val="00241F75"/>
    <w:rsid w:val="00244FCE"/>
    <w:rsid w:val="002522AC"/>
    <w:rsid w:val="00256D0B"/>
    <w:rsid w:val="002618D0"/>
    <w:rsid w:val="00267359"/>
    <w:rsid w:val="002704E9"/>
    <w:rsid w:val="00290A10"/>
    <w:rsid w:val="00291EA0"/>
    <w:rsid w:val="00292FEC"/>
    <w:rsid w:val="00293E2D"/>
    <w:rsid w:val="00294531"/>
    <w:rsid w:val="002A1A32"/>
    <w:rsid w:val="002A6ECF"/>
    <w:rsid w:val="002B325B"/>
    <w:rsid w:val="002B3D7C"/>
    <w:rsid w:val="002C5B83"/>
    <w:rsid w:val="002D4977"/>
    <w:rsid w:val="002D5364"/>
    <w:rsid w:val="002D7C88"/>
    <w:rsid w:val="002D7ECD"/>
    <w:rsid w:val="002E17E5"/>
    <w:rsid w:val="002F4BF8"/>
    <w:rsid w:val="002F59EA"/>
    <w:rsid w:val="00305D34"/>
    <w:rsid w:val="00307621"/>
    <w:rsid w:val="00317060"/>
    <w:rsid w:val="00324F99"/>
    <w:rsid w:val="00325401"/>
    <w:rsid w:val="00326CEB"/>
    <w:rsid w:val="003349F7"/>
    <w:rsid w:val="00341556"/>
    <w:rsid w:val="00343703"/>
    <w:rsid w:val="00351CCA"/>
    <w:rsid w:val="003561F0"/>
    <w:rsid w:val="0036694A"/>
    <w:rsid w:val="00371D19"/>
    <w:rsid w:val="00374825"/>
    <w:rsid w:val="003819F4"/>
    <w:rsid w:val="00390009"/>
    <w:rsid w:val="003923B8"/>
    <w:rsid w:val="003925A2"/>
    <w:rsid w:val="003A15A3"/>
    <w:rsid w:val="003A30BD"/>
    <w:rsid w:val="003A3B93"/>
    <w:rsid w:val="003A52ED"/>
    <w:rsid w:val="003C7F7C"/>
    <w:rsid w:val="003D6C63"/>
    <w:rsid w:val="003E14BF"/>
    <w:rsid w:val="003E18DF"/>
    <w:rsid w:val="003E2513"/>
    <w:rsid w:val="003E372B"/>
    <w:rsid w:val="003F2670"/>
    <w:rsid w:val="00400CD7"/>
    <w:rsid w:val="00404E99"/>
    <w:rsid w:val="00406122"/>
    <w:rsid w:val="004107C2"/>
    <w:rsid w:val="004123EE"/>
    <w:rsid w:val="0041351B"/>
    <w:rsid w:val="00413707"/>
    <w:rsid w:val="004150D9"/>
    <w:rsid w:val="00415BAC"/>
    <w:rsid w:val="00417BFB"/>
    <w:rsid w:val="0042721A"/>
    <w:rsid w:val="00433B64"/>
    <w:rsid w:val="00434DC5"/>
    <w:rsid w:val="004500F5"/>
    <w:rsid w:val="004505CE"/>
    <w:rsid w:val="00453B55"/>
    <w:rsid w:val="00454258"/>
    <w:rsid w:val="00455901"/>
    <w:rsid w:val="00457497"/>
    <w:rsid w:val="00473401"/>
    <w:rsid w:val="00474595"/>
    <w:rsid w:val="004771DA"/>
    <w:rsid w:val="00480F30"/>
    <w:rsid w:val="004856A5"/>
    <w:rsid w:val="00487E97"/>
    <w:rsid w:val="0049184D"/>
    <w:rsid w:val="00493AA0"/>
    <w:rsid w:val="00495CE9"/>
    <w:rsid w:val="00496D9E"/>
    <w:rsid w:val="004A5CE7"/>
    <w:rsid w:val="004D275D"/>
    <w:rsid w:val="004D29D0"/>
    <w:rsid w:val="004D2A0C"/>
    <w:rsid w:val="004D51D7"/>
    <w:rsid w:val="004D5D2D"/>
    <w:rsid w:val="004D625F"/>
    <w:rsid w:val="004D7404"/>
    <w:rsid w:val="004D76B5"/>
    <w:rsid w:val="004E5BF3"/>
    <w:rsid w:val="004E5FCA"/>
    <w:rsid w:val="004F1DC2"/>
    <w:rsid w:val="004F23A5"/>
    <w:rsid w:val="00505520"/>
    <w:rsid w:val="00511F38"/>
    <w:rsid w:val="00514B9E"/>
    <w:rsid w:val="0051787D"/>
    <w:rsid w:val="00517A3C"/>
    <w:rsid w:val="00520B31"/>
    <w:rsid w:val="00534944"/>
    <w:rsid w:val="00537DC5"/>
    <w:rsid w:val="005446E1"/>
    <w:rsid w:val="00551006"/>
    <w:rsid w:val="005562C6"/>
    <w:rsid w:val="00564871"/>
    <w:rsid w:val="005664BE"/>
    <w:rsid w:val="005717BB"/>
    <w:rsid w:val="00572B71"/>
    <w:rsid w:val="00574646"/>
    <w:rsid w:val="00575D87"/>
    <w:rsid w:val="0057769E"/>
    <w:rsid w:val="00577802"/>
    <w:rsid w:val="005800D7"/>
    <w:rsid w:val="00581DB1"/>
    <w:rsid w:val="00584DA8"/>
    <w:rsid w:val="00587842"/>
    <w:rsid w:val="00594981"/>
    <w:rsid w:val="005968C6"/>
    <w:rsid w:val="00597B69"/>
    <w:rsid w:val="005A188C"/>
    <w:rsid w:val="005A42FE"/>
    <w:rsid w:val="005A47CC"/>
    <w:rsid w:val="005A75FD"/>
    <w:rsid w:val="005B2DDF"/>
    <w:rsid w:val="005B3E72"/>
    <w:rsid w:val="005B4F8C"/>
    <w:rsid w:val="005C199F"/>
    <w:rsid w:val="005C4C2F"/>
    <w:rsid w:val="005D1538"/>
    <w:rsid w:val="005D7F9A"/>
    <w:rsid w:val="005E3C3A"/>
    <w:rsid w:val="005F2C25"/>
    <w:rsid w:val="006021B6"/>
    <w:rsid w:val="00603B96"/>
    <w:rsid w:val="00623625"/>
    <w:rsid w:val="00625424"/>
    <w:rsid w:val="00630B15"/>
    <w:rsid w:val="00633ED2"/>
    <w:rsid w:val="006343B4"/>
    <w:rsid w:val="00634C9D"/>
    <w:rsid w:val="0064379C"/>
    <w:rsid w:val="00646B1F"/>
    <w:rsid w:val="006616F7"/>
    <w:rsid w:val="00663839"/>
    <w:rsid w:val="0066610F"/>
    <w:rsid w:val="0067288D"/>
    <w:rsid w:val="00673353"/>
    <w:rsid w:val="00674342"/>
    <w:rsid w:val="00682800"/>
    <w:rsid w:val="00683C3E"/>
    <w:rsid w:val="00683DF6"/>
    <w:rsid w:val="00692B88"/>
    <w:rsid w:val="00697511"/>
    <w:rsid w:val="006A4404"/>
    <w:rsid w:val="006A6682"/>
    <w:rsid w:val="006B0441"/>
    <w:rsid w:val="006B54AD"/>
    <w:rsid w:val="006B6874"/>
    <w:rsid w:val="006B7D7B"/>
    <w:rsid w:val="006F2E47"/>
    <w:rsid w:val="006F3A09"/>
    <w:rsid w:val="006F6831"/>
    <w:rsid w:val="006F6877"/>
    <w:rsid w:val="006F78E1"/>
    <w:rsid w:val="0070260A"/>
    <w:rsid w:val="007036B7"/>
    <w:rsid w:val="0070715D"/>
    <w:rsid w:val="007114FA"/>
    <w:rsid w:val="007210C1"/>
    <w:rsid w:val="0072376D"/>
    <w:rsid w:val="00735F89"/>
    <w:rsid w:val="0073710A"/>
    <w:rsid w:val="007408BC"/>
    <w:rsid w:val="0075347B"/>
    <w:rsid w:val="007635EB"/>
    <w:rsid w:val="0076625A"/>
    <w:rsid w:val="007665A1"/>
    <w:rsid w:val="00777FF7"/>
    <w:rsid w:val="00782834"/>
    <w:rsid w:val="00784892"/>
    <w:rsid w:val="00792EB7"/>
    <w:rsid w:val="00795B2C"/>
    <w:rsid w:val="007A0238"/>
    <w:rsid w:val="007A3253"/>
    <w:rsid w:val="007B19ED"/>
    <w:rsid w:val="007B2478"/>
    <w:rsid w:val="007B3504"/>
    <w:rsid w:val="007C56C9"/>
    <w:rsid w:val="007C674E"/>
    <w:rsid w:val="007C6B84"/>
    <w:rsid w:val="007D055F"/>
    <w:rsid w:val="007D3B7E"/>
    <w:rsid w:val="007D4D2F"/>
    <w:rsid w:val="007D59AD"/>
    <w:rsid w:val="007D6E93"/>
    <w:rsid w:val="007E1EF5"/>
    <w:rsid w:val="007E35E3"/>
    <w:rsid w:val="007E4F13"/>
    <w:rsid w:val="007E617B"/>
    <w:rsid w:val="007F6571"/>
    <w:rsid w:val="007F6FB6"/>
    <w:rsid w:val="00801228"/>
    <w:rsid w:val="00807D0B"/>
    <w:rsid w:val="00807F17"/>
    <w:rsid w:val="00811300"/>
    <w:rsid w:val="008303F7"/>
    <w:rsid w:val="00833E68"/>
    <w:rsid w:val="00844634"/>
    <w:rsid w:val="008451B4"/>
    <w:rsid w:val="00852249"/>
    <w:rsid w:val="00856BD3"/>
    <w:rsid w:val="00856C26"/>
    <w:rsid w:val="00870009"/>
    <w:rsid w:val="008725D3"/>
    <w:rsid w:val="00873F75"/>
    <w:rsid w:val="00874764"/>
    <w:rsid w:val="00885BDC"/>
    <w:rsid w:val="008921CE"/>
    <w:rsid w:val="00894018"/>
    <w:rsid w:val="00894058"/>
    <w:rsid w:val="00894B84"/>
    <w:rsid w:val="0089516D"/>
    <w:rsid w:val="00896032"/>
    <w:rsid w:val="00897FA6"/>
    <w:rsid w:val="008A21A3"/>
    <w:rsid w:val="008A2E27"/>
    <w:rsid w:val="008B1A20"/>
    <w:rsid w:val="008C29D9"/>
    <w:rsid w:val="008D7B50"/>
    <w:rsid w:val="008E417B"/>
    <w:rsid w:val="008E6EA1"/>
    <w:rsid w:val="008E7250"/>
    <w:rsid w:val="008F0A52"/>
    <w:rsid w:val="00901405"/>
    <w:rsid w:val="00901A3E"/>
    <w:rsid w:val="009126EF"/>
    <w:rsid w:val="009165CA"/>
    <w:rsid w:val="009273B7"/>
    <w:rsid w:val="0094111B"/>
    <w:rsid w:val="00945D41"/>
    <w:rsid w:val="00946D2B"/>
    <w:rsid w:val="00951B53"/>
    <w:rsid w:val="009547F7"/>
    <w:rsid w:val="00961A9F"/>
    <w:rsid w:val="0096616E"/>
    <w:rsid w:val="0097753D"/>
    <w:rsid w:val="00983E7F"/>
    <w:rsid w:val="009841EE"/>
    <w:rsid w:val="00986917"/>
    <w:rsid w:val="00987381"/>
    <w:rsid w:val="0099226E"/>
    <w:rsid w:val="009960F9"/>
    <w:rsid w:val="009A09A0"/>
    <w:rsid w:val="009A575E"/>
    <w:rsid w:val="009B0FB0"/>
    <w:rsid w:val="009C30E0"/>
    <w:rsid w:val="009C7E16"/>
    <w:rsid w:val="009D13F0"/>
    <w:rsid w:val="009F1775"/>
    <w:rsid w:val="00A01964"/>
    <w:rsid w:val="00A03077"/>
    <w:rsid w:val="00A131DF"/>
    <w:rsid w:val="00A145F2"/>
    <w:rsid w:val="00A20F9D"/>
    <w:rsid w:val="00A50AB6"/>
    <w:rsid w:val="00A57EC3"/>
    <w:rsid w:val="00A6429B"/>
    <w:rsid w:val="00A64984"/>
    <w:rsid w:val="00A7113D"/>
    <w:rsid w:val="00A75E84"/>
    <w:rsid w:val="00A91F36"/>
    <w:rsid w:val="00AA1653"/>
    <w:rsid w:val="00AA3B69"/>
    <w:rsid w:val="00AA3D3E"/>
    <w:rsid w:val="00AA7D4E"/>
    <w:rsid w:val="00AB3339"/>
    <w:rsid w:val="00AC0125"/>
    <w:rsid w:val="00AD06FF"/>
    <w:rsid w:val="00AD0D6C"/>
    <w:rsid w:val="00AD23CD"/>
    <w:rsid w:val="00AD3284"/>
    <w:rsid w:val="00AE3ABB"/>
    <w:rsid w:val="00AF57B1"/>
    <w:rsid w:val="00B0027F"/>
    <w:rsid w:val="00B01449"/>
    <w:rsid w:val="00B132D3"/>
    <w:rsid w:val="00B22A1C"/>
    <w:rsid w:val="00B267D4"/>
    <w:rsid w:val="00B32377"/>
    <w:rsid w:val="00B351B7"/>
    <w:rsid w:val="00B362DC"/>
    <w:rsid w:val="00B37D22"/>
    <w:rsid w:val="00B431F1"/>
    <w:rsid w:val="00B46236"/>
    <w:rsid w:val="00B51133"/>
    <w:rsid w:val="00B63F9F"/>
    <w:rsid w:val="00B64BD8"/>
    <w:rsid w:val="00B74127"/>
    <w:rsid w:val="00B8016D"/>
    <w:rsid w:val="00B85FFB"/>
    <w:rsid w:val="00B8750E"/>
    <w:rsid w:val="00B91674"/>
    <w:rsid w:val="00B92316"/>
    <w:rsid w:val="00B933DA"/>
    <w:rsid w:val="00B93955"/>
    <w:rsid w:val="00B95063"/>
    <w:rsid w:val="00BB3A6B"/>
    <w:rsid w:val="00BB7AB6"/>
    <w:rsid w:val="00BC1E30"/>
    <w:rsid w:val="00BC466F"/>
    <w:rsid w:val="00BD0F2E"/>
    <w:rsid w:val="00BD1B96"/>
    <w:rsid w:val="00BD3A7D"/>
    <w:rsid w:val="00BD6A6E"/>
    <w:rsid w:val="00BE4996"/>
    <w:rsid w:val="00BE5F78"/>
    <w:rsid w:val="00BF3E45"/>
    <w:rsid w:val="00BF64E4"/>
    <w:rsid w:val="00C00C52"/>
    <w:rsid w:val="00C06617"/>
    <w:rsid w:val="00C116E7"/>
    <w:rsid w:val="00C122CB"/>
    <w:rsid w:val="00C14951"/>
    <w:rsid w:val="00C226AB"/>
    <w:rsid w:val="00C353F4"/>
    <w:rsid w:val="00C37B32"/>
    <w:rsid w:val="00C40CBB"/>
    <w:rsid w:val="00C41038"/>
    <w:rsid w:val="00C439E9"/>
    <w:rsid w:val="00C45BA2"/>
    <w:rsid w:val="00C45D11"/>
    <w:rsid w:val="00C505F0"/>
    <w:rsid w:val="00C527A0"/>
    <w:rsid w:val="00C55082"/>
    <w:rsid w:val="00C65D3B"/>
    <w:rsid w:val="00C66E14"/>
    <w:rsid w:val="00C84DB1"/>
    <w:rsid w:val="00C91848"/>
    <w:rsid w:val="00CA1E02"/>
    <w:rsid w:val="00CA6456"/>
    <w:rsid w:val="00CB6021"/>
    <w:rsid w:val="00CC09E9"/>
    <w:rsid w:val="00CC1E35"/>
    <w:rsid w:val="00CE0EF8"/>
    <w:rsid w:val="00CE42DE"/>
    <w:rsid w:val="00CE48C6"/>
    <w:rsid w:val="00CF24FB"/>
    <w:rsid w:val="00CF6DCF"/>
    <w:rsid w:val="00D05EAA"/>
    <w:rsid w:val="00D23CAD"/>
    <w:rsid w:val="00D273C8"/>
    <w:rsid w:val="00D27ACA"/>
    <w:rsid w:val="00D3626B"/>
    <w:rsid w:val="00D37CE9"/>
    <w:rsid w:val="00D55AD2"/>
    <w:rsid w:val="00D57FB3"/>
    <w:rsid w:val="00D62D1F"/>
    <w:rsid w:val="00D63D4E"/>
    <w:rsid w:val="00D708FA"/>
    <w:rsid w:val="00D70DE7"/>
    <w:rsid w:val="00D71421"/>
    <w:rsid w:val="00D7579C"/>
    <w:rsid w:val="00D82C5E"/>
    <w:rsid w:val="00D841B9"/>
    <w:rsid w:val="00D867AE"/>
    <w:rsid w:val="00D92060"/>
    <w:rsid w:val="00D97342"/>
    <w:rsid w:val="00DA34C4"/>
    <w:rsid w:val="00DB080E"/>
    <w:rsid w:val="00DB18D4"/>
    <w:rsid w:val="00DB4F59"/>
    <w:rsid w:val="00DC117D"/>
    <w:rsid w:val="00DC1A32"/>
    <w:rsid w:val="00DD4AB1"/>
    <w:rsid w:val="00DD775F"/>
    <w:rsid w:val="00DE0CEC"/>
    <w:rsid w:val="00DE48F3"/>
    <w:rsid w:val="00DE6009"/>
    <w:rsid w:val="00DF2473"/>
    <w:rsid w:val="00DF66D0"/>
    <w:rsid w:val="00E0106A"/>
    <w:rsid w:val="00E012B8"/>
    <w:rsid w:val="00E050A7"/>
    <w:rsid w:val="00E11AEF"/>
    <w:rsid w:val="00E16F61"/>
    <w:rsid w:val="00E2261D"/>
    <w:rsid w:val="00E24966"/>
    <w:rsid w:val="00E2545A"/>
    <w:rsid w:val="00E31A87"/>
    <w:rsid w:val="00E3424B"/>
    <w:rsid w:val="00E360DC"/>
    <w:rsid w:val="00E43E4D"/>
    <w:rsid w:val="00E44476"/>
    <w:rsid w:val="00E45DD0"/>
    <w:rsid w:val="00E4745D"/>
    <w:rsid w:val="00E51A88"/>
    <w:rsid w:val="00E55039"/>
    <w:rsid w:val="00E72FA3"/>
    <w:rsid w:val="00E80C66"/>
    <w:rsid w:val="00E86909"/>
    <w:rsid w:val="00E902A4"/>
    <w:rsid w:val="00E93A85"/>
    <w:rsid w:val="00E94090"/>
    <w:rsid w:val="00E94326"/>
    <w:rsid w:val="00E9606D"/>
    <w:rsid w:val="00EA0ED2"/>
    <w:rsid w:val="00EA1194"/>
    <w:rsid w:val="00EA1C81"/>
    <w:rsid w:val="00EA451D"/>
    <w:rsid w:val="00EA4B15"/>
    <w:rsid w:val="00EA76B0"/>
    <w:rsid w:val="00EB1624"/>
    <w:rsid w:val="00EB23D6"/>
    <w:rsid w:val="00EB4CAC"/>
    <w:rsid w:val="00EB5DA0"/>
    <w:rsid w:val="00EC3CBE"/>
    <w:rsid w:val="00ED3C77"/>
    <w:rsid w:val="00ED44C1"/>
    <w:rsid w:val="00ED4DA4"/>
    <w:rsid w:val="00ED78F6"/>
    <w:rsid w:val="00EE10ED"/>
    <w:rsid w:val="00EE2779"/>
    <w:rsid w:val="00EE3852"/>
    <w:rsid w:val="00EE73E0"/>
    <w:rsid w:val="00EF2526"/>
    <w:rsid w:val="00EF389A"/>
    <w:rsid w:val="00EF3990"/>
    <w:rsid w:val="00EF721E"/>
    <w:rsid w:val="00F00646"/>
    <w:rsid w:val="00F02335"/>
    <w:rsid w:val="00F07ABD"/>
    <w:rsid w:val="00F13325"/>
    <w:rsid w:val="00F1427E"/>
    <w:rsid w:val="00F143C5"/>
    <w:rsid w:val="00F15D34"/>
    <w:rsid w:val="00F16D99"/>
    <w:rsid w:val="00F1781C"/>
    <w:rsid w:val="00F21A97"/>
    <w:rsid w:val="00F267CA"/>
    <w:rsid w:val="00F506A8"/>
    <w:rsid w:val="00F64991"/>
    <w:rsid w:val="00F728E5"/>
    <w:rsid w:val="00F731D2"/>
    <w:rsid w:val="00F74346"/>
    <w:rsid w:val="00F7437A"/>
    <w:rsid w:val="00F75203"/>
    <w:rsid w:val="00F76061"/>
    <w:rsid w:val="00F81C32"/>
    <w:rsid w:val="00F90B1B"/>
    <w:rsid w:val="00F92A67"/>
    <w:rsid w:val="00F9745C"/>
    <w:rsid w:val="00FA25CE"/>
    <w:rsid w:val="00FA4631"/>
    <w:rsid w:val="00FB1B5B"/>
    <w:rsid w:val="00FC108B"/>
    <w:rsid w:val="00FC479E"/>
    <w:rsid w:val="00FD69C9"/>
    <w:rsid w:val="00FF0AA0"/>
    <w:rsid w:val="00FF1234"/>
    <w:rsid w:val="00FF21DC"/>
    <w:rsid w:val="00FF74B1"/>
    <w:rsid w:val="00FF7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EB79C4"/>
  <w15:chartTrackingRefBased/>
  <w15:docId w15:val="{58F6352A-F2A4-48C4-9A87-C399AB3AA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20F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20F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20F9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0F9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0F9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0F9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20F9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20F9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20F9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0F9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20F9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20F9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0F9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0F9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0F9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20F9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20F9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20F9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20F9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20F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20F9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20F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20F9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20F9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20F9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20F9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20F9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20F9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20F9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E73E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E73E0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Char"/>
    <w:rsid w:val="005B3E72"/>
    <w:pPr>
      <w:spacing w:after="0"/>
      <w:jc w:val="center"/>
    </w:pPr>
    <w:rPr>
      <w:rFonts w:ascii="Aptos" w:hAnsi="Aptos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5B3E72"/>
    <w:rPr>
      <w:rFonts w:ascii="Aptos" w:hAnsi="Aptos"/>
      <w:noProof/>
    </w:rPr>
  </w:style>
  <w:style w:type="paragraph" w:customStyle="1" w:styleId="EndNoteBibliography">
    <w:name w:val="EndNote Bibliography"/>
    <w:basedOn w:val="Normal"/>
    <w:link w:val="EndNoteBibliographyChar"/>
    <w:rsid w:val="005B3E72"/>
    <w:pPr>
      <w:spacing w:line="240" w:lineRule="auto"/>
    </w:pPr>
    <w:rPr>
      <w:rFonts w:ascii="Aptos" w:hAnsi="Aptos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5B3E72"/>
    <w:rPr>
      <w:rFonts w:ascii="Aptos" w:hAnsi="Aptos"/>
      <w:noProof/>
    </w:rPr>
  </w:style>
  <w:style w:type="table" w:styleId="ListTable1Light">
    <w:name w:val="List Table 1 Light"/>
    <w:basedOn w:val="TableNormal"/>
    <w:uiPriority w:val="46"/>
    <w:rsid w:val="006A440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57F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7F4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7F4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7F4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7F43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4771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71DA"/>
  </w:style>
  <w:style w:type="paragraph" w:styleId="Footer">
    <w:name w:val="footer"/>
    <w:basedOn w:val="Normal"/>
    <w:link w:val="FooterChar"/>
    <w:uiPriority w:val="99"/>
    <w:unhideWhenUsed/>
    <w:rsid w:val="004771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71DA"/>
  </w:style>
  <w:style w:type="paragraph" w:styleId="Revision">
    <w:name w:val="Revision"/>
    <w:hidden/>
    <w:uiPriority w:val="99"/>
    <w:semiHidden/>
    <w:rsid w:val="00BB3A6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A39EEB-88FC-4683-9379-1B48F74FC462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db864bc-821c-4dd3-a9c9-5002b5129ec6}" enabled="1" method="Standard" siteId="{0b95a125-791c-4f0a-9f9e-99e363117506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1482</Words>
  <Characters>8480</Characters>
  <Application>Microsoft Office Word</Application>
  <DocSecurity>0</DocSecurity>
  <Lines>410</Lines>
  <Paragraphs>347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Akbar, Abdul</dc:creator>
  <cp:keywords/>
  <dc:description/>
  <cp:lastModifiedBy>Akbar, Abdul</cp:lastModifiedBy>
  <cp:revision>3</cp:revision>
  <dcterms:created xsi:type="dcterms:W3CDTF">2025-11-11T15:49:00Z</dcterms:created>
  <dcterms:modified xsi:type="dcterms:W3CDTF">2025-11-11T15:49:00Z</dcterms:modified>
</cp:coreProperties>
</file>