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765699">
      <w:pPr>
        <w:widowControl/>
        <w:spacing w:before="240" w:after="200"/>
        <w:jc w:val="left"/>
        <w:outlineLvl w:val="1"/>
        <w:rPr>
          <w:rFonts w:ascii="Times New Roman" w:hAnsi="Times New Roman" w:eastAsia="Cambria" w:cs="Times New Roman"/>
          <w:kern w:val="0"/>
          <w:sz w:val="24"/>
          <w:szCs w:val="24"/>
          <w:lang w:eastAsia="en-US"/>
          <w14:ligatures w14:val="none"/>
        </w:rPr>
      </w:pPr>
      <w:r>
        <w:rPr>
          <w:rFonts w:ascii="Times New Roman" w:hAnsi="Times New Roman" w:eastAsia="Cambria" w:cs="Times New Roman"/>
          <w:b/>
          <w:kern w:val="0"/>
          <w:sz w:val="24"/>
          <w:szCs w:val="24"/>
          <w:lang w:eastAsia="en-US"/>
          <w14:ligatures w14:val="none"/>
        </w:rPr>
        <w:t xml:space="preserve">Supplementary </w:t>
      </w:r>
      <w:r>
        <w:rPr>
          <w:rFonts w:ascii="Times New Roman" w:hAnsi="Times New Roman" w:eastAsia="宋体" w:cs="Times New Roman"/>
          <w:b/>
          <w:kern w:val="0"/>
          <w:sz w:val="24"/>
          <w:szCs w:val="24"/>
          <w14:ligatures w14:val="none"/>
        </w:rPr>
        <w:t>Tables</w:t>
      </w:r>
    </w:p>
    <w:p w14:paraId="5920F127">
      <w:pPr>
        <w:widowControl/>
        <w:jc w:val="left"/>
        <w:textAlignment w:val="center"/>
        <w:rPr>
          <w:rStyle w:val="7"/>
          <w:rFonts w:hint="default" w:ascii="Times New Roman" w:hAnsi="Times New Roman" w:cs="Times New Roman"/>
          <w:lang w:bidi="ar"/>
        </w:rPr>
      </w:pPr>
      <w:r>
        <w:rPr>
          <w:rStyle w:val="7"/>
          <w:rFonts w:hint="default" w:ascii="Times New Roman" w:hAnsi="Times New Roman" w:cs="Times New Roman"/>
          <w:b/>
          <w:bCs/>
          <w:lang w:bidi="ar"/>
        </w:rPr>
        <w:t xml:space="preserve">Table </w:t>
      </w:r>
      <w:r>
        <w:rPr>
          <w:rStyle w:val="7"/>
          <w:rFonts w:hint="eastAsia" w:ascii="Times New Roman" w:hAnsi="Times New Roman" w:eastAsia="宋体" w:cs="Times New Roman"/>
          <w:b/>
          <w:bCs/>
          <w:lang w:val="en-US" w:eastAsia="zh-CN" w:bidi="ar"/>
        </w:rPr>
        <w:t>S1</w:t>
      </w:r>
      <w:r>
        <w:rPr>
          <w:rStyle w:val="7"/>
          <w:rFonts w:hint="default" w:ascii="Times New Roman" w:hAnsi="Times New Roman" w:cs="Times New Roman"/>
          <w:b/>
          <w:bCs/>
          <w:lang w:bidi="ar"/>
        </w:rPr>
        <w:t xml:space="preserve">. </w:t>
      </w:r>
      <w:r>
        <w:rPr>
          <w:rStyle w:val="7"/>
          <w:rFonts w:hint="default" w:ascii="Times New Roman" w:hAnsi="Times New Roman" w:cs="Times New Roman"/>
          <w:lang w:bidi="ar"/>
        </w:rPr>
        <w:t>Baseline characteristics of the included randomized controlled trials evaluating endothelin receptor antagonists in pulmonary arterial hypertension</w:t>
      </w:r>
    </w:p>
    <w:tbl>
      <w:tblPr>
        <w:tblStyle w:val="3"/>
        <w:tblW w:w="1298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1670"/>
        <w:gridCol w:w="1149"/>
        <w:gridCol w:w="2073"/>
        <w:gridCol w:w="1297"/>
        <w:gridCol w:w="1742"/>
        <w:gridCol w:w="1200"/>
        <w:gridCol w:w="2146"/>
      </w:tblGrid>
      <w:tr w14:paraId="1FA5A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1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C0AD974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Study ID</w:t>
            </w:r>
          </w:p>
        </w:tc>
        <w:tc>
          <w:tcPr>
            <w:tcW w:w="16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ABEC6E8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 xml:space="preserve"> Intervention group </w:t>
            </w:r>
          </w:p>
        </w:tc>
        <w:tc>
          <w:tcPr>
            <w:tcW w:w="114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86BE50D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Control group</w:t>
            </w:r>
          </w:p>
        </w:tc>
        <w:tc>
          <w:tcPr>
            <w:tcW w:w="207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1CF4D29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Sample size (experimental/control)</w:t>
            </w:r>
          </w:p>
        </w:tc>
        <w:tc>
          <w:tcPr>
            <w:tcW w:w="12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20FCAC3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Age (mean ± SD)</w:t>
            </w:r>
          </w:p>
        </w:tc>
        <w:tc>
          <w:tcPr>
            <w:tcW w:w="17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0E4BC42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WHO-FC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A90C9D5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Follow-up time</w:t>
            </w:r>
          </w:p>
        </w:tc>
        <w:tc>
          <w:tcPr>
            <w:tcW w:w="214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AB5DAB0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Outcome</w:t>
            </w:r>
          </w:p>
        </w:tc>
      </w:tr>
      <w:tr w14:paraId="039C9E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1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815D23F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 xml:space="preserve">Channick 2001 </w:t>
            </w:r>
          </w:p>
        </w:tc>
        <w:tc>
          <w:tcPr>
            <w:tcW w:w="1670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FF47263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Bosentan 125 mg bid</w:t>
            </w:r>
          </w:p>
        </w:tc>
        <w:tc>
          <w:tcPr>
            <w:tcW w:w="114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CD99DF4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Placebo</w:t>
            </w:r>
          </w:p>
        </w:tc>
        <w:tc>
          <w:tcPr>
            <w:tcW w:w="2073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C8FC50B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11/21</w:t>
            </w:r>
          </w:p>
        </w:tc>
        <w:tc>
          <w:tcPr>
            <w:tcW w:w="129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84A717B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48 ± 12</w:t>
            </w:r>
          </w:p>
        </w:tc>
        <w:tc>
          <w:tcPr>
            <w:tcW w:w="174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4E56787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III–IV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C2318C3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12 wks</w:t>
            </w:r>
          </w:p>
        </w:tc>
        <w:tc>
          <w:tcPr>
            <w:tcW w:w="214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349450E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6MWD, mPAP, PVR</w:t>
            </w:r>
          </w:p>
        </w:tc>
      </w:tr>
      <w:tr w14:paraId="4002F4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0A122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 xml:space="preserve">Rubin 2002 (BREATHE-1) 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13503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Bosentan 125/250 mg bid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7C605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Placebo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6F0B3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158 / 80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321A5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47 ± 15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80148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III–IV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FA351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16 wks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1409D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6MWD, ADR,LFT</w:t>
            </w:r>
          </w:p>
        </w:tc>
      </w:tr>
      <w:tr w14:paraId="0C4D56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ADA9A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 xml:space="preserve">Galiè 2006 (BREATHE-5) 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8A0F8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Bosentan 125 mg bid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D9633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Placebo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4E8D8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37 / 17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E5E69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34 ± 12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E2F1F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III (Eisenmenger)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7C402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16 wks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56653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PVR, 6MWD</w:t>
            </w:r>
          </w:p>
        </w:tc>
      </w:tr>
      <w:tr w14:paraId="45A37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6C72E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 xml:space="preserve">Galiè 2008 (EARLY) 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09A79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Bosentan 125 mg bid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5B61C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Placebo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BFC7F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93 / 92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407E7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43 ± 14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37C29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II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09479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6 months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CD3DF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PVR, 6MWD, ADR</w:t>
            </w:r>
          </w:p>
        </w:tc>
      </w:tr>
      <w:tr w14:paraId="4AE498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B970D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 xml:space="preserve">Jais 2008 (BENEFiT) 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AB32F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Bosentan 125 mg bid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EEB9F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Placebo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FDF9E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77 / 80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98319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51 ± 15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CC4A5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II–IV (CTEPH)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CA062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16 wks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77472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PVR, 6MWD, ADR</w:t>
            </w:r>
          </w:p>
        </w:tc>
      </w:tr>
      <w:tr w14:paraId="70D24D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C288E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 xml:space="preserve">Valerio 2009 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DD08C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Bosentan 125 mg bid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C8754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Placebo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8FBDA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16 / 16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827E1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65 ± 9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6C182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II–III (COPD-PAH)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C122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18 months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D5CB0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mPAP, PVR, 6MWD</w:t>
            </w:r>
          </w:p>
        </w:tc>
      </w:tr>
      <w:tr w14:paraId="7A216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7DF5C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 xml:space="preserve">Lewis 2002 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CFE9C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Bosentan 125 mg bid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65320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Placebo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EBB6A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11/21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E8E12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Style w:val="6"/>
                <w:rFonts w:ascii="Times New Roman" w:hAnsi="Times New Roman" w:eastAsia="Segoe UI" w:cs="Times New Roman"/>
                <w:b w:val="0"/>
                <w:color w:val="0F1115"/>
                <w:sz w:val="22"/>
                <w:szCs w:val="22"/>
                <w:shd w:val="clear" w:color="auto" w:fill="FFFFFF"/>
              </w:rPr>
              <w:t> </w:t>
            </w: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48 ± 16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371CA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II–III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AC8E0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12 wks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DA191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6MWD, mPAP, ADR</w:t>
            </w:r>
          </w:p>
        </w:tc>
      </w:tr>
      <w:tr w14:paraId="4453D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3C801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 xml:space="preserve">Galiè 2008 (ARIES-1/2) 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71794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Ambrisentan 2.5–10 mg qd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FE4DE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Placebo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0AF1B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261 / 132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3B939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50 ± 15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181FE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II–III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E4AD0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12 wks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7A542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6MWD, ADR</w:t>
            </w:r>
          </w:p>
        </w:tc>
      </w:tr>
      <w:tr w14:paraId="0BEEF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D2AEE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Pan 2019 (EDITA)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8EF79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Ambrisentan</w:t>
            </w:r>
          </w:p>
          <w:p w14:paraId="30C2150E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5–10 mg qd</w:t>
            </w:r>
          </w:p>
          <w:p w14:paraId="08B43560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29B6E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Placebo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1EBD8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19 / 19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6E8EA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56 ± 11 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93867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II–III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597DD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12 wks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A542D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mPAP, PVR, 6MWD</w:t>
            </w:r>
          </w:p>
        </w:tc>
      </w:tr>
      <w:tr w14:paraId="27305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1E956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 xml:space="preserve">Pulido 2013 (SERAPHIN) 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06DA1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Macitentan 10 mg qd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F5B85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Placebo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5FC88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242 / 250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08AAB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45 ± 14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4AD75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II–IV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827CE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median 115 wks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2425B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Composite mortality, 6MWD</w:t>
            </w:r>
          </w:p>
        </w:tc>
      </w:tr>
      <w:tr w14:paraId="6D90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11" w:type="dxa"/>
            <w:tcBorders>
              <w:top w:val="nil"/>
              <w:left w:val="nil"/>
              <w:right w:val="nil"/>
            </w:tcBorders>
            <w:vAlign w:val="center"/>
          </w:tcPr>
          <w:p w14:paraId="2FE1D8EF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 xml:space="preserve">Olivier 2019 (PORTICO) </w:t>
            </w:r>
          </w:p>
        </w:tc>
        <w:tc>
          <w:tcPr>
            <w:tcW w:w="1670" w:type="dxa"/>
            <w:tcBorders>
              <w:top w:val="nil"/>
              <w:left w:val="nil"/>
              <w:right w:val="nil"/>
            </w:tcBorders>
            <w:vAlign w:val="center"/>
          </w:tcPr>
          <w:p w14:paraId="42488C33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Macitentan 10 mg qd</w:t>
            </w:r>
          </w:p>
        </w:tc>
        <w:tc>
          <w:tcPr>
            <w:tcW w:w="1149" w:type="dxa"/>
            <w:tcBorders>
              <w:top w:val="nil"/>
              <w:left w:val="nil"/>
              <w:right w:val="nil"/>
            </w:tcBorders>
            <w:vAlign w:val="center"/>
          </w:tcPr>
          <w:p w14:paraId="6C317FF2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Placebo</w:t>
            </w:r>
          </w:p>
        </w:tc>
        <w:tc>
          <w:tcPr>
            <w:tcW w:w="2073" w:type="dxa"/>
            <w:tcBorders>
              <w:top w:val="nil"/>
              <w:left w:val="nil"/>
              <w:right w:val="nil"/>
            </w:tcBorders>
            <w:vAlign w:val="center"/>
          </w:tcPr>
          <w:p w14:paraId="674E49A1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43 / 42</w:t>
            </w:r>
          </w:p>
        </w:tc>
        <w:tc>
          <w:tcPr>
            <w:tcW w:w="1297" w:type="dxa"/>
            <w:tcBorders>
              <w:top w:val="nil"/>
              <w:left w:val="nil"/>
              <w:right w:val="nil"/>
            </w:tcBorders>
            <w:vAlign w:val="center"/>
          </w:tcPr>
          <w:p w14:paraId="0D91394C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61 ± 15</w:t>
            </w:r>
          </w:p>
        </w:tc>
        <w:tc>
          <w:tcPr>
            <w:tcW w:w="1742" w:type="dxa"/>
            <w:tcBorders>
              <w:top w:val="nil"/>
              <w:left w:val="nil"/>
              <w:right w:val="nil"/>
            </w:tcBorders>
            <w:vAlign w:val="center"/>
          </w:tcPr>
          <w:p w14:paraId="2E827897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II–III (CTEPH)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vAlign w:val="center"/>
          </w:tcPr>
          <w:p w14:paraId="2BDF693C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12 wks</w:t>
            </w:r>
          </w:p>
        </w:tc>
        <w:tc>
          <w:tcPr>
            <w:tcW w:w="2146" w:type="dxa"/>
            <w:tcBorders>
              <w:top w:val="nil"/>
              <w:left w:val="nil"/>
              <w:right w:val="nil"/>
            </w:tcBorders>
            <w:vAlign w:val="center"/>
          </w:tcPr>
          <w:p w14:paraId="4599F4F0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PVR , mPAP, 6MWD,ADR</w:t>
            </w:r>
          </w:p>
        </w:tc>
      </w:tr>
      <w:tr w14:paraId="1B248A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1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F460D3C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 xml:space="preserve">Gatzoulis 2019 (MAESTRO) </w:t>
            </w:r>
          </w:p>
        </w:tc>
        <w:tc>
          <w:tcPr>
            <w:tcW w:w="167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52E7E64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Macitentan 10 mg qd</w:t>
            </w:r>
          </w:p>
        </w:tc>
        <w:tc>
          <w:tcPr>
            <w:tcW w:w="1149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E4AA88E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Placebo</w:t>
            </w:r>
          </w:p>
        </w:tc>
        <w:tc>
          <w:tcPr>
            <w:tcW w:w="207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22F7244">
            <w:pPr>
              <w:widowControl/>
              <w:jc w:val="center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114 / 112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A08AF55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34 ± 10</w:t>
            </w:r>
          </w:p>
        </w:tc>
        <w:tc>
          <w:tcPr>
            <w:tcW w:w="174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D96143D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III (Eisenmenger)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14476B0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16 wks</w:t>
            </w:r>
          </w:p>
        </w:tc>
        <w:tc>
          <w:tcPr>
            <w:tcW w:w="214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9E90E20">
            <w:pPr>
              <w:widowControl/>
              <w:jc w:val="left"/>
              <w:textAlignment w:val="center"/>
              <w:rPr>
                <w:rFonts w:ascii="Times New Roman" w:hAnsi="Times New Roman" w:eastAsia="微软雅黑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2"/>
                <w:szCs w:val="22"/>
                <w:lang w:bidi="ar"/>
              </w:rPr>
              <w:t>6MWD, PVR, NT-proBNP, ADR</w:t>
            </w:r>
          </w:p>
        </w:tc>
      </w:tr>
    </w:tbl>
    <w:p w14:paraId="1ED2AA96">
      <w:pPr>
        <w:widowControl/>
        <w:jc w:val="left"/>
        <w:textAlignment w:val="center"/>
        <w:rPr>
          <w:rFonts w:ascii="Times New Roman" w:hAnsi="Times New Roman" w:eastAsia="微软雅黑" w:cs="Times New Roman"/>
          <w:color w:val="000000"/>
          <w:kern w:val="0"/>
          <w:sz w:val="22"/>
          <w:szCs w:val="22"/>
          <w:lang w:bidi="ar"/>
        </w:rPr>
      </w:pPr>
      <w:r>
        <w:rPr>
          <w:rFonts w:ascii="Times New Roman" w:hAnsi="Times New Roman" w:eastAsia="微软雅黑" w:cs="Times New Roman"/>
          <w:color w:val="000000"/>
          <w:kern w:val="0"/>
          <w:sz w:val="22"/>
          <w:szCs w:val="22"/>
          <w:lang w:bidi="ar"/>
        </w:rPr>
        <w:t>bid = twice daily; qd = once daily; 6MWD = 6-minute walk distance; mPAP = mean pulmonary arterial pressure; PVR = pulmonary vascular resistance</w:t>
      </w:r>
      <w:r>
        <w:rPr>
          <w:rFonts w:hint="eastAsia" w:ascii="Times New Roman" w:hAnsi="Times New Roman" w:eastAsia="微软雅黑" w:cs="Times New Roman"/>
          <w:color w:val="000000"/>
          <w:kern w:val="0"/>
          <w:sz w:val="22"/>
          <w:szCs w:val="22"/>
          <w:lang w:bidi="ar"/>
        </w:rPr>
        <w:t xml:space="preserve">; </w:t>
      </w:r>
      <w:r>
        <w:rPr>
          <w:rFonts w:ascii="Times New Roman" w:hAnsi="Times New Roman" w:eastAsia="微软雅黑" w:cs="Times New Roman"/>
          <w:color w:val="000000"/>
          <w:kern w:val="0"/>
          <w:sz w:val="22"/>
          <w:szCs w:val="22"/>
          <w:lang w:bidi="ar"/>
        </w:rPr>
        <w:t>ADR=Adverse drug reaction; LFT = liver function test; CTEPH = chronic thromboembolic pulmonary hypertension; WHO-FC = WHO functional class</w:t>
      </w:r>
    </w:p>
    <w:p w14:paraId="7398FEFC">
      <w:pPr>
        <w:rPr>
          <w:rStyle w:val="7"/>
          <w:rFonts w:hint="default" w:ascii="Times New Roman" w:hAnsi="Times New Roman" w:cs="Times New Roman"/>
          <w:b/>
          <w:bCs/>
          <w:lang w:bidi="ar"/>
        </w:rPr>
      </w:pPr>
      <w:r>
        <w:rPr>
          <w:rStyle w:val="7"/>
          <w:rFonts w:hint="default" w:ascii="Times New Roman" w:hAnsi="Times New Roman" w:cs="Times New Roman"/>
          <w:b/>
          <w:bCs/>
          <w:lang w:bidi="ar"/>
        </w:rPr>
        <w:br w:type="page"/>
      </w:r>
    </w:p>
    <w:p w14:paraId="0E3E5851">
      <w:pPr>
        <w:widowControl/>
        <w:spacing w:before="240" w:after="200"/>
        <w:jc w:val="left"/>
        <w:outlineLvl w:val="1"/>
        <w:rPr>
          <w:rFonts w:hint="eastAsia" w:ascii="Times New Roman" w:hAnsi="Times New Roman" w:eastAsia="宋体" w:cs="Times New Roman"/>
          <w:b/>
          <w:kern w:val="0"/>
          <w:sz w:val="24"/>
          <w:szCs w:val="24"/>
          <w:lang w:val="en-US" w:eastAsia="zh-CN"/>
          <w14:ligatures w14:val="none"/>
        </w:rPr>
      </w:pPr>
      <w:r>
        <w:rPr>
          <w:rFonts w:ascii="Times New Roman" w:hAnsi="Times New Roman" w:eastAsia="Cambria" w:cs="Times New Roman"/>
          <w:b/>
          <w:kern w:val="0"/>
          <w:sz w:val="24"/>
          <w:szCs w:val="24"/>
          <w:lang w:eastAsia="en-US"/>
          <w14:ligatures w14:val="none"/>
        </w:rPr>
        <w:t xml:space="preserve">Supplementary </w:t>
      </w: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  <w:lang w:val="en-US" w:eastAsia="zh-CN"/>
          <w14:ligatures w14:val="none"/>
        </w:rPr>
        <w:t>Figure</w:t>
      </w:r>
    </w:p>
    <w:p w14:paraId="6D993261">
      <w:pPr>
        <w:pStyle w:val="2"/>
        <w:widowControl/>
      </w:pPr>
      <w:r>
        <w:drawing>
          <wp:inline distT="0" distB="0" distL="114300" distR="114300">
            <wp:extent cx="4681855" cy="3891280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9790">
      <w:pPr>
        <w:pStyle w:val="2"/>
        <w:widowControl/>
        <w:rPr>
          <w:rStyle w:val="6"/>
          <w:rFonts w:hint="default" w:ascii="Times New Roman" w:hAnsi="Times New Roman" w:cs="Times New Roman"/>
          <w:bCs/>
          <w:lang w:val="en-US" w:bidi="ar"/>
        </w:rPr>
      </w:pPr>
      <w:r>
        <w:rPr>
          <w:rStyle w:val="6"/>
          <w:rFonts w:hint="default" w:ascii="Times New Roman" w:hAnsi="Times New Roman" w:cs="Times New Roman"/>
          <w:bCs/>
          <w:lang w:val="en-US" w:bidi="ar"/>
        </w:rPr>
        <w:t xml:space="preserve">Fig </w:t>
      </w:r>
      <w:r>
        <w:rPr>
          <w:rStyle w:val="6"/>
          <w:rFonts w:hint="eastAsia" w:ascii="Times New Roman" w:hAnsi="Times New Roman" w:cs="Times New Roman"/>
          <w:bCs/>
          <w:lang w:val="en-US" w:eastAsia="zh-CN" w:bidi="ar"/>
        </w:rPr>
        <w:t>S</w:t>
      </w:r>
      <w:r>
        <w:rPr>
          <w:rStyle w:val="6"/>
          <w:rFonts w:hint="default" w:ascii="Times New Roman" w:hAnsi="Times New Roman" w:cs="Times New Roman"/>
          <w:bCs/>
          <w:lang w:val="en-US" w:bidi="ar"/>
        </w:rPr>
        <w:t xml:space="preserve">1. PRISMA Flow Diagram of </w:t>
      </w:r>
      <w:bookmarkStart w:id="0" w:name="_GoBack"/>
      <w:bookmarkEnd w:id="0"/>
      <w:r>
        <w:rPr>
          <w:rStyle w:val="6"/>
          <w:rFonts w:hint="default" w:ascii="Times New Roman" w:hAnsi="Times New Roman" w:cs="Times New Roman"/>
          <w:bCs/>
          <w:lang w:val="en-US" w:bidi="ar"/>
        </w:rPr>
        <w:t>the Meta-Analysis</w:t>
      </w:r>
    </w:p>
    <w:p w14:paraId="78028B1E">
      <w:pPr>
        <w:pStyle w:val="2"/>
        <w:widowControl/>
      </w:pPr>
      <w:r>
        <w:drawing>
          <wp:inline distT="0" distB="0" distL="114300" distR="114300">
            <wp:extent cx="5272405" cy="2116455"/>
            <wp:effectExtent l="0" t="0" r="444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16FF">
      <w:pPr>
        <w:pStyle w:val="2"/>
        <w:widowControl/>
        <w:rPr>
          <w:rStyle w:val="6"/>
          <w:rFonts w:ascii="Times New Roman" w:hAnsi="Times New Roman"/>
          <w:lang w:bidi="ar"/>
        </w:rPr>
      </w:pPr>
      <w:r>
        <w:rPr>
          <w:rStyle w:val="6"/>
          <w:rFonts w:ascii="Times New Roman" w:hAnsi="Times New Roman"/>
          <w:lang w:bidi="ar"/>
        </w:rPr>
        <w:t>Fig</w:t>
      </w:r>
      <w:r>
        <w:rPr>
          <w:rStyle w:val="6"/>
          <w:rFonts w:hint="eastAsia" w:ascii="Times New Roman" w:hAnsi="Times New Roman"/>
          <w:lang w:val="en-US" w:eastAsia="zh-CN" w:bidi="ar"/>
        </w:rPr>
        <w:t xml:space="preserve"> S2</w:t>
      </w:r>
      <w:r>
        <w:rPr>
          <w:rStyle w:val="6"/>
          <w:rFonts w:ascii="Times New Roman" w:hAnsi="Times New Roman"/>
          <w:lang w:bidi="ar"/>
        </w:rPr>
        <w:t>. Risk of Bias Assessment for Included Randomized Controlled Trials (RoB2.0</w:t>
      </w:r>
      <w:r>
        <w:rPr>
          <w:rStyle w:val="6"/>
          <w:rFonts w:hint="eastAsia" w:ascii="Times New Roman" w:hAnsi="Times New Roman"/>
          <w:lang w:bidi="ar"/>
        </w:rPr>
        <w:t>T</w:t>
      </w:r>
      <w:r>
        <w:rPr>
          <w:rStyle w:val="6"/>
          <w:rFonts w:ascii="Times New Roman" w:hAnsi="Times New Roman"/>
          <w:lang w:bidi="ar"/>
        </w:rPr>
        <w:t>ool)</w:t>
      </w:r>
    </w:p>
    <w:p w14:paraId="2C6E1229">
      <w:pPr>
        <w:pStyle w:val="2"/>
        <w:widowControl/>
        <w:rPr>
          <w:rStyle w:val="6"/>
          <w:rFonts w:hint="default" w:ascii="Times New Roman" w:hAnsi="Times New Roman" w:cs="Times New Roman"/>
          <w:bCs/>
          <w:lang w:val="en-US" w:bidi="ar"/>
        </w:rPr>
      </w:pPr>
    </w:p>
    <w:p w14:paraId="6160E817">
      <w:pPr>
        <w:pStyle w:val="2"/>
        <w:widowControl/>
        <w:rPr>
          <w:rStyle w:val="6"/>
          <w:rFonts w:hint="default" w:ascii="Times New Roman" w:hAnsi="Times New Roman" w:cs="Times New Roman"/>
          <w:bCs/>
          <w:lang w:val="en-US" w:bidi="ar"/>
        </w:rPr>
      </w:pPr>
      <w:r>
        <w:rPr>
          <w:rStyle w:val="6"/>
          <w:rFonts w:hint="default" w:ascii="Times New Roman" w:hAnsi="Times New Roman" w:cs="Times New Roman"/>
          <w:bCs/>
          <w:lang w:val="en-US" w:bidi="ar"/>
        </w:rPr>
        <w:drawing>
          <wp:inline distT="0" distB="0" distL="114300" distR="114300">
            <wp:extent cx="7846695" cy="4413885"/>
            <wp:effectExtent l="0" t="0" r="1905" b="5715"/>
            <wp:docPr id="2" name="图片 2" descr="新建 PPTX 演示文稿(3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建 PPTX 演示文稿(3)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669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D8D6">
      <w:pPr>
        <w:pStyle w:val="2"/>
        <w:widowControl/>
        <w:rPr>
          <w:rFonts w:hint="default" w:ascii="Times New Roman" w:hAnsi="Times New Roman" w:cs="Times New Roman"/>
          <w:bCs/>
          <w:lang w:val="en-US" w:bidi="ar"/>
        </w:rPr>
      </w:pPr>
      <w:r>
        <w:rPr>
          <w:rStyle w:val="6"/>
          <w:rFonts w:hint="default" w:ascii="Times New Roman" w:hAnsi="Times New Roman" w:cs="Times New Roman"/>
          <w:bCs/>
          <w:lang w:val="en-US" w:bidi="ar"/>
        </w:rPr>
        <w:t xml:space="preserve">Fig </w:t>
      </w:r>
      <w:r>
        <w:rPr>
          <w:rStyle w:val="6"/>
          <w:rFonts w:hint="eastAsia" w:ascii="Times New Roman" w:hAnsi="Times New Roman" w:cs="Times New Roman"/>
          <w:bCs/>
          <w:lang w:val="en-US" w:eastAsia="zh-CN" w:bidi="ar"/>
        </w:rPr>
        <w:t>S3</w:t>
      </w:r>
      <w:r>
        <w:rPr>
          <w:rStyle w:val="6"/>
          <w:rFonts w:hint="default" w:ascii="Times New Roman" w:hAnsi="Times New Roman" w:cs="Times New Roman"/>
          <w:bCs/>
          <w:lang w:val="en-US" w:bidi="ar"/>
        </w:rPr>
        <w:t>. Forest Plot of PAH Treatment Safety: (a) Treatment-Related Adverse Drug Reactions (ADRs); (b) All-Cause Mortality in Endothelin Receptor Antagonist Trials</w:t>
      </w:r>
    </w:p>
    <w:p w14:paraId="430BBFC4">
      <w:pPr>
        <w:pStyle w:val="2"/>
        <w:widowControl/>
        <w:jc w:val="both"/>
        <w:rPr>
          <w:rStyle w:val="6"/>
          <w:rFonts w:hint="default" w:ascii="Times New Roman" w:hAnsi="Times New Roman" w:cs="Times New Roman"/>
          <w:bCs/>
          <w:lang w:val="en-US" w:bidi="ar"/>
        </w:rPr>
      </w:pPr>
      <w:r>
        <w:rPr>
          <w:rStyle w:val="6"/>
          <w:rFonts w:hint="default" w:ascii="Times New Roman" w:hAnsi="Times New Roman" w:cs="Times New Roman"/>
          <w:bCs/>
          <w:lang w:val="en-US" w:bidi="ar"/>
        </w:rPr>
        <w:drawing>
          <wp:inline distT="0" distB="0" distL="114300" distR="114300">
            <wp:extent cx="7256145" cy="4081780"/>
            <wp:effectExtent l="0" t="0" r="1905" b="4445"/>
            <wp:docPr id="3" name="图片 3" descr="新建 PPTX 演示文稿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建 PPTX 演示文稿(1)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614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7D04E">
      <w:pPr>
        <w:pStyle w:val="2"/>
        <w:widowControl/>
        <w:jc w:val="both"/>
        <w:rPr>
          <w:rFonts w:hint="default" w:ascii="Times New Roman" w:hAnsi="Times New Roman" w:cs="Times New Roman"/>
          <w:bCs/>
          <w:lang w:val="en-US" w:bidi="ar"/>
        </w:rPr>
      </w:pPr>
      <w:r>
        <w:rPr>
          <w:rStyle w:val="6"/>
          <w:rFonts w:hint="default" w:ascii="Times New Roman" w:hAnsi="Times New Roman" w:cs="Times New Roman"/>
          <w:bCs/>
          <w:lang w:val="en-US" w:bidi="ar"/>
        </w:rPr>
        <w:t xml:space="preserve">Fig </w:t>
      </w:r>
      <w:r>
        <w:rPr>
          <w:rStyle w:val="6"/>
          <w:rFonts w:hint="eastAsia" w:ascii="Times New Roman" w:hAnsi="Times New Roman" w:cs="Times New Roman"/>
          <w:bCs/>
          <w:lang w:val="en-US" w:eastAsia="zh-CN" w:bidi="ar"/>
        </w:rPr>
        <w:t>S4</w:t>
      </w:r>
      <w:r>
        <w:rPr>
          <w:rStyle w:val="6"/>
          <w:rFonts w:hint="default" w:ascii="Times New Roman" w:hAnsi="Times New Roman" w:cs="Times New Roman"/>
          <w:bCs/>
          <w:lang w:val="en-US" w:bidi="ar"/>
        </w:rPr>
        <w:t>. Forest Plot of PAH Treatment Efficacy: (a) Effect on 6-Minute Walk Distance (6MWD); (b) Effect on Mean Pulmonary Arterial Pressure (mPAP)</w:t>
      </w:r>
    </w:p>
    <w:p w14:paraId="38E889FE">
      <w:pPr>
        <w:widowControl/>
        <w:spacing w:before="240" w:after="200"/>
        <w:jc w:val="left"/>
        <w:outlineLvl w:val="1"/>
        <w:rPr>
          <w:rFonts w:hint="eastAsia" w:ascii="Times New Roman" w:hAnsi="Times New Roman" w:eastAsia="宋体" w:cs="Times New Roman"/>
          <w:b/>
          <w:kern w:val="0"/>
          <w:sz w:val="24"/>
          <w:szCs w:val="24"/>
          <w:lang w:val="en-US" w:eastAsia="zh-CN"/>
          <w14:ligatures w14:val="none"/>
        </w:rPr>
      </w:pPr>
    </w:p>
    <w:p w14:paraId="51F80015">
      <w:pPr>
        <w:widowControl/>
        <w:spacing w:before="240" w:after="200"/>
        <w:jc w:val="left"/>
        <w:outlineLvl w:val="1"/>
        <w:rPr>
          <w:rFonts w:hint="default" w:ascii="Times New Roman" w:hAnsi="Times New Roman" w:eastAsia="宋体" w:cs="Times New Roman"/>
          <w:b/>
          <w:kern w:val="0"/>
          <w:sz w:val="24"/>
          <w:szCs w:val="24"/>
          <w:lang w:val="en-US" w:eastAsia="zh-CN"/>
          <w14:ligatures w14:val="none"/>
        </w:rPr>
      </w:pPr>
    </w:p>
    <w:p w14:paraId="1F18B92C">
      <w:pPr>
        <w:widowControl/>
        <w:jc w:val="left"/>
        <w:textAlignment w:val="center"/>
        <w:rPr>
          <w:rFonts w:ascii="Times New Roman" w:hAnsi="Times New Roman" w:eastAsia="微软雅黑" w:cs="Times New Roman"/>
          <w:color w:val="000000"/>
          <w:kern w:val="0"/>
          <w:sz w:val="22"/>
          <w:szCs w:val="22"/>
          <w:lang w:bidi="ar"/>
        </w:rPr>
      </w:pPr>
    </w:p>
    <w:p w14:paraId="2F58519F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71114"/>
    <w:rsid w:val="372171A7"/>
    <w:rsid w:val="607C3341"/>
    <w:rsid w:val="64E71114"/>
    <w:rsid w:val="753A180E"/>
    <w:rsid w:val="76C30EE4"/>
    <w:rsid w:val="7BD5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font0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737</Words>
  <Characters>4005</Characters>
  <Lines>0</Lines>
  <Paragraphs>0</Paragraphs>
  <TotalTime>53</TotalTime>
  <ScaleCrop>false</ScaleCrop>
  <LinksUpToDate>false</LinksUpToDate>
  <CharactersWithSpaces>4490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2025-09-29T06:47:00Z</dcterms:created>
  <dc:creator>c</dc:creator>
  <cp:lastModifiedBy>c</cp:lastModifiedBy>
  <dcterms:modified xsi:type="dcterms:W3CDTF">2025-10-09T14:21:32Z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5F54FEB828D045748B320B789C36F286_11</vt:lpwstr>
  </property>
  <property fmtid="{D5CDD505-2E9C-101B-9397-08002B2CF9AE}" pid="4" name="KSOTemplateDocerSaveRecord">
    <vt:lpwstr>eyJoZGlkIjoiMGQyYmIzYjE3MDNlNzlkZTYzNjJjYTViZWI1YjhhNWYiLCJ1c2VySWQiOiI0MzU5NzgwMDIifQ==</vt:lpwstr>
  </property>
</Properties>
</file>