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14DD" w14:textId="77777777" w:rsidR="00357265" w:rsidRDefault="00357265" w:rsidP="00357265">
      <w:pPr>
        <w:rPr>
          <w:b/>
        </w:rPr>
      </w:pPr>
      <w:r>
        <w:rPr>
          <w:b/>
        </w:rPr>
        <w:t>Supplementary Materials</w:t>
      </w:r>
    </w:p>
    <w:p w14:paraId="7B642EEF" w14:textId="77777777" w:rsidR="00357265" w:rsidRDefault="00357265" w:rsidP="00357265">
      <w:pPr>
        <w:rPr>
          <w:b/>
        </w:rPr>
      </w:pPr>
    </w:p>
    <w:p w14:paraId="4D69800F" w14:textId="77777777" w:rsidR="00357265" w:rsidRDefault="00357265" w:rsidP="00357265">
      <w:pPr>
        <w:rPr>
          <w:bCs/>
        </w:rPr>
      </w:pPr>
      <w:r>
        <w:rPr>
          <w:bCs/>
        </w:rPr>
        <w:t>1. Supplementary Figures</w:t>
      </w:r>
    </w:p>
    <w:p w14:paraId="6362953E" w14:textId="77777777" w:rsidR="00357265" w:rsidRDefault="00357265" w:rsidP="00357265">
      <w:pPr>
        <w:spacing w:after="160" w:line="276" w:lineRule="auto"/>
        <w:rPr>
          <w:bCs/>
        </w:rPr>
      </w:pPr>
      <w:r>
        <w:br w:type="page"/>
      </w:r>
    </w:p>
    <w:p w14:paraId="58044489" w14:textId="77777777" w:rsidR="00357265" w:rsidRDefault="00357265" w:rsidP="00357265">
      <w:pPr>
        <w:rPr>
          <w:b/>
        </w:rPr>
      </w:pPr>
      <w:r>
        <w:rPr>
          <w:b/>
        </w:rPr>
        <w:lastRenderedPageBreak/>
        <w:t>Supplementary Figures</w:t>
      </w:r>
    </w:p>
    <w:p w14:paraId="36C633E1" w14:textId="77777777" w:rsidR="00357265" w:rsidRDefault="00357265" w:rsidP="00357265">
      <w:pPr>
        <w:rPr>
          <w:bCs/>
        </w:rPr>
      </w:pPr>
    </w:p>
    <w:p w14:paraId="6CC11F18" w14:textId="77777777" w:rsidR="00357265" w:rsidRDefault="00357265" w:rsidP="00357265"/>
    <w:p w14:paraId="47D2CC30" w14:textId="77777777" w:rsidR="00357265" w:rsidRDefault="00357265" w:rsidP="00357265">
      <w:pPr>
        <w:rPr>
          <w:b/>
        </w:rPr>
      </w:pPr>
    </w:p>
    <w:p w14:paraId="7CF019A3" w14:textId="468C8DE7" w:rsidR="00357265" w:rsidRDefault="00E710D1" w:rsidP="00357265">
      <w:pPr>
        <w:rPr>
          <w:b/>
        </w:rPr>
      </w:pPr>
      <w:r>
        <w:rPr>
          <w:b/>
          <w:noProof/>
        </w:rPr>
        <w:drawing>
          <wp:inline distT="0" distB="0" distL="0" distR="0" wp14:anchorId="192CB7BA" wp14:editId="308C5EE8">
            <wp:extent cx="5731510" cy="6831330"/>
            <wp:effectExtent l="0" t="0" r="0" b="1270"/>
            <wp:docPr id="8009839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83958" name="Picture 8009839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3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47801" w14:textId="77777777" w:rsidR="00357265" w:rsidRDefault="00357265" w:rsidP="00357265">
      <w:pPr>
        <w:rPr>
          <w:b/>
          <w:i/>
          <w:iCs/>
        </w:rPr>
      </w:pPr>
    </w:p>
    <w:p w14:paraId="064C8686" w14:textId="77777777" w:rsidR="00357265" w:rsidRDefault="00357265" w:rsidP="00357265">
      <w:pPr>
        <w:rPr>
          <w:i/>
          <w:iCs/>
        </w:rPr>
      </w:pPr>
      <w:r>
        <w:rPr>
          <w:b/>
          <w:i/>
          <w:iCs/>
        </w:rPr>
        <w:t xml:space="preserve">Supplementary Figure 1. </w:t>
      </w:r>
      <w:r>
        <w:rPr>
          <w:i/>
          <w:iCs/>
        </w:rPr>
        <w:t>Proportion of the top lipid classes. A: average composition over all measurements, including individual lipid species with abundance &gt;2% in samples. B-E: class composition at each measurement timepoint.</w:t>
      </w:r>
    </w:p>
    <w:p w14:paraId="40D17315" w14:textId="77777777" w:rsidR="00357265" w:rsidRDefault="00357265" w:rsidP="00357265"/>
    <w:p w14:paraId="3E38D382" w14:textId="77777777" w:rsidR="00357265" w:rsidRDefault="00357265" w:rsidP="00357265">
      <w:pPr>
        <w:rPr>
          <w:u w:val="single"/>
        </w:rPr>
      </w:pPr>
    </w:p>
    <w:p w14:paraId="2516E4C4" w14:textId="437B19A1" w:rsidR="00357265" w:rsidRDefault="00E710D1" w:rsidP="00357265">
      <w:r>
        <w:rPr>
          <w:noProof/>
        </w:rPr>
        <w:lastRenderedPageBreak/>
        <w:drawing>
          <wp:inline distT="0" distB="0" distL="0" distR="0" wp14:anchorId="64931B9D" wp14:editId="07A41C52">
            <wp:extent cx="5731510" cy="4312285"/>
            <wp:effectExtent l="0" t="0" r="0" b="5715"/>
            <wp:docPr id="7636531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53144" name="Picture 7636531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2F211" w14:textId="77777777" w:rsidR="00357265" w:rsidRDefault="00357265" w:rsidP="00357265"/>
    <w:p w14:paraId="5B1D5F39" w14:textId="77777777" w:rsidR="00357265" w:rsidRDefault="00357265" w:rsidP="0035726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Supplementary Figure 2. </w:t>
      </w:r>
      <w:r>
        <w:rPr>
          <w:i/>
          <w:iCs/>
        </w:rPr>
        <w:t xml:space="preserve">Total </w:t>
      </w:r>
      <w:proofErr w:type="spellStart"/>
      <w:r>
        <w:rPr>
          <w:i/>
          <w:iCs/>
        </w:rPr>
        <w:t>PEx</w:t>
      </w:r>
      <w:proofErr w:type="spellEnd"/>
      <w:r>
        <w:rPr>
          <w:i/>
          <w:iCs/>
        </w:rPr>
        <w:t xml:space="preserve"> particle count and mass between atopic and non-atopic individuals. A) Mean baseline </w:t>
      </w:r>
      <w:proofErr w:type="spellStart"/>
      <w:r>
        <w:rPr>
          <w:i/>
          <w:iCs/>
        </w:rPr>
        <w:t>PEx</w:t>
      </w:r>
      <w:proofErr w:type="spellEnd"/>
      <w:r>
        <w:rPr>
          <w:i/>
          <w:iCs/>
        </w:rPr>
        <w:t xml:space="preserve"> count for atopic and non-atopic individuals. B) Mean baseline </w:t>
      </w:r>
      <w:proofErr w:type="spellStart"/>
      <w:r>
        <w:rPr>
          <w:i/>
          <w:iCs/>
        </w:rPr>
        <w:t>PEx</w:t>
      </w:r>
      <w:proofErr w:type="spellEnd"/>
      <w:r>
        <w:rPr>
          <w:i/>
          <w:iCs/>
        </w:rPr>
        <w:t xml:space="preserve"> mass for atopic and non-atopic individuals. C) Mean change in total </w:t>
      </w:r>
      <w:proofErr w:type="spellStart"/>
      <w:r>
        <w:rPr>
          <w:i/>
          <w:iCs/>
        </w:rPr>
        <w:t>PEx</w:t>
      </w:r>
      <w:proofErr w:type="spellEnd"/>
      <w:r>
        <w:rPr>
          <w:i/>
          <w:iCs/>
        </w:rPr>
        <w:t xml:space="preserve"> count from pre- to post-exercise across the two trials, in atopic and non-atopic individuals. D) Mean change in total </w:t>
      </w:r>
      <w:proofErr w:type="spellStart"/>
      <w:r>
        <w:rPr>
          <w:i/>
          <w:iCs/>
        </w:rPr>
        <w:t>PEx</w:t>
      </w:r>
      <w:proofErr w:type="spellEnd"/>
      <w:r>
        <w:rPr>
          <w:i/>
          <w:iCs/>
        </w:rPr>
        <w:t xml:space="preserve"> mass from pre- to post-exercise across the two trials, in atopic and non-atopic individuals.</w:t>
      </w:r>
    </w:p>
    <w:p w14:paraId="10DB00E0" w14:textId="77777777" w:rsidR="00357265" w:rsidRDefault="00357265" w:rsidP="00357265"/>
    <w:p w14:paraId="3CBD4BD2" w14:textId="77777777" w:rsidR="00357265" w:rsidRDefault="00357265" w:rsidP="00357265"/>
    <w:p w14:paraId="451284D7" w14:textId="77777777" w:rsidR="00357265" w:rsidRDefault="00357265" w:rsidP="00357265"/>
    <w:p w14:paraId="727F05DE" w14:textId="1DF76D75" w:rsidR="00357265" w:rsidRDefault="005F042C" w:rsidP="00357265">
      <w:r>
        <w:rPr>
          <w:noProof/>
        </w:rPr>
        <w:lastRenderedPageBreak/>
        <w:drawing>
          <wp:inline distT="0" distB="0" distL="0" distR="0" wp14:anchorId="382EF32D" wp14:editId="4891D9FF">
            <wp:extent cx="3695863" cy="5857483"/>
            <wp:effectExtent l="0" t="0" r="0" b="0"/>
            <wp:docPr id="8641750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175038" name="Picture 8641750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318" cy="588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106B8" w14:textId="77777777" w:rsidR="00357265" w:rsidRDefault="00357265" w:rsidP="00357265">
      <w:pPr>
        <w:rPr>
          <w:i/>
          <w:iCs/>
        </w:rPr>
      </w:pPr>
      <w:r>
        <w:rPr>
          <w:b/>
          <w:bCs/>
          <w:i/>
          <w:iCs/>
        </w:rPr>
        <w:t>Supplementary Figure 3.</w:t>
      </w:r>
      <w:r>
        <w:rPr>
          <w:i/>
          <w:iCs/>
        </w:rPr>
        <w:t xml:space="preserve"> Proportions of total </w:t>
      </w:r>
      <w:proofErr w:type="spellStart"/>
      <w:r>
        <w:rPr>
          <w:i/>
          <w:iCs/>
        </w:rPr>
        <w:t>PEx</w:t>
      </w:r>
      <w:proofErr w:type="spellEnd"/>
      <w:r>
        <w:rPr>
          <w:i/>
          <w:iCs/>
        </w:rPr>
        <w:t xml:space="preserve"> mass and count by particle size, in atopic versus non-atopic participants. There were no effects of atopy on the prevalence of </w:t>
      </w:r>
      <w:proofErr w:type="spellStart"/>
      <w:r>
        <w:rPr>
          <w:i/>
          <w:iCs/>
        </w:rPr>
        <w:t>PEx</w:t>
      </w:r>
      <w:proofErr w:type="spellEnd"/>
      <w:r>
        <w:rPr>
          <w:i/>
          <w:iCs/>
        </w:rPr>
        <w:t xml:space="preserve"> of different sizes.</w:t>
      </w:r>
    </w:p>
    <w:p w14:paraId="3E3B7811" w14:textId="77777777" w:rsidR="00357265" w:rsidRDefault="00357265" w:rsidP="00357265"/>
    <w:p w14:paraId="0A79F900" w14:textId="13AE60A9" w:rsidR="00357265" w:rsidRDefault="005F042C" w:rsidP="00357265">
      <w:r>
        <w:rPr>
          <w:noProof/>
        </w:rPr>
        <w:lastRenderedPageBreak/>
        <w:drawing>
          <wp:inline distT="0" distB="0" distL="0" distR="0" wp14:anchorId="23BEE00E" wp14:editId="74DBACF7">
            <wp:extent cx="5731510" cy="2550795"/>
            <wp:effectExtent l="0" t="0" r="0" b="1905"/>
            <wp:docPr id="910146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14693" name="Picture 910146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219CB" w14:textId="77777777" w:rsidR="00357265" w:rsidRDefault="00357265" w:rsidP="00357265"/>
    <w:p w14:paraId="5CB43B57" w14:textId="77777777" w:rsidR="00357265" w:rsidRDefault="00357265" w:rsidP="00357265">
      <w:pPr>
        <w:rPr>
          <w:bCs/>
        </w:rPr>
      </w:pPr>
      <w:r>
        <w:rPr>
          <w:b/>
          <w:bCs/>
          <w:i/>
          <w:iCs/>
        </w:rPr>
        <w:t>Supplementary Figure 4.</w:t>
      </w:r>
      <w:r>
        <w:rPr>
          <w:i/>
          <w:iCs/>
        </w:rPr>
        <w:t xml:space="preserve"> A) </w:t>
      </w:r>
      <w:proofErr w:type="gramStart"/>
      <w:r>
        <w:rPr>
          <w:i/>
          <w:iCs/>
        </w:rPr>
        <w:t>Principle</w:t>
      </w:r>
      <w:proofErr w:type="gramEnd"/>
      <w:r>
        <w:rPr>
          <w:i/>
          <w:iCs/>
        </w:rPr>
        <w:t xml:space="preserve"> component analysis (PCA) scores for lipid proportions before and after exercise. The first two </w:t>
      </w:r>
      <w:proofErr w:type="gramStart"/>
      <w:r>
        <w:rPr>
          <w:i/>
          <w:iCs/>
        </w:rPr>
        <w:t>principle</w:t>
      </w:r>
      <w:proofErr w:type="gramEnd"/>
      <w:r>
        <w:rPr>
          <w:i/>
          <w:iCs/>
        </w:rPr>
        <w:t xml:space="preserve"> components (PC) are displayed, explaining cumulatively 35.4% of the total variance. B) PCA scores for changes in lipid mol% (log2 logit difference) from pre to post exercise, for each trial and between atopic and non-atopic individuals. The first two PCs collectively explain 35.5% of the total variance.</w:t>
      </w:r>
    </w:p>
    <w:p w14:paraId="5D74FF34" w14:textId="77777777" w:rsidR="0086656F" w:rsidRDefault="0086656F"/>
    <w:sectPr w:rsidR="0086656F" w:rsidSect="00357265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915E" w14:textId="77777777" w:rsidR="00357265" w:rsidRDefault="00357265" w:rsidP="00357265">
      <w:r>
        <w:separator/>
      </w:r>
    </w:p>
  </w:endnote>
  <w:endnote w:type="continuationSeparator" w:id="0">
    <w:p w14:paraId="4B275B61" w14:textId="77777777" w:rsidR="00357265" w:rsidRDefault="00357265" w:rsidP="0035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502E" w14:textId="77777777" w:rsidR="00357265" w:rsidRDefault="00357265" w:rsidP="00357265">
      <w:r>
        <w:separator/>
      </w:r>
    </w:p>
  </w:footnote>
  <w:footnote w:type="continuationSeparator" w:id="0">
    <w:p w14:paraId="630DBFE0" w14:textId="77777777" w:rsidR="00357265" w:rsidRDefault="00357265" w:rsidP="0035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F7BA" w14:textId="740B066F" w:rsidR="00357265" w:rsidRDefault="00357265">
    <w:pPr>
      <w:pStyle w:val="Header"/>
    </w:pPr>
    <w:r>
      <w:rPr>
        <w:noProof/>
        <w:lang w:val="en-US"/>
        <w:rPrChange w:id="0" w:author="fb from Per" w:date="2025-10-30T12:58:00Z" w16du:dateUtc="2025-10-30T11:58:00Z">
          <w:rPr>
            <w:noProof/>
            <w:lang w:val="en-GB"/>
          </w:rPr>
        </w:rPrChange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D6120CD" wp14:editId="52343CE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202690" cy="345440"/>
              <wp:effectExtent l="0" t="0" r="0" b="0"/>
              <wp:wrapNone/>
              <wp:docPr id="10" name="Text Box 5" descr="Begränsad deln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2760" cy="34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E18DAC" w14:textId="77777777" w:rsidR="00357265" w:rsidRDefault="0035726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lIns="254160" tIns="19044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D6120CD" id="Text Box 5" o:spid="_x0000_s1026" alt="Begränsad delning" style="position:absolute;margin-left:0;margin-top:0;width:94.7pt;height:27.2pt;z-index:-251657216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" o:allowincell="f" filled="f" stroked="f" strokeweight="0">
              <v:textbox style="mso-fit-shape-to-text:t" inset="7.06mm,5.29mm,0,0">
                <w:txbxContent>
                  <w:p w14:paraId="59E18DAC" w14:textId="77777777" w:rsidR="00357265" w:rsidRDefault="0035726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Begränsad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delning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0937" w14:textId="32242BF5" w:rsidR="00357265" w:rsidRDefault="003572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E3C1" w14:textId="10E36E9F" w:rsidR="00357265" w:rsidRDefault="00357265">
    <w:pPr>
      <w:pStyle w:val="Header"/>
    </w:pPr>
    <w:r>
      <w:rPr>
        <w:noProof/>
        <w:lang w:val="en-US"/>
        <w:rPrChange w:id="1" w:author="fb from Per" w:date="2025-10-30T12:58:00Z" w16du:dateUtc="2025-10-30T11:58:00Z">
          <w:rPr>
            <w:noProof/>
            <w:lang w:val="en-GB"/>
          </w:rPr>
        </w:rPrChange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2F5422E0" wp14:editId="49CAC7D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202690" cy="344170"/>
              <wp:effectExtent l="0" t="0" r="0" b="0"/>
              <wp:wrapNone/>
              <wp:docPr id="12" name="Text Box 6" descr="Begränsad deln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2760" cy="34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104680" w14:textId="77777777" w:rsidR="00357265" w:rsidRDefault="0035726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lIns="254160" tIns="19044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F5422E0" id="Text Box 6" o:spid="_x0000_s1027" alt="Begränsad delning" style="position:absolute;margin-left:0;margin-top:0;width:94.7pt;height:27.1pt;z-index:-251657216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" o:allowincell="f" filled="f" stroked="f" strokeweight="0">
              <v:textbox style="mso-fit-shape-to-text:t" inset="7.06mm,5.29mm,0,0">
                <w:txbxContent>
                  <w:p w14:paraId="39104680" w14:textId="77777777" w:rsidR="00357265" w:rsidRDefault="0035726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Begränsad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delning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65"/>
    <w:rsid w:val="0005018A"/>
    <w:rsid w:val="00357265"/>
    <w:rsid w:val="005F042C"/>
    <w:rsid w:val="007048D6"/>
    <w:rsid w:val="00804F8C"/>
    <w:rsid w:val="0086656F"/>
    <w:rsid w:val="00C16374"/>
    <w:rsid w:val="00E7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B9EFB0"/>
  <w15:chartTrackingRefBased/>
  <w15:docId w15:val="{8F51D620-F220-FA4C-AC94-3266E99F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265"/>
    <w:pPr>
      <w:suppressAutoHyphens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26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26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265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265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265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265"/>
    <w:pPr>
      <w:keepNext/>
      <w:keepLines/>
      <w:suppressAutoHyphens w:val="0"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265"/>
    <w:pPr>
      <w:keepNext/>
      <w:keepLines/>
      <w:suppressAutoHyphens w:val="0"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265"/>
    <w:pPr>
      <w:keepNext/>
      <w:keepLines/>
      <w:suppressAutoHyphens w:val="0"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265"/>
    <w:pPr>
      <w:keepNext/>
      <w:keepLines/>
      <w:suppressAutoHyphens w:val="0"/>
      <w:spacing w:line="278" w:lineRule="auto"/>
      <w:outlineLvl w:val="8"/>
    </w:pPr>
    <w:rPr>
      <w:rFonts w:eastAsiaTheme="majorEastAsia" w:cstheme="majorBidi"/>
      <w:color w:val="272727" w:themeColor="text1" w:themeTint="D8"/>
      <w:lang w:val="en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2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2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26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E"/>
    </w:rPr>
  </w:style>
  <w:style w:type="character" w:customStyle="1" w:styleId="TitleChar">
    <w:name w:val="Title Char"/>
    <w:basedOn w:val="DefaultParagraphFont"/>
    <w:link w:val="Title"/>
    <w:uiPriority w:val="10"/>
    <w:rsid w:val="00357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265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SE"/>
    </w:rPr>
  </w:style>
  <w:style w:type="character" w:customStyle="1" w:styleId="SubtitleChar">
    <w:name w:val="Subtitle Char"/>
    <w:basedOn w:val="DefaultParagraphFont"/>
    <w:link w:val="Subtitle"/>
    <w:uiPriority w:val="11"/>
    <w:rsid w:val="00357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265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lang w:val="en-SE"/>
    </w:rPr>
  </w:style>
  <w:style w:type="character" w:customStyle="1" w:styleId="QuoteChar">
    <w:name w:val="Quote Char"/>
    <w:basedOn w:val="DefaultParagraphFont"/>
    <w:link w:val="Quote"/>
    <w:uiPriority w:val="29"/>
    <w:rsid w:val="00357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265"/>
    <w:pPr>
      <w:suppressAutoHyphens w:val="0"/>
      <w:spacing w:after="160" w:line="278" w:lineRule="auto"/>
      <w:ind w:left="720"/>
      <w:contextualSpacing/>
    </w:pPr>
    <w:rPr>
      <w:lang w:val="en-SE"/>
    </w:rPr>
  </w:style>
  <w:style w:type="character" w:styleId="IntenseEmphasis">
    <w:name w:val="Intense Emphasis"/>
    <w:basedOn w:val="DefaultParagraphFont"/>
    <w:uiPriority w:val="21"/>
    <w:qFormat/>
    <w:rsid w:val="00357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S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2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265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57265"/>
  </w:style>
  <w:style w:type="paragraph" w:styleId="Header">
    <w:name w:val="header"/>
    <w:basedOn w:val="Normal"/>
    <w:link w:val="HeaderChar"/>
    <w:uiPriority w:val="99"/>
    <w:unhideWhenUsed/>
    <w:rsid w:val="00357265"/>
    <w:pPr>
      <w:tabs>
        <w:tab w:val="center" w:pos="4536"/>
        <w:tab w:val="right" w:pos="9072"/>
      </w:tabs>
    </w:pPr>
    <w:rPr>
      <w:lang w:val="en-SE"/>
    </w:rPr>
  </w:style>
  <w:style w:type="character" w:customStyle="1" w:styleId="HeaderChar1">
    <w:name w:val="Header Char1"/>
    <w:basedOn w:val="DefaultParagraphFont"/>
    <w:uiPriority w:val="99"/>
    <w:semiHidden/>
    <w:rsid w:val="0035726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Hanstock</dc:creator>
  <cp:keywords/>
  <dc:description/>
  <cp:lastModifiedBy>Helen Hanstock</cp:lastModifiedBy>
  <cp:revision>5</cp:revision>
  <dcterms:created xsi:type="dcterms:W3CDTF">2025-11-03T10:44:00Z</dcterms:created>
  <dcterms:modified xsi:type="dcterms:W3CDTF">2025-11-14T09:06:00Z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2391d7-cda4-4cf1-a5a1-fb5c39029b0b_Enabled">
    <vt:lpwstr>true</vt:lpwstr>
  </property>
  <property fmtid="{D5CDD505-2E9C-101B-9397-08002B2CF9AE}" pid="3" name="MSIP_Label_ee2391d7-cda4-4cf1-a5a1-fb5c39029b0b_SetDate">
    <vt:lpwstr>2025-11-03T10:45:40Z</vt:lpwstr>
  </property>
  <property fmtid="{D5CDD505-2E9C-101B-9397-08002B2CF9AE}" pid="4" name="MSIP_Label_ee2391d7-cda4-4cf1-a5a1-fb5c39029b0b_Method">
    <vt:lpwstr>Privileged</vt:lpwstr>
  </property>
  <property fmtid="{D5CDD505-2E9C-101B-9397-08002B2CF9AE}" pid="5" name="MSIP_Label_ee2391d7-cda4-4cf1-a5a1-fb5c39029b0b_Name">
    <vt:lpwstr>Öppen</vt:lpwstr>
  </property>
  <property fmtid="{D5CDD505-2E9C-101B-9397-08002B2CF9AE}" pid="6" name="MSIP_Label_ee2391d7-cda4-4cf1-a5a1-fb5c39029b0b_SiteId">
    <vt:lpwstr>8234e57a-f0d7-4e7d-bac5-8f1a2c565e73</vt:lpwstr>
  </property>
  <property fmtid="{D5CDD505-2E9C-101B-9397-08002B2CF9AE}" pid="7" name="MSIP_Label_ee2391d7-cda4-4cf1-a5a1-fb5c39029b0b_ActionId">
    <vt:lpwstr>86c1e357-314f-4b1c-9274-4c4ca68ad53f</vt:lpwstr>
  </property>
  <property fmtid="{D5CDD505-2E9C-101B-9397-08002B2CF9AE}" pid="8" name="MSIP_Label_ee2391d7-cda4-4cf1-a5a1-fb5c39029b0b_ContentBits">
    <vt:lpwstr>0</vt:lpwstr>
  </property>
  <property fmtid="{D5CDD505-2E9C-101B-9397-08002B2CF9AE}" pid="9" name="MSIP_Label_ee2391d7-cda4-4cf1-a5a1-fb5c39029b0b_Tag">
    <vt:lpwstr>50, 0, 1, 1</vt:lpwstr>
  </property>
</Properties>
</file>