
<file path=[Content_Types].xml><?xml version="1.0" encoding="utf-8"?>
<Types xmlns="http://schemas.openxmlformats.org/package/2006/content-types">
  <Default Extension="tiff" ContentType="image/tif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6F05B8">
      <w:r>
        <w:rPr>
          <w:rFonts w:hint="eastAsia"/>
        </w:rPr>
        <w:drawing>
          <wp:inline distT="0" distB="0" distL="114300" distR="114300">
            <wp:extent cx="5266055" cy="5702300"/>
            <wp:effectExtent l="0" t="0" r="6985" b="12700"/>
            <wp:docPr id="1" name="图片 1" descr="Heatmap_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eatmap_plot"/>
                    <pic:cNvPicPr>
                      <a:picLocks noChangeAspect="1"/>
                    </pic:cNvPicPr>
                  </pic:nvPicPr>
                  <pic:blipFill>
                    <a:blip r:embed="rId4"/>
                    <a:srcRect b="4438"/>
                    <a:stretch>
                      <a:fillRect/>
                    </a:stretch>
                  </pic:blipFill>
                  <pic:spPr>
                    <a:xfrm>
                      <a:off x="0" y="0"/>
                      <a:ext cx="5266055" cy="5702300"/>
                    </a:xfrm>
                    <a:prstGeom prst="rect">
                      <a:avLst/>
                    </a:prstGeom>
                  </pic:spPr>
                </pic:pic>
              </a:graphicData>
            </a:graphic>
          </wp:inline>
        </w:drawing>
      </w:r>
    </w:p>
    <w:p w14:paraId="5A3B30CB">
      <w:pPr>
        <w:pStyle w:val="2"/>
        <w:spacing w:before="156" w:after="156"/>
        <w:rPr>
          <w:rFonts w:cs="Times New Roman"/>
          <w:sz w:val="21"/>
          <w:szCs w:val="21"/>
        </w:rPr>
      </w:pPr>
      <w:r>
        <w:rPr>
          <w:rFonts w:hint="eastAsia" w:cs="Times New Roman"/>
          <w:sz w:val="21"/>
          <w:szCs w:val="21"/>
        </w:rPr>
        <w:t>Figure S1 Heatmap diagram of differentially expressed metabolites</w:t>
      </w:r>
    </w:p>
    <w:p w14:paraId="2BCBCA7E">
      <w:pPr>
        <w:rPr>
          <w:rFonts w:ascii="Times New Roman" w:hAnsi="Times New Roman" w:eastAsia="宋体"/>
          <w:b/>
          <w:bCs/>
          <w:szCs w:val="21"/>
        </w:rPr>
        <w:sectPr>
          <w:pgSz w:w="11906" w:h="16838"/>
          <w:pgMar w:top="1440" w:right="1800" w:bottom="1440" w:left="1800" w:header="851" w:footer="992" w:gutter="0"/>
          <w:cols w:space="425" w:num="1"/>
          <w:docGrid w:type="lines" w:linePitch="312" w:charSpace="0"/>
        </w:sectPr>
      </w:pPr>
    </w:p>
    <w:p w14:paraId="357D4525">
      <w:pPr>
        <w:spacing w:before="156" w:beforeLines="50" w:after="156" w:afterLines="50" w:line="360" w:lineRule="auto"/>
        <w:outlineLvl w:val="0"/>
        <w:rPr>
          <w:rFonts w:ascii="Times New Roman" w:hAnsi="Times New Roman" w:cs="Times New Roman"/>
          <w:szCs w:val="21"/>
        </w:rPr>
      </w:pPr>
      <w:r>
        <w:drawing>
          <wp:inline distT="0" distB="0" distL="0" distR="0">
            <wp:extent cx="5274310" cy="5274310"/>
            <wp:effectExtent l="0" t="0" r="13970" b="13970"/>
            <wp:docPr id="386658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58952"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inline>
        </w:drawing>
      </w:r>
      <w:r>
        <w:rPr>
          <w:rFonts w:hint="eastAsia" w:ascii="Times New Roman" w:hAnsi="Times New Roman" w:cs="Times New Roman"/>
          <w:b/>
          <w:szCs w:val="21"/>
        </w:rPr>
        <w:t xml:space="preserve">Figure S2 </w:t>
      </w:r>
      <w:r>
        <w:rPr>
          <w:rFonts w:ascii="Times New Roman" w:hAnsi="Times New Roman" w:cs="Times New Roman"/>
          <w:b/>
          <w:szCs w:val="21"/>
        </w:rPr>
        <w:t>The distribution of DE</w:t>
      </w:r>
      <w:r>
        <w:rPr>
          <w:rFonts w:hint="eastAsia" w:ascii="Times New Roman" w:hAnsi="Times New Roman" w:cs="Times New Roman"/>
          <w:b/>
          <w:szCs w:val="21"/>
        </w:rPr>
        <w:t>P</w:t>
      </w:r>
      <w:r>
        <w:rPr>
          <w:rFonts w:ascii="Times New Roman" w:hAnsi="Times New Roman" w:cs="Times New Roman"/>
          <w:b/>
          <w:szCs w:val="21"/>
        </w:rPr>
        <w:t xml:space="preserve">s shown in an upset chart. </w:t>
      </w:r>
      <w:r>
        <w:rPr>
          <w:rFonts w:ascii="Times New Roman" w:hAnsi="Times New Roman" w:cs="Times New Roman"/>
          <w:szCs w:val="21"/>
        </w:rPr>
        <w:t>Set size denotes the total number of DE</w:t>
      </w:r>
      <w:r>
        <w:rPr>
          <w:rFonts w:hint="eastAsia" w:ascii="Times New Roman" w:hAnsi="Times New Roman" w:cs="Times New Roman"/>
          <w:szCs w:val="21"/>
        </w:rPr>
        <w:t>P</w:t>
      </w:r>
      <w:r>
        <w:rPr>
          <w:rFonts w:ascii="Times New Roman" w:hAnsi="Times New Roman" w:cs="Times New Roman"/>
          <w:szCs w:val="21"/>
        </w:rPr>
        <w:t xml:space="preserve">s. </w:t>
      </w:r>
      <w:r>
        <w:rPr>
          <w:rFonts w:hint="eastAsia" w:ascii="Times New Roman" w:hAnsi="Times New Roman" w:cs="Times New Roman"/>
          <w:szCs w:val="21"/>
        </w:rPr>
        <w:t>Counts of i</w:t>
      </w:r>
      <w:r>
        <w:rPr>
          <w:rFonts w:ascii="Times New Roman" w:hAnsi="Times New Roman" w:cs="Times New Roman"/>
          <w:szCs w:val="21"/>
        </w:rPr>
        <w:t>ntersection represents the amount of DE</w:t>
      </w:r>
      <w:r>
        <w:rPr>
          <w:rFonts w:hint="eastAsia" w:ascii="Times New Roman" w:hAnsi="Times New Roman" w:cs="Times New Roman"/>
          <w:szCs w:val="21"/>
        </w:rPr>
        <w:t>P</w:t>
      </w:r>
      <w:r>
        <w:rPr>
          <w:rFonts w:ascii="Times New Roman" w:hAnsi="Times New Roman" w:cs="Times New Roman"/>
          <w:szCs w:val="21"/>
        </w:rPr>
        <w:t>s in the comparisons marked by filled circles (single comparisons) or circles with connection lines (multiple comparisons).</w:t>
      </w:r>
    </w:p>
    <w:p w14:paraId="63888DFF">
      <w:pPr>
        <w:widowControl/>
        <w:jc w:val="left"/>
        <w:rPr>
          <w:rFonts w:ascii="Times New Roman" w:hAnsi="Times New Roman" w:cs="Times New Roman"/>
          <w:szCs w:val="21"/>
        </w:rPr>
        <w:sectPr>
          <w:pgSz w:w="11906" w:h="16838"/>
          <w:pgMar w:top="1440" w:right="1800" w:bottom="1440" w:left="1800" w:header="851" w:footer="992" w:gutter="0"/>
          <w:cols w:space="425" w:num="1"/>
          <w:docGrid w:type="lines" w:linePitch="312" w:charSpace="0"/>
        </w:sectPr>
      </w:pPr>
    </w:p>
    <w:p w14:paraId="21D2601B">
      <w:pPr>
        <w:jc w:val="both"/>
        <w:rPr>
          <w:rFonts w:ascii="Times New Roman" w:hAnsi="Times New Roman" w:eastAsia="宋体"/>
          <w:b/>
          <w:bCs/>
          <w:szCs w:val="21"/>
        </w:rPr>
      </w:pPr>
      <w:r>
        <w:rPr>
          <w:rFonts w:hint="eastAsia" w:ascii="Times New Roman" w:hAnsi="Times New Roman" w:eastAsia="宋体"/>
          <w:b/>
          <w:bCs/>
          <w:szCs w:val="21"/>
        </w:rPr>
        <w:drawing>
          <wp:inline distT="0" distB="0" distL="114300" distR="114300">
            <wp:extent cx="5267325" cy="4887595"/>
            <wp:effectExtent l="0" t="0" r="5715" b="4445"/>
            <wp:docPr id="17" name="图片 17" descr="corr_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orr_plot"/>
                    <pic:cNvPicPr>
                      <a:picLocks noChangeAspect="1"/>
                    </pic:cNvPicPr>
                  </pic:nvPicPr>
                  <pic:blipFill>
                    <a:blip r:embed="rId6"/>
                    <a:srcRect b="7209"/>
                    <a:stretch>
                      <a:fillRect/>
                    </a:stretch>
                  </pic:blipFill>
                  <pic:spPr>
                    <a:xfrm>
                      <a:off x="0" y="0"/>
                      <a:ext cx="5267325" cy="4887595"/>
                    </a:xfrm>
                    <a:prstGeom prst="rect">
                      <a:avLst/>
                    </a:prstGeom>
                  </pic:spPr>
                </pic:pic>
              </a:graphicData>
            </a:graphic>
          </wp:inline>
        </w:drawing>
      </w:r>
    </w:p>
    <w:p w14:paraId="6BB423C4">
      <w:pPr>
        <w:pStyle w:val="2"/>
        <w:spacing w:before="156" w:after="156"/>
        <w:rPr>
          <w:rFonts w:hint="eastAsia" w:cs="Times New Roman"/>
          <w:sz w:val="21"/>
          <w:szCs w:val="21"/>
          <w:lang w:val="en-US" w:eastAsia="zh-CN"/>
        </w:rPr>
      </w:pPr>
      <w:r>
        <w:rPr>
          <w:rFonts w:hint="eastAsia" w:cs="Times New Roman"/>
          <w:sz w:val="21"/>
          <w:szCs w:val="21"/>
        </w:rPr>
        <w:t>Figure S3 Pearson's Correlation Coefficient of differentially expressed proteins</w:t>
      </w:r>
      <w:r>
        <w:rPr>
          <w:rFonts w:hint="eastAsia" w:cs="Times New Roman"/>
          <w:sz w:val="21"/>
          <w:szCs w:val="21"/>
          <w:lang w:val="en-US" w:eastAsia="zh-CN"/>
        </w:rPr>
        <w:t>.</w:t>
      </w:r>
    </w:p>
    <w:p w14:paraId="309D4B0C">
      <w:pPr>
        <w:rPr>
          <w:rFonts w:hint="eastAsia" w:cs="Times New Roman"/>
          <w:sz w:val="21"/>
          <w:szCs w:val="21"/>
          <w:lang w:val="en-US" w:eastAsia="zh-CN"/>
        </w:rPr>
      </w:pPr>
    </w:p>
    <w:p w14:paraId="51353DAC">
      <w:pPr>
        <w:rPr>
          <w:rFonts w:hint="eastAsia" w:cs="Times New Roman"/>
          <w:sz w:val="21"/>
          <w:szCs w:val="21"/>
          <w:lang w:val="en-US" w:eastAsia="zh-CN"/>
        </w:rPr>
        <w:sectPr>
          <w:pgSz w:w="11906" w:h="16838"/>
          <w:pgMar w:top="1440" w:right="1800" w:bottom="1440" w:left="1800" w:header="851" w:footer="992" w:gutter="0"/>
          <w:cols w:space="425" w:num="1"/>
          <w:docGrid w:type="lines" w:linePitch="312" w:charSpace="0"/>
        </w:sectPr>
      </w:pPr>
      <w:bookmarkStart w:id="1" w:name="_GoBack"/>
      <w:bookmarkEnd w:id="1"/>
    </w:p>
    <w:p w14:paraId="6DC4D241">
      <w:pPr>
        <w:widowControl/>
        <w:jc w:val="left"/>
      </w:pPr>
      <w:r>
        <w:drawing>
          <wp:inline distT="0" distB="0" distL="0" distR="0">
            <wp:extent cx="5274310" cy="6143625"/>
            <wp:effectExtent l="0" t="0" r="13970" b="13335"/>
            <wp:docPr id="1876517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17006"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6143625"/>
                    </a:xfrm>
                    <a:prstGeom prst="rect">
                      <a:avLst/>
                    </a:prstGeom>
                    <a:noFill/>
                    <a:ln>
                      <a:noFill/>
                    </a:ln>
                  </pic:spPr>
                </pic:pic>
              </a:graphicData>
            </a:graphic>
          </wp:inline>
        </w:drawing>
      </w:r>
    </w:p>
    <w:p w14:paraId="32C2F96E">
      <w:pPr>
        <w:pStyle w:val="2"/>
        <w:spacing w:before="156" w:after="156"/>
        <w:jc w:val="both"/>
        <w:rPr>
          <w:rFonts w:cs="Times New Roman"/>
          <w:sz w:val="21"/>
          <w:szCs w:val="21"/>
        </w:rPr>
      </w:pPr>
      <w:r>
        <w:rPr>
          <w:rFonts w:cs="Times New Roman"/>
          <w:sz w:val="21"/>
          <w:szCs w:val="21"/>
        </w:rPr>
        <w:t xml:space="preserve">Figure </w:t>
      </w:r>
      <w:r>
        <w:rPr>
          <w:rFonts w:hint="eastAsia" w:cs="Times New Roman"/>
          <w:sz w:val="21"/>
          <w:szCs w:val="21"/>
        </w:rPr>
        <w:t>S4</w:t>
      </w:r>
      <w:r>
        <w:rPr>
          <w:rFonts w:cs="Times New Roman"/>
          <w:sz w:val="21"/>
          <w:szCs w:val="21"/>
        </w:rPr>
        <w:t xml:space="preserve">. Mfuzz analysis based on differentially expressed proteins changing patterns. </w:t>
      </w:r>
      <w:r>
        <w:rPr>
          <w:rFonts w:cs="Times New Roman"/>
          <w:b w:val="0"/>
          <w:bCs/>
          <w:sz w:val="21"/>
          <w:szCs w:val="21"/>
        </w:rPr>
        <w:t xml:space="preserve">The left side shows the trend in protein expression in successive treatments. The horizontal axis is the continuous sample; the vertical axis is the protein expression. The fold lines are categorized into four different trends according to the cluster analysis. Heatmaps and enrichment analysis of the GO functions, KEGG pathways and protein structural domains of the DEPs are plotted on the right side for each cluster. </w:t>
      </w:r>
    </w:p>
    <w:p w14:paraId="7CE7C780">
      <w:pPr>
        <w:widowControl/>
        <w:jc w:val="left"/>
        <w:rPr>
          <w:lang w:val="en-GB"/>
        </w:rPr>
        <w:sectPr>
          <w:pgSz w:w="11906" w:h="16838"/>
          <w:pgMar w:top="1440" w:right="1800" w:bottom="1440" w:left="1800" w:header="851" w:footer="992" w:gutter="0"/>
          <w:cols w:space="425" w:num="1"/>
          <w:docGrid w:type="lines" w:linePitch="312" w:charSpace="0"/>
        </w:sectPr>
      </w:pPr>
    </w:p>
    <w:p w14:paraId="62DD71D5">
      <w:pPr>
        <w:rPr>
          <w:szCs w:val="21"/>
        </w:rPr>
      </w:pPr>
      <w:bookmarkStart w:id="0" w:name="_Hlk154311192"/>
      <w:r>
        <w:drawing>
          <wp:inline distT="0" distB="0" distL="114300" distR="114300">
            <wp:extent cx="5269865" cy="6509385"/>
            <wp:effectExtent l="0" t="0" r="3175" b="13335"/>
            <wp:docPr id="2" name="图片 2" descr="PRM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M验证"/>
                    <pic:cNvPicPr>
                      <a:picLocks noChangeAspect="1"/>
                    </pic:cNvPicPr>
                  </pic:nvPicPr>
                  <pic:blipFill>
                    <a:blip r:embed="rId8"/>
                    <a:stretch>
                      <a:fillRect/>
                    </a:stretch>
                  </pic:blipFill>
                  <pic:spPr>
                    <a:xfrm>
                      <a:off x="0" y="0"/>
                      <a:ext cx="5269865" cy="6509385"/>
                    </a:xfrm>
                    <a:prstGeom prst="rect">
                      <a:avLst/>
                    </a:prstGeom>
                  </pic:spPr>
                </pic:pic>
              </a:graphicData>
            </a:graphic>
          </wp:inline>
        </w:drawing>
      </w:r>
    </w:p>
    <w:p w14:paraId="6464EDCA">
      <w:pPr>
        <w:pStyle w:val="2"/>
        <w:spacing w:before="156" w:after="156"/>
        <w:jc w:val="both"/>
        <w:rPr>
          <w:rFonts w:cs="Times New Roman"/>
          <w:sz w:val="21"/>
          <w:szCs w:val="21"/>
        </w:rPr>
      </w:pPr>
      <w:r>
        <w:rPr>
          <w:rFonts w:cs="Times New Roman"/>
          <w:sz w:val="21"/>
          <w:szCs w:val="21"/>
        </w:rPr>
        <w:t xml:space="preserve">Figure </w:t>
      </w:r>
      <w:r>
        <w:rPr>
          <w:rFonts w:hint="eastAsia" w:cs="Times New Roman"/>
          <w:sz w:val="21"/>
          <w:szCs w:val="21"/>
        </w:rPr>
        <w:t>S5</w:t>
      </w:r>
      <w:r>
        <w:rPr>
          <w:rFonts w:cs="Times New Roman"/>
          <w:sz w:val="21"/>
          <w:szCs w:val="21"/>
        </w:rPr>
        <w:t>. Correlation analysis between the parallel reaction monitoring and proteomics results of 15 peptides.</w:t>
      </w:r>
    </w:p>
    <w:p w14:paraId="0F03506D">
      <w:pPr>
        <w:sectPr>
          <w:pgSz w:w="11906" w:h="16838"/>
          <w:pgMar w:top="1440" w:right="1800" w:bottom="1440" w:left="1800" w:header="851" w:footer="992" w:gutter="0"/>
          <w:cols w:space="425" w:num="1"/>
          <w:docGrid w:type="lines" w:linePitch="312" w:charSpace="0"/>
        </w:sectPr>
      </w:pPr>
    </w:p>
    <w:p w14:paraId="6A7F83FF"/>
    <w:p w14:paraId="0D312A9C">
      <w:pPr>
        <w:rPr>
          <w:szCs w:val="21"/>
        </w:rPr>
      </w:pPr>
      <w:r>
        <w:drawing>
          <wp:inline distT="0" distB="0" distL="114300" distR="114300">
            <wp:extent cx="5274310" cy="2802255"/>
            <wp:effectExtent l="0" t="0" r="13970" b="1905"/>
            <wp:docPr id="8" name="图片 8" descr="all-k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ll-kegg"/>
                    <pic:cNvPicPr>
                      <a:picLocks noChangeAspect="1"/>
                    </pic:cNvPicPr>
                  </pic:nvPicPr>
                  <pic:blipFill>
                    <a:blip r:embed="rId9"/>
                    <a:stretch>
                      <a:fillRect/>
                    </a:stretch>
                  </pic:blipFill>
                  <pic:spPr>
                    <a:xfrm>
                      <a:off x="0" y="0"/>
                      <a:ext cx="5274310" cy="2802255"/>
                    </a:xfrm>
                    <a:prstGeom prst="rect">
                      <a:avLst/>
                    </a:prstGeom>
                  </pic:spPr>
                </pic:pic>
              </a:graphicData>
            </a:graphic>
          </wp:inline>
        </w:drawing>
      </w:r>
    </w:p>
    <w:p w14:paraId="323C6150">
      <w:pPr>
        <w:pStyle w:val="2"/>
        <w:spacing w:before="156" w:after="156"/>
        <w:rPr>
          <w:rFonts w:cs="Times New Roman"/>
          <w:sz w:val="21"/>
          <w:szCs w:val="21"/>
        </w:rPr>
      </w:pPr>
      <w:r>
        <w:rPr>
          <w:rFonts w:cs="Times New Roman"/>
          <w:sz w:val="21"/>
          <w:szCs w:val="21"/>
        </w:rPr>
        <w:t xml:space="preserve">Figure </w:t>
      </w:r>
      <w:r>
        <w:rPr>
          <w:rFonts w:hint="eastAsia" w:cs="Times New Roman"/>
          <w:sz w:val="21"/>
          <w:szCs w:val="21"/>
        </w:rPr>
        <w:t>S6</w:t>
      </w:r>
      <w:r>
        <w:rPr>
          <w:rFonts w:cs="Times New Roman"/>
          <w:sz w:val="21"/>
          <w:szCs w:val="21"/>
        </w:rPr>
        <w:t>. KEGG enrichment analysis of the differential ubiquitination-regulated proteins of soybean roots under low-phosphorus stress.</w:t>
      </w:r>
    </w:p>
    <w:bookmarkEnd w:id="0"/>
    <w:p w14:paraId="516E0E35">
      <w:pPr>
        <w:rPr>
          <w:rFonts w:ascii="Times New Roman" w:hAnsi="Times New Roman" w:eastAsia="宋体"/>
          <w:b/>
          <w:bCs/>
          <w:szCs w:val="21"/>
        </w:rPr>
        <w:sectPr>
          <w:pgSz w:w="11906" w:h="16838"/>
          <w:pgMar w:top="1440" w:right="1800" w:bottom="1440" w:left="1800" w:header="851" w:footer="992" w:gutter="0"/>
          <w:cols w:space="425" w:num="1"/>
          <w:docGrid w:type="lines" w:linePitch="312" w:charSpace="0"/>
        </w:sectPr>
      </w:pPr>
    </w:p>
    <w:p w14:paraId="0623E06C">
      <w:pPr>
        <w:jc w:val="both"/>
        <w:rPr>
          <w:rFonts w:ascii="Times New Roman" w:hAnsi="Times New Roman" w:eastAsia="宋体"/>
          <w:szCs w:val="21"/>
          <w:lang w:bidi="ar"/>
        </w:rPr>
      </w:pPr>
      <w:r>
        <w:rPr>
          <w:rFonts w:hint="eastAsia" w:ascii="Times New Roman" w:hAnsi="Times New Roman" w:eastAsia="宋体"/>
          <w:szCs w:val="21"/>
          <w:lang w:bidi="ar"/>
        </w:rPr>
        <w:drawing>
          <wp:inline distT="0" distB="0" distL="114300" distR="114300">
            <wp:extent cx="5885180" cy="7466965"/>
            <wp:effectExtent l="0" t="0" r="12700" b="635"/>
            <wp:docPr id="4" name="图片 4" descr="S12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12 domain"/>
                    <pic:cNvPicPr>
                      <a:picLocks noChangeAspect="1"/>
                    </pic:cNvPicPr>
                  </pic:nvPicPr>
                  <pic:blipFill>
                    <a:blip r:embed="rId10"/>
                    <a:stretch>
                      <a:fillRect/>
                    </a:stretch>
                  </pic:blipFill>
                  <pic:spPr>
                    <a:xfrm>
                      <a:off x="0" y="0"/>
                      <a:ext cx="5885180" cy="7466965"/>
                    </a:xfrm>
                    <a:prstGeom prst="rect">
                      <a:avLst/>
                    </a:prstGeom>
                  </pic:spPr>
                </pic:pic>
              </a:graphicData>
            </a:graphic>
          </wp:inline>
        </w:drawing>
      </w:r>
    </w:p>
    <w:p w14:paraId="2965488E">
      <w:pPr>
        <w:spacing w:before="156" w:beforeLines="50" w:after="156" w:afterLines="50" w:line="360" w:lineRule="auto"/>
        <w:outlineLvl w:val="0"/>
        <w:rPr>
          <w:rFonts w:hint="eastAsia" w:ascii="Times New Roman" w:hAnsi="Times New Roman" w:eastAsia="宋体"/>
          <w:b/>
          <w:bCs/>
          <w:szCs w:val="21"/>
          <w:lang w:val="en-US" w:eastAsia="zh-CN"/>
        </w:rPr>
      </w:pPr>
      <w:r>
        <w:rPr>
          <w:rFonts w:hint="eastAsia" w:ascii="Times New Roman" w:hAnsi="Times New Roman" w:eastAsia="宋体"/>
          <w:b/>
          <w:bCs/>
          <w:szCs w:val="21"/>
        </w:rPr>
        <w:t>Figure S7 Domain enrichment analysis of differentially up-regulated (A) and down-regulated (B) proteins of soybean root ubiquitination under low phosphorus stress</w:t>
      </w:r>
      <w:r>
        <w:rPr>
          <w:rFonts w:hint="eastAsia" w:ascii="Times New Roman" w:hAnsi="Times New Roman" w:eastAsia="宋体"/>
          <w:b/>
          <w:bCs/>
          <w:szCs w:val="21"/>
          <w:lang w:val="en-US" w:eastAsia="zh-CN"/>
        </w:rPr>
        <w:t>.</w:t>
      </w:r>
    </w:p>
    <w:p w14:paraId="646A69D8">
      <w:pPr>
        <w:spacing w:before="156" w:beforeLines="50" w:after="156" w:afterLines="50" w:line="360" w:lineRule="auto"/>
        <w:outlineLvl w:val="0"/>
        <w:rPr>
          <w:rFonts w:hint="eastAsia" w:ascii="Times New Roman" w:hAnsi="Times New Roman" w:eastAsia="宋体"/>
          <w:b/>
          <w:bCs/>
          <w:szCs w:val="21"/>
          <w:lang w:val="en-US" w:eastAsia="zh-CN"/>
        </w:rPr>
        <w:sectPr>
          <w:pgSz w:w="11906" w:h="16838"/>
          <w:pgMar w:top="1440" w:right="1800" w:bottom="1440" w:left="1800" w:header="851" w:footer="992" w:gutter="0"/>
          <w:cols w:space="425" w:num="1"/>
          <w:docGrid w:type="lines" w:linePitch="312" w:charSpace="0"/>
        </w:sectPr>
      </w:pPr>
    </w:p>
    <w:p w14:paraId="05D48F3F">
      <w:r>
        <w:drawing>
          <wp:inline distT="0" distB="0" distL="114300" distR="114300">
            <wp:extent cx="5264150" cy="2095500"/>
            <wp:effectExtent l="0" t="0" r="8890" b="7620"/>
            <wp:docPr id="7" name="图片 7" descr="K.motif.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K.motif.model"/>
                    <pic:cNvPicPr>
                      <a:picLocks noChangeAspect="1"/>
                    </pic:cNvPicPr>
                  </pic:nvPicPr>
                  <pic:blipFill>
                    <a:blip r:embed="rId11"/>
                    <a:stretch>
                      <a:fillRect/>
                    </a:stretch>
                  </pic:blipFill>
                  <pic:spPr>
                    <a:xfrm>
                      <a:off x="0" y="0"/>
                      <a:ext cx="5264150" cy="2095500"/>
                    </a:xfrm>
                    <a:prstGeom prst="rect">
                      <a:avLst/>
                    </a:prstGeom>
                  </pic:spPr>
                </pic:pic>
              </a:graphicData>
            </a:graphic>
          </wp:inline>
        </w:drawing>
      </w:r>
    </w:p>
    <w:p w14:paraId="468828F8">
      <w:pPr>
        <w:pStyle w:val="2"/>
        <w:spacing w:before="156" w:after="156"/>
        <w:jc w:val="both"/>
        <w:rPr>
          <w:b w:val="0"/>
          <w:sz w:val="21"/>
        </w:rPr>
      </w:pPr>
      <w:r>
        <w:rPr>
          <w:rFonts w:cs="Times New Roman"/>
          <w:sz w:val="21"/>
          <w:szCs w:val="21"/>
        </w:rPr>
        <w:t xml:space="preserve">Figure </w:t>
      </w:r>
      <w:r>
        <w:rPr>
          <w:rFonts w:hint="eastAsia" w:cs="Times New Roman"/>
          <w:sz w:val="21"/>
          <w:szCs w:val="21"/>
        </w:rPr>
        <w:t>S8</w:t>
      </w:r>
      <w:r>
        <w:rPr>
          <w:rFonts w:cs="Times New Roman"/>
          <w:sz w:val="21"/>
          <w:szCs w:val="21"/>
        </w:rPr>
        <w:t xml:space="preserve">. Motif analysis of ubiquitinated peptides under low-phosphorus stress. </w:t>
      </w:r>
      <w:r>
        <w:rPr>
          <w:rFonts w:hint="eastAsia" w:cs="Times New Roman"/>
          <w:sz w:val="21"/>
          <w:szCs w:val="21"/>
        </w:rPr>
        <w:t>(</w:t>
      </w:r>
      <w:r>
        <w:rPr>
          <w:b w:val="0"/>
          <w:sz w:val="21"/>
        </w:rPr>
        <w:t>A</w:t>
      </w:r>
      <w:r>
        <w:rPr>
          <w:rFonts w:hint="eastAsia"/>
          <w:b w:val="0"/>
          <w:sz w:val="21"/>
        </w:rPr>
        <w:t>)</w:t>
      </w:r>
      <w:r>
        <w:rPr>
          <w:b w:val="0"/>
          <w:sz w:val="21"/>
        </w:rPr>
        <w:t xml:space="preserve"> Central (position 0</w:t>
      </w:r>
      <w:r>
        <w:rPr>
          <w:rFonts w:cs="Times New Roman"/>
          <w:b w:val="0"/>
          <w:bCs/>
          <w:sz w:val="21"/>
          <w:szCs w:val="21"/>
        </w:rPr>
        <w:t>).</w:t>
      </w:r>
      <w:r>
        <w:rPr>
          <w:b w:val="0"/>
          <w:sz w:val="21"/>
        </w:rPr>
        <w:t xml:space="preserve"> K represents ubiquitinated </w:t>
      </w:r>
      <w:r>
        <w:rPr>
          <w:rFonts w:cs="Times New Roman"/>
          <w:b w:val="0"/>
          <w:bCs/>
          <w:sz w:val="21"/>
          <w:szCs w:val="21"/>
        </w:rPr>
        <w:t>lysines</w:t>
      </w:r>
      <w:r>
        <w:rPr>
          <w:b w:val="0"/>
          <w:sz w:val="21"/>
        </w:rPr>
        <w:t xml:space="preserve">; </w:t>
      </w:r>
      <w:r>
        <w:rPr>
          <w:rFonts w:hint="eastAsia"/>
          <w:b w:val="0"/>
          <w:sz w:val="21"/>
        </w:rPr>
        <w:t>(</w:t>
      </w:r>
      <w:r>
        <w:rPr>
          <w:b w:val="0"/>
          <w:sz w:val="21"/>
        </w:rPr>
        <w:t>B</w:t>
      </w:r>
      <w:r>
        <w:rPr>
          <w:rFonts w:hint="eastAsia"/>
          <w:b w:val="0"/>
          <w:sz w:val="21"/>
        </w:rPr>
        <w:t>)</w:t>
      </w:r>
      <w:r>
        <w:rPr>
          <w:b w:val="0"/>
          <w:sz w:val="21"/>
        </w:rPr>
        <w:t xml:space="preserve"> </w:t>
      </w:r>
      <w:r>
        <w:rPr>
          <w:rFonts w:cs="Times New Roman"/>
          <w:b w:val="0"/>
          <w:bCs/>
          <w:sz w:val="21"/>
          <w:szCs w:val="21"/>
        </w:rPr>
        <w:t>Heatmap</w:t>
      </w:r>
      <w:r>
        <w:rPr>
          <w:b w:val="0"/>
          <w:sz w:val="21"/>
        </w:rPr>
        <w:t xml:space="preserve"> of</w:t>
      </w:r>
      <w:r>
        <w:rPr>
          <w:rFonts w:cs="Times New Roman"/>
          <w:b w:val="0"/>
          <w:bCs/>
          <w:sz w:val="21"/>
          <w:szCs w:val="21"/>
        </w:rPr>
        <w:t xml:space="preserve"> the</w:t>
      </w:r>
      <w:r>
        <w:rPr>
          <w:b w:val="0"/>
          <w:sz w:val="21"/>
        </w:rPr>
        <w:t xml:space="preserve"> amino acid sequence enrichment upstream and downstream of </w:t>
      </w:r>
      <w:r>
        <w:rPr>
          <w:rFonts w:cs="Times New Roman"/>
          <w:b w:val="0"/>
          <w:bCs/>
          <w:sz w:val="21"/>
          <w:szCs w:val="21"/>
        </w:rPr>
        <w:t xml:space="preserve">the </w:t>
      </w:r>
      <w:r>
        <w:rPr>
          <w:b w:val="0"/>
          <w:sz w:val="21"/>
        </w:rPr>
        <w:t>ubiquitination modification sites.</w:t>
      </w:r>
    </w:p>
    <w:p w14:paraId="15E89D9B">
      <w:pPr>
        <w:widowControl/>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PingFang-SC-Regular">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TimesNewRomanPSMT">
    <w:altName w:val="Yu Gothic"/>
    <w:panose1 w:val="00000000000000000000"/>
    <w:charset w:val="80"/>
    <w:family w:val="auto"/>
    <w:pitch w:val="default"/>
    <w:sig w:usb0="00000000" w:usb1="00000000" w:usb2="00000000" w:usb3="00000000" w:csb0="00020000" w:csb1="00000000"/>
  </w:font>
  <w:font w:name="Yu Gothic">
    <w:panose1 w:val="020B0400000000000000"/>
    <w:charset w:val="80"/>
    <w:family w:val="auto"/>
    <w:pitch w:val="default"/>
    <w:sig w:usb0="E00002FF" w:usb1="2AC7FDFF" w:usb2="00000016" w:usb3="00000000" w:csb0="2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C0C"/>
    <w:rsid w:val="00732B4D"/>
    <w:rsid w:val="007C2551"/>
    <w:rsid w:val="00875995"/>
    <w:rsid w:val="009F423F"/>
    <w:rsid w:val="00A96C0C"/>
    <w:rsid w:val="00B30FD3"/>
    <w:rsid w:val="00CA4E3D"/>
    <w:rsid w:val="3C1237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qFormat/>
    <w:uiPriority w:val="0"/>
    <w:pPr>
      <w:keepNext/>
      <w:keepLines/>
      <w:spacing w:before="50" w:beforeLines="50" w:after="50" w:afterLines="50" w:line="360" w:lineRule="auto"/>
    </w:pPr>
    <w:rPr>
      <w:rFonts w:ascii="Times New Roman" w:hAnsi="Times New Roman"/>
      <w:kern w:val="44"/>
      <w:sz w:val="28"/>
    </w:rPr>
  </w:style>
  <w:style w:type="character" w:default="1" w:styleId="7">
    <w:name w:val="Default Paragraph Font"/>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Title"/>
    <w:basedOn w:val="1"/>
    <w:next w:val="1"/>
    <w:qFormat/>
    <w:uiPriority w:val="0"/>
    <w:pPr>
      <w:spacing w:before="240" w:after="60"/>
      <w:jc w:val="center"/>
      <w:outlineLvl w:val="0"/>
    </w:pPr>
    <w:rPr>
      <w:rFonts w:ascii="Arial" w:hAnsi="Arial"/>
      <w:b/>
      <w:sz w:val="32"/>
    </w:rPr>
  </w:style>
  <w:style w:type="paragraph" w:styleId="4">
    <w:name w:val="footer"/>
    <w:basedOn w:val="1"/>
    <w:link w:val="9"/>
    <w:unhideWhenUsed/>
    <w:uiPriority w:val="99"/>
    <w:pPr>
      <w:tabs>
        <w:tab w:val="center" w:pos="4153"/>
        <w:tab w:val="right" w:pos="8306"/>
      </w:tabs>
      <w:snapToGrid w:val="0"/>
      <w:jc w:val="left"/>
    </w:pPr>
    <w:rPr>
      <w:sz w:val="18"/>
      <w:szCs w:val="18"/>
    </w:rPr>
  </w:style>
  <w:style w:type="paragraph" w:styleId="5">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uiPriority w:val="99"/>
    <w:rPr>
      <w:sz w:val="18"/>
      <w:szCs w:val="18"/>
    </w:rPr>
  </w:style>
  <w:style w:type="character" w:customStyle="1" w:styleId="9">
    <w:name w:val="页脚 字符"/>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tiff"/><Relationship Id="rId6" Type="http://schemas.openxmlformats.org/officeDocument/2006/relationships/image" Target="media/image3.jpeg"/><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116</Words>
  <Characters>692</Characters>
  <Lines>5</Lines>
  <Paragraphs>1</Paragraphs>
  <TotalTime>3</TotalTime>
  <ScaleCrop>false</ScaleCrop>
  <LinksUpToDate>false</LinksUpToDate>
  <CharactersWithSpaces>801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2025-09-24T02:37:00Z</dcterms:created>
  <dc:creator>ZGY</dc:creator>
  <cp:lastModifiedBy>TL</cp:lastModifiedBy>
  <dcterms:modified xsi:type="dcterms:W3CDTF">2025-11-10T08:30:07Z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eyJoZGlkIjoiZTBiNDYwNDE4NDUwODlmNGVhZTdmM2FiNjUyYjVlMzgiLCJ1c2VySWQiOiI0MDM0MDgyNjkifQ==</vt:lpwstr>
  </property>
  <property fmtid="{D5CDD505-2E9C-101B-9397-08002B2CF9AE}" pid="3" name="KSOProductBuildVer">
    <vt:lpwstr>2052-12.1.0.23125</vt:lpwstr>
  </property>
  <property fmtid="{D5CDD505-2E9C-101B-9397-08002B2CF9AE}" pid="4" name="ICV">
    <vt:lpwstr>554E825610D84934846DD07C4719B48C_13</vt:lpwstr>
  </property>
</Properties>
</file>