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E1DCC" w14:textId="77777777" w:rsidR="00F869B5" w:rsidRPr="00CD4E79" w:rsidRDefault="00F869B5" w:rsidP="00CD4E79">
      <w:pPr>
        <w:spacing w:line="36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CD4E79">
        <w:rPr>
          <w:rFonts w:ascii="Times New Roman" w:hAnsi="Times New Roman" w:cs="Times New Roman"/>
          <w:b/>
          <w:bCs/>
          <w:sz w:val="24"/>
          <w:u w:val="single"/>
        </w:rPr>
        <w:t>WHO recommended research protocol</w:t>
      </w:r>
    </w:p>
    <w:p w14:paraId="78EAC38E" w14:textId="4D8B1CD6" w:rsidR="00F869B5" w:rsidRPr="00F869B5" w:rsidRDefault="00F869B5" w:rsidP="00CD4E7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F869B5">
        <w:rPr>
          <w:rFonts w:ascii="Times New Roman" w:hAnsi="Times New Roman" w:cs="Times New Roman"/>
          <w:b/>
          <w:bCs/>
          <w:sz w:val="24"/>
        </w:rPr>
        <w:t>Title</w:t>
      </w:r>
    </w:p>
    <w:p w14:paraId="615D0D41" w14:textId="0C760ABC" w:rsidR="00F869B5" w:rsidRPr="00F869B5" w:rsidRDefault="00F869B5" w:rsidP="00CD4E79">
      <w:pPr>
        <w:spacing w:line="360" w:lineRule="auto"/>
        <w:rPr>
          <w:rFonts w:ascii="Times New Roman" w:hAnsi="Times New Roman" w:cs="Times New Roman"/>
          <w:bCs/>
          <w:sz w:val="24"/>
        </w:rPr>
      </w:pPr>
      <w:bookmarkStart w:id="0" w:name="_heading=h.gjdgxs" w:colFirst="0" w:colLast="0"/>
      <w:bookmarkEnd w:id="0"/>
      <w:r w:rsidRPr="00CD4E79">
        <w:rPr>
          <w:rFonts w:ascii="Times New Roman" w:hAnsi="Times New Roman" w:cs="Times New Roman"/>
          <w:bCs/>
          <w:sz w:val="24"/>
        </w:rPr>
        <w:t xml:space="preserve">Effect-site concentration of remifentanil inhibiting hemodynamic response following endotracheal intubation during </w:t>
      </w:r>
      <w:proofErr w:type="spellStart"/>
      <w:r w:rsidRPr="00CD4E79">
        <w:rPr>
          <w:rFonts w:ascii="Times New Roman" w:hAnsi="Times New Roman" w:cs="Times New Roman"/>
          <w:bCs/>
          <w:sz w:val="24"/>
        </w:rPr>
        <w:t>remimazolam</w:t>
      </w:r>
      <w:proofErr w:type="spellEnd"/>
      <w:r w:rsidRPr="00CD4E79">
        <w:rPr>
          <w:rFonts w:ascii="Times New Roman" w:hAnsi="Times New Roman" w:cs="Times New Roman"/>
          <w:bCs/>
          <w:sz w:val="24"/>
        </w:rPr>
        <w:t xml:space="preserve"> induction</w:t>
      </w:r>
    </w:p>
    <w:p w14:paraId="49D25B64" w14:textId="77777777" w:rsidR="00F869B5" w:rsidRPr="00F869B5" w:rsidRDefault="00F869B5" w:rsidP="00CD4E7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F869B5">
        <w:rPr>
          <w:rFonts w:ascii="Times New Roman" w:hAnsi="Times New Roman" w:cs="Times New Roman"/>
          <w:b/>
          <w:bCs/>
          <w:sz w:val="24"/>
        </w:rPr>
        <w:t>Investigators and Contact Information</w:t>
      </w:r>
    </w:p>
    <w:p w14:paraId="15D19980" w14:textId="77777777" w:rsidR="00F869B5" w:rsidRPr="00CD4E79" w:rsidRDefault="00F869B5" w:rsidP="00CD4E79">
      <w:pPr>
        <w:spacing w:line="360" w:lineRule="auto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>Principal Investigator: Dr. Jiyoung Lee</w:t>
      </w:r>
      <w:r w:rsidRPr="00F869B5">
        <w:rPr>
          <w:rFonts w:ascii="Times New Roman" w:hAnsi="Times New Roman" w:cs="Times New Roman"/>
          <w:sz w:val="24"/>
        </w:rPr>
        <w:br/>
        <w:t xml:space="preserve">Department of Anesthesiology and Pain Medicine, </w:t>
      </w:r>
      <w:r w:rsidRPr="00CD4E79">
        <w:rPr>
          <w:rFonts w:ascii="Times New Roman" w:hAnsi="Times New Roman" w:cs="Times New Roman"/>
          <w:bCs/>
          <w:iCs/>
          <w:sz w:val="24"/>
        </w:rPr>
        <w:t>CHA Bundang Medical Center, CHA University</w:t>
      </w:r>
      <w:r w:rsidRPr="00CD4E79">
        <w:rPr>
          <w:rFonts w:ascii="Times New Roman" w:hAnsi="Times New Roman" w:cs="Times New Roman"/>
          <w:sz w:val="24"/>
        </w:rPr>
        <w:t xml:space="preserve"> </w:t>
      </w:r>
    </w:p>
    <w:p w14:paraId="2608F0EF" w14:textId="57027F11" w:rsidR="00F869B5" w:rsidRPr="00F869B5" w:rsidRDefault="00F869B5" w:rsidP="00CD4E79">
      <w:pPr>
        <w:spacing w:line="360" w:lineRule="auto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 xml:space="preserve">59 </w:t>
      </w:r>
      <w:proofErr w:type="spellStart"/>
      <w:r w:rsidRPr="00F869B5">
        <w:rPr>
          <w:rFonts w:ascii="Times New Roman" w:hAnsi="Times New Roman" w:cs="Times New Roman"/>
          <w:sz w:val="24"/>
        </w:rPr>
        <w:t>Yatap-ro</w:t>
      </w:r>
      <w:proofErr w:type="spellEnd"/>
      <w:r w:rsidRPr="00F869B5">
        <w:rPr>
          <w:rFonts w:ascii="Times New Roman" w:hAnsi="Times New Roman" w:cs="Times New Roman"/>
          <w:sz w:val="24"/>
        </w:rPr>
        <w:t>, Bundang-</w:t>
      </w:r>
      <w:proofErr w:type="spellStart"/>
      <w:r w:rsidRPr="00F869B5">
        <w:rPr>
          <w:rFonts w:ascii="Times New Roman" w:hAnsi="Times New Roman" w:cs="Times New Roman"/>
          <w:sz w:val="24"/>
        </w:rPr>
        <w:t>gu</w:t>
      </w:r>
      <w:proofErr w:type="spellEnd"/>
      <w:r w:rsidRPr="00F869B5">
        <w:rPr>
          <w:rFonts w:ascii="Times New Roman" w:hAnsi="Times New Roman" w:cs="Times New Roman"/>
          <w:sz w:val="24"/>
        </w:rPr>
        <w:t>, Seongnam-</w:t>
      </w:r>
      <w:proofErr w:type="spellStart"/>
      <w:r w:rsidRPr="00F869B5">
        <w:rPr>
          <w:rFonts w:ascii="Times New Roman" w:hAnsi="Times New Roman" w:cs="Times New Roman"/>
          <w:sz w:val="24"/>
        </w:rPr>
        <w:t>si</w:t>
      </w:r>
      <w:proofErr w:type="spellEnd"/>
      <w:r w:rsidRPr="00F869B5">
        <w:rPr>
          <w:rFonts w:ascii="Times New Roman" w:hAnsi="Times New Roman" w:cs="Times New Roman"/>
          <w:sz w:val="24"/>
        </w:rPr>
        <w:t>, Gyeonggi-do, Republic of Korea</w:t>
      </w:r>
      <w:r w:rsidRPr="00F869B5">
        <w:rPr>
          <w:rFonts w:ascii="Times New Roman" w:hAnsi="Times New Roman" w:cs="Times New Roman"/>
          <w:sz w:val="24"/>
        </w:rPr>
        <w:br/>
        <w:t>Tel: +82-31-780-5431</w:t>
      </w:r>
      <w:r w:rsidRPr="00F869B5">
        <w:rPr>
          <w:rFonts w:ascii="Times New Roman" w:hAnsi="Times New Roman" w:cs="Times New Roman"/>
          <w:sz w:val="24"/>
        </w:rPr>
        <w:br/>
        <w:t>Email: </w:t>
      </w:r>
      <w:hyperlink r:id="rId5" w:tgtFrame="_blank" w:history="1">
        <w:r w:rsidRPr="00F869B5">
          <w:rPr>
            <w:rStyle w:val="aa"/>
            <w:rFonts w:ascii="Times New Roman" w:hAnsi="Times New Roman" w:cs="Times New Roman"/>
            <w:b/>
            <w:bCs/>
            <w:sz w:val="24"/>
          </w:rPr>
          <w:t>jlee0616@cha.ac.kr</w:t>
        </w:r>
      </w:hyperlink>
    </w:p>
    <w:p w14:paraId="400FBFFD" w14:textId="77777777" w:rsidR="00F869B5" w:rsidRPr="00F869B5" w:rsidRDefault="00F869B5" w:rsidP="00CD4E7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F869B5">
        <w:rPr>
          <w:rFonts w:ascii="Times New Roman" w:hAnsi="Times New Roman" w:cs="Times New Roman"/>
          <w:b/>
          <w:bCs/>
          <w:sz w:val="24"/>
        </w:rPr>
        <w:t>Background and Rationale</w:t>
      </w:r>
    </w:p>
    <w:p w14:paraId="37452B78" w14:textId="6DE7FED1" w:rsidR="00F869B5" w:rsidRPr="00F869B5" w:rsidRDefault="00F869B5" w:rsidP="00CD4E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 xml:space="preserve">Endotracheal intubation frequently causes abrupt increases in blood pressure and heart rate leading to arrhythmias and myocardial ischemia. Various agents, including opioids, are used to mitigate these responses. Remifentanil, a potent μ-receptor opioid with rapid onset and short duration, is commonly used for this purpose. Recently, </w:t>
      </w:r>
      <w:proofErr w:type="spellStart"/>
      <w:r w:rsidRPr="00F869B5">
        <w:rPr>
          <w:rFonts w:ascii="Times New Roman" w:hAnsi="Times New Roman" w:cs="Times New Roman"/>
          <w:sz w:val="24"/>
        </w:rPr>
        <w:t>videolaryngoscopy</w:t>
      </w:r>
      <w:proofErr w:type="spellEnd"/>
      <w:r w:rsidRPr="00F869B5">
        <w:rPr>
          <w:rFonts w:ascii="Times New Roman" w:hAnsi="Times New Roman" w:cs="Times New Roman"/>
          <w:sz w:val="24"/>
        </w:rPr>
        <w:t xml:space="preserve"> has improved glottic visualization and reduced trauma compared to direct laryngoscopy and is recommended especially during the COVID-19 pandemic. </w:t>
      </w:r>
      <w:proofErr w:type="spellStart"/>
      <w:r w:rsidRPr="00F869B5">
        <w:rPr>
          <w:rFonts w:ascii="Times New Roman" w:hAnsi="Times New Roman" w:cs="Times New Roman"/>
          <w:sz w:val="24"/>
        </w:rPr>
        <w:t>Remimazolam</w:t>
      </w:r>
      <w:proofErr w:type="spellEnd"/>
      <w:r w:rsidRPr="00F869B5">
        <w:rPr>
          <w:rFonts w:ascii="Times New Roman" w:hAnsi="Times New Roman" w:cs="Times New Roman"/>
          <w:sz w:val="24"/>
        </w:rPr>
        <w:t>, an ultra-short-acting benzodiazepine, has advantages of rapid onset, short elimination half-life independent of liver and kidney function, less respiratory and cardiovascular depression than propofol, minimal vascular pain, and reversibility with flumazenil. However, the effect</w:t>
      </w:r>
      <w:r w:rsidRPr="00CD4E79">
        <w:rPr>
          <w:rFonts w:ascii="Times New Roman" w:hAnsi="Times New Roman" w:cs="Times New Roman"/>
          <w:sz w:val="24"/>
        </w:rPr>
        <w:t>-site</w:t>
      </w:r>
      <w:r w:rsidRPr="00F869B5">
        <w:rPr>
          <w:rFonts w:ascii="Times New Roman" w:hAnsi="Times New Roman" w:cs="Times New Roman"/>
          <w:sz w:val="24"/>
        </w:rPr>
        <w:t xml:space="preserve"> concentration </w:t>
      </w:r>
      <w:r w:rsidRPr="00CD4E79">
        <w:rPr>
          <w:rFonts w:ascii="Times New Roman" w:hAnsi="Times New Roman" w:cs="Times New Roman"/>
          <w:sz w:val="24"/>
        </w:rPr>
        <w:t xml:space="preserve">of remifentanil </w:t>
      </w:r>
      <w:r w:rsidRPr="00F869B5">
        <w:rPr>
          <w:rFonts w:ascii="Times New Roman" w:hAnsi="Times New Roman" w:cs="Times New Roman"/>
          <w:sz w:val="24"/>
        </w:rPr>
        <w:t xml:space="preserve">during </w:t>
      </w:r>
      <w:proofErr w:type="spellStart"/>
      <w:r w:rsidRPr="00F869B5">
        <w:rPr>
          <w:rFonts w:ascii="Times New Roman" w:hAnsi="Times New Roman" w:cs="Times New Roman"/>
          <w:sz w:val="24"/>
        </w:rPr>
        <w:t>remimazolam</w:t>
      </w:r>
      <w:proofErr w:type="spellEnd"/>
      <w:r w:rsidRPr="00F869B5">
        <w:rPr>
          <w:rFonts w:ascii="Times New Roman" w:hAnsi="Times New Roman" w:cs="Times New Roman"/>
          <w:sz w:val="24"/>
        </w:rPr>
        <w:t xml:space="preserve"> induction for endotracheal intubation has not been established.</w:t>
      </w:r>
    </w:p>
    <w:p w14:paraId="73A17D45" w14:textId="77777777" w:rsidR="00F869B5" w:rsidRPr="00F869B5" w:rsidRDefault="00F869B5" w:rsidP="00CD4E7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F869B5">
        <w:rPr>
          <w:rFonts w:ascii="Times New Roman" w:hAnsi="Times New Roman" w:cs="Times New Roman"/>
          <w:b/>
          <w:bCs/>
          <w:sz w:val="24"/>
        </w:rPr>
        <w:t>Objectives</w:t>
      </w:r>
    </w:p>
    <w:p w14:paraId="154FC8BD" w14:textId="47BB69D8" w:rsidR="00F869B5" w:rsidRPr="00F869B5" w:rsidRDefault="00F869B5" w:rsidP="00CD4E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 xml:space="preserve">To determine the remifentanil effect-site concentration that provides hemodynamic stability (blood pressure and heart rate increase &lt;20% from baseline at 1 minute after intubation) in 95% </w:t>
      </w:r>
      <w:r w:rsidR="00CD4E79" w:rsidRPr="00CD4E79">
        <w:rPr>
          <w:rFonts w:ascii="Times New Roman" w:hAnsi="Times New Roman" w:cs="Times New Roman"/>
          <w:sz w:val="24"/>
        </w:rPr>
        <w:t>(EC</w:t>
      </w:r>
      <w:r w:rsidR="00CD4E79" w:rsidRPr="00CD4E79">
        <w:rPr>
          <w:rFonts w:ascii="Times New Roman" w:hAnsi="Times New Roman" w:cs="Times New Roman"/>
          <w:sz w:val="24"/>
          <w:vertAlign w:val="subscript"/>
        </w:rPr>
        <w:t>95</w:t>
      </w:r>
      <w:r w:rsidR="00CD4E79" w:rsidRPr="00CD4E79">
        <w:rPr>
          <w:rFonts w:ascii="Times New Roman" w:hAnsi="Times New Roman" w:cs="Times New Roman"/>
          <w:sz w:val="24"/>
        </w:rPr>
        <w:t xml:space="preserve">) </w:t>
      </w:r>
      <w:r w:rsidRPr="00F869B5">
        <w:rPr>
          <w:rFonts w:ascii="Times New Roman" w:hAnsi="Times New Roman" w:cs="Times New Roman"/>
          <w:sz w:val="24"/>
        </w:rPr>
        <w:t xml:space="preserve">of adult patients undergoing endotracheal intubation using </w:t>
      </w:r>
      <w:proofErr w:type="spellStart"/>
      <w:r w:rsidRPr="00F869B5">
        <w:rPr>
          <w:rFonts w:ascii="Times New Roman" w:hAnsi="Times New Roman" w:cs="Times New Roman"/>
          <w:sz w:val="24"/>
        </w:rPr>
        <w:t>videolaryngoscopy</w:t>
      </w:r>
      <w:proofErr w:type="spellEnd"/>
      <w:r w:rsidRPr="00F869B5">
        <w:rPr>
          <w:rFonts w:ascii="Times New Roman" w:hAnsi="Times New Roman" w:cs="Times New Roman"/>
          <w:sz w:val="24"/>
        </w:rPr>
        <w:t xml:space="preserve"> during induction with </w:t>
      </w:r>
      <w:proofErr w:type="spellStart"/>
      <w:r w:rsidRPr="00F869B5">
        <w:rPr>
          <w:rFonts w:ascii="Times New Roman" w:hAnsi="Times New Roman" w:cs="Times New Roman"/>
          <w:sz w:val="24"/>
        </w:rPr>
        <w:t>remimazolam</w:t>
      </w:r>
      <w:proofErr w:type="spellEnd"/>
      <w:r w:rsidRPr="00F869B5">
        <w:rPr>
          <w:rFonts w:ascii="Times New Roman" w:hAnsi="Times New Roman" w:cs="Times New Roman"/>
          <w:sz w:val="24"/>
        </w:rPr>
        <w:t>.</w:t>
      </w:r>
    </w:p>
    <w:p w14:paraId="30D4BA20" w14:textId="77777777" w:rsidR="00F869B5" w:rsidRPr="00F869B5" w:rsidRDefault="00F869B5" w:rsidP="00CD4E7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F869B5">
        <w:rPr>
          <w:rFonts w:ascii="Times New Roman" w:hAnsi="Times New Roman" w:cs="Times New Roman"/>
          <w:b/>
          <w:bCs/>
          <w:sz w:val="24"/>
        </w:rPr>
        <w:t>Study Sites and Sponsors</w:t>
      </w:r>
    </w:p>
    <w:p w14:paraId="6BF531B1" w14:textId="3BFE6242" w:rsidR="00F869B5" w:rsidRPr="00F869B5" w:rsidRDefault="00F869B5" w:rsidP="00CD4E79">
      <w:pPr>
        <w:spacing w:line="360" w:lineRule="auto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bCs/>
          <w:iCs/>
          <w:sz w:val="24"/>
        </w:rPr>
        <w:lastRenderedPageBreak/>
        <w:t xml:space="preserve">Department of Anesthesiology and Pain Medicine, </w:t>
      </w:r>
      <w:r w:rsidRPr="00CD4E79">
        <w:rPr>
          <w:rFonts w:ascii="Times New Roman" w:hAnsi="Times New Roman" w:cs="Times New Roman"/>
          <w:bCs/>
          <w:iCs/>
          <w:sz w:val="24"/>
        </w:rPr>
        <w:t>CHA Bundang Medical Center, CHA University</w:t>
      </w:r>
      <w:r w:rsidRPr="00F869B5">
        <w:rPr>
          <w:rFonts w:ascii="Times New Roman" w:hAnsi="Times New Roman" w:cs="Times New Roman"/>
          <w:sz w:val="24"/>
        </w:rPr>
        <w:br/>
        <w:t>No external sponsors.</w:t>
      </w:r>
    </w:p>
    <w:p w14:paraId="38804BDC" w14:textId="77777777" w:rsidR="00F869B5" w:rsidRPr="00F869B5" w:rsidRDefault="00F869B5" w:rsidP="00CD4E7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F869B5">
        <w:rPr>
          <w:rFonts w:ascii="Times New Roman" w:hAnsi="Times New Roman" w:cs="Times New Roman"/>
          <w:b/>
          <w:bCs/>
          <w:sz w:val="24"/>
        </w:rPr>
        <w:t>Study Period</w:t>
      </w:r>
    </w:p>
    <w:p w14:paraId="2CEB1ACE" w14:textId="77777777" w:rsidR="00F869B5" w:rsidRPr="00F869B5" w:rsidRDefault="00F869B5" w:rsidP="00CD4E79">
      <w:pPr>
        <w:spacing w:line="360" w:lineRule="auto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>From IRB approval to December 31, 2024.</w:t>
      </w:r>
    </w:p>
    <w:p w14:paraId="5270092E" w14:textId="77777777" w:rsidR="00F869B5" w:rsidRPr="00F869B5" w:rsidRDefault="00F869B5" w:rsidP="00CD4E7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F869B5">
        <w:rPr>
          <w:rFonts w:ascii="Times New Roman" w:hAnsi="Times New Roman" w:cs="Times New Roman"/>
          <w:b/>
          <w:bCs/>
          <w:sz w:val="24"/>
        </w:rPr>
        <w:t>Study Population</w:t>
      </w:r>
    </w:p>
    <w:p w14:paraId="2F1D1A54" w14:textId="77777777" w:rsidR="00F869B5" w:rsidRPr="00F869B5" w:rsidRDefault="00F869B5" w:rsidP="00CD4E79">
      <w:pPr>
        <w:spacing w:line="360" w:lineRule="auto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>Adult patients aged 19-65 years scheduled for general anesthesia classified as ASA physical status 1 or 2.</w:t>
      </w:r>
    </w:p>
    <w:p w14:paraId="0A87E295" w14:textId="77777777" w:rsidR="00F869B5" w:rsidRPr="00F869B5" w:rsidRDefault="00F869B5" w:rsidP="00CD4E79">
      <w:pPr>
        <w:spacing w:line="360" w:lineRule="auto"/>
        <w:ind w:firstLine="360"/>
        <w:rPr>
          <w:rFonts w:ascii="Times New Roman" w:hAnsi="Times New Roman" w:cs="Times New Roman"/>
          <w:b/>
          <w:bCs/>
          <w:sz w:val="24"/>
        </w:rPr>
      </w:pPr>
      <w:r w:rsidRPr="00F869B5">
        <w:rPr>
          <w:rFonts w:ascii="Times New Roman" w:hAnsi="Times New Roman" w:cs="Times New Roman"/>
          <w:b/>
          <w:bCs/>
          <w:sz w:val="24"/>
        </w:rPr>
        <w:t>Inclusion Criteria</w:t>
      </w:r>
    </w:p>
    <w:p w14:paraId="1A0C2E58" w14:textId="77777777" w:rsidR="00F869B5" w:rsidRPr="00F869B5" w:rsidRDefault="00F869B5" w:rsidP="00CD4E79">
      <w:pPr>
        <w:numPr>
          <w:ilvl w:val="0"/>
          <w:numId w:val="1"/>
        </w:numPr>
        <w:tabs>
          <w:tab w:val="num" w:pos="720"/>
        </w:tabs>
        <w:spacing w:line="360" w:lineRule="auto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>ASA physical status 1 or 2</w:t>
      </w:r>
    </w:p>
    <w:p w14:paraId="605AB2FE" w14:textId="77777777" w:rsidR="00F869B5" w:rsidRPr="00F869B5" w:rsidRDefault="00F869B5" w:rsidP="00CD4E79">
      <w:pPr>
        <w:numPr>
          <w:ilvl w:val="0"/>
          <w:numId w:val="1"/>
        </w:numPr>
        <w:tabs>
          <w:tab w:val="num" w:pos="720"/>
        </w:tabs>
        <w:spacing w:line="360" w:lineRule="auto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>Scheduled for general anesthesia with endotracheal intubation</w:t>
      </w:r>
    </w:p>
    <w:p w14:paraId="1291AFFD" w14:textId="77777777" w:rsidR="00F869B5" w:rsidRPr="00F869B5" w:rsidRDefault="00F869B5" w:rsidP="00CD4E79">
      <w:pPr>
        <w:spacing w:line="360" w:lineRule="auto"/>
        <w:ind w:firstLine="360"/>
        <w:rPr>
          <w:rFonts w:ascii="Times New Roman" w:hAnsi="Times New Roman" w:cs="Times New Roman"/>
          <w:b/>
          <w:bCs/>
          <w:sz w:val="24"/>
        </w:rPr>
      </w:pPr>
      <w:r w:rsidRPr="00F869B5">
        <w:rPr>
          <w:rFonts w:ascii="Times New Roman" w:hAnsi="Times New Roman" w:cs="Times New Roman"/>
          <w:b/>
          <w:bCs/>
          <w:sz w:val="24"/>
        </w:rPr>
        <w:t>Exclusion Criteria</w:t>
      </w:r>
    </w:p>
    <w:p w14:paraId="7A193E18" w14:textId="77777777" w:rsidR="00F869B5" w:rsidRPr="00F869B5" w:rsidRDefault="00F869B5" w:rsidP="00CD4E79">
      <w:pPr>
        <w:numPr>
          <w:ilvl w:val="0"/>
          <w:numId w:val="2"/>
        </w:numPr>
        <w:tabs>
          <w:tab w:val="num" w:pos="720"/>
        </w:tabs>
        <w:spacing w:line="360" w:lineRule="auto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>Allergies to study drugs</w:t>
      </w:r>
    </w:p>
    <w:p w14:paraId="35701FF9" w14:textId="77777777" w:rsidR="00F869B5" w:rsidRPr="00F869B5" w:rsidRDefault="00F869B5" w:rsidP="00CD4E79">
      <w:pPr>
        <w:numPr>
          <w:ilvl w:val="0"/>
          <w:numId w:val="2"/>
        </w:numPr>
        <w:tabs>
          <w:tab w:val="num" w:pos="720"/>
        </w:tabs>
        <w:spacing w:line="360" w:lineRule="auto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>Acute narrow-angle glaucoma</w:t>
      </w:r>
    </w:p>
    <w:p w14:paraId="298753AC" w14:textId="77777777" w:rsidR="00F869B5" w:rsidRPr="00F869B5" w:rsidRDefault="00F869B5" w:rsidP="00CD4E79">
      <w:pPr>
        <w:numPr>
          <w:ilvl w:val="0"/>
          <w:numId w:val="2"/>
        </w:numPr>
        <w:tabs>
          <w:tab w:val="num" w:pos="720"/>
        </w:tabs>
        <w:spacing w:line="360" w:lineRule="auto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>Obstructive sleep apnea syndrome</w:t>
      </w:r>
    </w:p>
    <w:p w14:paraId="47A1BA83" w14:textId="77777777" w:rsidR="00F869B5" w:rsidRPr="00F869B5" w:rsidRDefault="00F869B5" w:rsidP="00CD4E79">
      <w:pPr>
        <w:numPr>
          <w:ilvl w:val="0"/>
          <w:numId w:val="2"/>
        </w:numPr>
        <w:tabs>
          <w:tab w:val="num" w:pos="720"/>
        </w:tabs>
        <w:spacing w:line="360" w:lineRule="auto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>Alcohol or drug dependence</w:t>
      </w:r>
    </w:p>
    <w:p w14:paraId="227D02F1" w14:textId="77777777" w:rsidR="00F869B5" w:rsidRPr="00F869B5" w:rsidRDefault="00F869B5" w:rsidP="00CD4E79">
      <w:pPr>
        <w:numPr>
          <w:ilvl w:val="0"/>
          <w:numId w:val="2"/>
        </w:numPr>
        <w:tabs>
          <w:tab w:val="num" w:pos="720"/>
        </w:tabs>
        <w:spacing w:line="360" w:lineRule="auto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>Galactose or lactase deficiency</w:t>
      </w:r>
    </w:p>
    <w:p w14:paraId="30E698BD" w14:textId="77777777" w:rsidR="00F869B5" w:rsidRPr="00F869B5" w:rsidRDefault="00F869B5" w:rsidP="00CD4E79">
      <w:pPr>
        <w:numPr>
          <w:ilvl w:val="0"/>
          <w:numId w:val="2"/>
        </w:numPr>
        <w:tabs>
          <w:tab w:val="num" w:pos="720"/>
        </w:tabs>
        <w:spacing w:line="360" w:lineRule="auto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>Hypersensitivity to dextran 40</w:t>
      </w:r>
    </w:p>
    <w:p w14:paraId="197E658D" w14:textId="77777777" w:rsidR="00F869B5" w:rsidRPr="00F869B5" w:rsidRDefault="00F869B5" w:rsidP="00CD4E79">
      <w:pPr>
        <w:numPr>
          <w:ilvl w:val="0"/>
          <w:numId w:val="2"/>
        </w:numPr>
        <w:tabs>
          <w:tab w:val="num" w:pos="720"/>
        </w:tabs>
        <w:spacing w:line="360" w:lineRule="auto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>Significant cardiac, pulmonary, renal, hepatic, neurological, or psychiatric disorders</w:t>
      </w:r>
    </w:p>
    <w:p w14:paraId="210A925D" w14:textId="77777777" w:rsidR="00F869B5" w:rsidRPr="00F869B5" w:rsidRDefault="00F869B5" w:rsidP="00CD4E79">
      <w:pPr>
        <w:numPr>
          <w:ilvl w:val="0"/>
          <w:numId w:val="2"/>
        </w:numPr>
        <w:tabs>
          <w:tab w:val="num" w:pos="720"/>
        </w:tabs>
        <w:spacing w:line="360" w:lineRule="auto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>Pregnancy or breastfeeding</w:t>
      </w:r>
    </w:p>
    <w:p w14:paraId="2D9DBFD8" w14:textId="77777777" w:rsidR="00F869B5" w:rsidRPr="00F869B5" w:rsidRDefault="00F869B5" w:rsidP="00CD4E79">
      <w:pPr>
        <w:numPr>
          <w:ilvl w:val="0"/>
          <w:numId w:val="2"/>
        </w:numPr>
        <w:tabs>
          <w:tab w:val="num" w:pos="720"/>
        </w:tabs>
        <w:spacing w:line="360" w:lineRule="auto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>Foreign nationals</w:t>
      </w:r>
    </w:p>
    <w:p w14:paraId="17D594F1" w14:textId="77777777" w:rsidR="00F869B5" w:rsidRPr="00F869B5" w:rsidRDefault="00F869B5" w:rsidP="00CD4E79">
      <w:pPr>
        <w:numPr>
          <w:ilvl w:val="0"/>
          <w:numId w:val="2"/>
        </w:numPr>
        <w:tabs>
          <w:tab w:val="num" w:pos="720"/>
        </w:tabs>
        <w:spacing w:line="360" w:lineRule="auto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>ASA physical status 3 or higher</w:t>
      </w:r>
    </w:p>
    <w:p w14:paraId="77BFA25C" w14:textId="77777777" w:rsidR="00F869B5" w:rsidRPr="00F869B5" w:rsidRDefault="00F869B5" w:rsidP="00CD4E7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F869B5">
        <w:rPr>
          <w:rFonts w:ascii="Times New Roman" w:hAnsi="Times New Roman" w:cs="Times New Roman"/>
          <w:b/>
          <w:bCs/>
          <w:sz w:val="24"/>
        </w:rPr>
        <w:t>Sample Size</w:t>
      </w:r>
    </w:p>
    <w:p w14:paraId="0DC4A833" w14:textId="191849E9" w:rsidR="00F869B5" w:rsidRPr="00F869B5" w:rsidRDefault="00F869B5" w:rsidP="00CD4E79">
      <w:pPr>
        <w:spacing w:line="360" w:lineRule="auto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 xml:space="preserve">34 patients based on </w:t>
      </w:r>
      <w:r w:rsidR="00E4206E" w:rsidRPr="00CD4E79">
        <w:rPr>
          <w:rFonts w:ascii="Times New Roman" w:hAnsi="Times New Roman" w:cs="Times New Roman"/>
          <w:sz w:val="24"/>
        </w:rPr>
        <w:t xml:space="preserve">the requirement of at least 6 crossovers in Dixon's design and prior </w:t>
      </w:r>
      <w:r w:rsidR="00E4206E" w:rsidRPr="00CD4E79">
        <w:rPr>
          <w:rFonts w:ascii="Times New Roman" w:hAnsi="Times New Roman" w:cs="Times New Roman"/>
          <w:sz w:val="24"/>
        </w:rPr>
        <w:lastRenderedPageBreak/>
        <w:t>similar studies</w:t>
      </w:r>
      <w:r w:rsidRPr="00F869B5">
        <w:rPr>
          <w:rFonts w:ascii="Times New Roman" w:hAnsi="Times New Roman" w:cs="Times New Roman"/>
          <w:sz w:val="24"/>
        </w:rPr>
        <w:t>.</w:t>
      </w:r>
    </w:p>
    <w:p w14:paraId="4C755AE8" w14:textId="77777777" w:rsidR="00F869B5" w:rsidRPr="00F869B5" w:rsidRDefault="00F869B5" w:rsidP="00CD4E7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F869B5">
        <w:rPr>
          <w:rFonts w:ascii="Times New Roman" w:hAnsi="Times New Roman" w:cs="Times New Roman"/>
          <w:b/>
          <w:bCs/>
          <w:sz w:val="24"/>
        </w:rPr>
        <w:t>Study Design and Methods</w:t>
      </w:r>
    </w:p>
    <w:p w14:paraId="4D2D60D4" w14:textId="33F6CE9A" w:rsidR="00F869B5" w:rsidRPr="00F869B5" w:rsidRDefault="00F869B5" w:rsidP="00CD4E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 xml:space="preserve">This prospective study enrolls eligible patients after informed consent. Standard monitoring is applied (pulse oximetry, ECG, noninvasive blood pressure, </w:t>
      </w:r>
      <w:proofErr w:type="spellStart"/>
      <w:r w:rsidRPr="00F869B5">
        <w:rPr>
          <w:rFonts w:ascii="Times New Roman" w:hAnsi="Times New Roman" w:cs="Times New Roman"/>
          <w:sz w:val="24"/>
        </w:rPr>
        <w:t>bispectral</w:t>
      </w:r>
      <w:proofErr w:type="spellEnd"/>
      <w:r w:rsidRPr="00F869B5">
        <w:rPr>
          <w:rFonts w:ascii="Times New Roman" w:hAnsi="Times New Roman" w:cs="Times New Roman"/>
          <w:sz w:val="24"/>
        </w:rPr>
        <w:t xml:space="preserve"> index). Following 1-minute preoxygenation with 100% oxygen, </w:t>
      </w:r>
      <w:proofErr w:type="spellStart"/>
      <w:r w:rsidRPr="00F869B5">
        <w:rPr>
          <w:rFonts w:ascii="Times New Roman" w:hAnsi="Times New Roman" w:cs="Times New Roman"/>
          <w:sz w:val="24"/>
        </w:rPr>
        <w:t>remimazolam</w:t>
      </w:r>
      <w:proofErr w:type="spellEnd"/>
      <w:r w:rsidRPr="00F869B5">
        <w:rPr>
          <w:rFonts w:ascii="Times New Roman" w:hAnsi="Times New Roman" w:cs="Times New Roman"/>
          <w:sz w:val="24"/>
        </w:rPr>
        <w:t xml:space="preserve"> is infused at 6 mg/kg/h until loss of consciousness (no response to verbal commands, loss of eyelash reflex), then reduced to 1-2 mg/kg/h as maintenance. Simultaneously, remifentanil is administered using target-controlled infusion according to the Minto pharmacokinetic model, starting at an initial effect-site concentration of 4.0 ng/ml. Rocuronium 0.6 mg/kg is given, and after 2 minutes, </w:t>
      </w:r>
      <w:proofErr w:type="spellStart"/>
      <w:r w:rsidRPr="00F869B5">
        <w:rPr>
          <w:rFonts w:ascii="Times New Roman" w:hAnsi="Times New Roman" w:cs="Times New Roman"/>
          <w:sz w:val="24"/>
        </w:rPr>
        <w:t>videolaryngoscopy</w:t>
      </w:r>
      <w:proofErr w:type="spellEnd"/>
      <w:r w:rsidRPr="00F869B5">
        <w:rPr>
          <w:rFonts w:ascii="Times New Roman" w:hAnsi="Times New Roman" w:cs="Times New Roman"/>
          <w:sz w:val="24"/>
        </w:rPr>
        <w:t xml:space="preserve"> is performed for intubation. Hemodynamic parameters are assessed 1 minute after intubation. If blood pressure or heart rate increases by 20% or more, remifentanil concentration is increased by 0.5 ng/ml for the next </w:t>
      </w:r>
      <w:r w:rsidR="00CD4E79" w:rsidRPr="00CD4E79">
        <w:rPr>
          <w:rFonts w:ascii="Times New Roman" w:hAnsi="Times New Roman" w:cs="Times New Roman"/>
          <w:sz w:val="24"/>
        </w:rPr>
        <w:t>patient:</w:t>
      </w:r>
      <w:r w:rsidRPr="00F869B5">
        <w:rPr>
          <w:rFonts w:ascii="Times New Roman" w:hAnsi="Times New Roman" w:cs="Times New Roman"/>
          <w:sz w:val="24"/>
        </w:rPr>
        <w:t xml:space="preserve"> if not, decreased by 0.5 ng/ml.</w:t>
      </w:r>
    </w:p>
    <w:p w14:paraId="60E88A18" w14:textId="77777777" w:rsidR="00F869B5" w:rsidRPr="00F869B5" w:rsidRDefault="00F869B5" w:rsidP="00CD4E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>Safety interventions such as ephedrine for hypotension (mean arterial pressure &lt;50 mmHg) and atropine for bradycardia (heart rate &lt;45) are standardized.</w:t>
      </w:r>
    </w:p>
    <w:p w14:paraId="540695D5" w14:textId="77777777" w:rsidR="00F869B5" w:rsidRPr="00F869B5" w:rsidRDefault="00F869B5" w:rsidP="00CD4E7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F869B5">
        <w:rPr>
          <w:rFonts w:ascii="Times New Roman" w:hAnsi="Times New Roman" w:cs="Times New Roman"/>
          <w:b/>
          <w:bCs/>
          <w:sz w:val="24"/>
        </w:rPr>
        <w:t>Outcome Measures</w:t>
      </w:r>
    </w:p>
    <w:p w14:paraId="1BAEE16D" w14:textId="77777777" w:rsidR="00F869B5" w:rsidRPr="00F869B5" w:rsidRDefault="00F869B5" w:rsidP="00CD4E79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>Primary: Remifentanil EC</w:t>
      </w:r>
      <w:r w:rsidRPr="00F869B5">
        <w:rPr>
          <w:rFonts w:ascii="Times New Roman" w:hAnsi="Times New Roman" w:cs="Times New Roman"/>
          <w:sz w:val="24"/>
          <w:vertAlign w:val="subscript"/>
        </w:rPr>
        <w:t>95</w:t>
      </w:r>
      <w:r w:rsidRPr="00F869B5">
        <w:rPr>
          <w:rFonts w:ascii="Times New Roman" w:hAnsi="Times New Roman" w:cs="Times New Roman"/>
          <w:sz w:val="24"/>
        </w:rPr>
        <w:t xml:space="preserve"> for hemodynamic stability at </w:t>
      </w:r>
      <w:proofErr w:type="gramStart"/>
      <w:r w:rsidRPr="00F869B5">
        <w:rPr>
          <w:rFonts w:ascii="Times New Roman" w:hAnsi="Times New Roman" w:cs="Times New Roman"/>
          <w:sz w:val="24"/>
        </w:rPr>
        <w:t>1 minute</w:t>
      </w:r>
      <w:proofErr w:type="gramEnd"/>
      <w:r w:rsidRPr="00F869B5">
        <w:rPr>
          <w:rFonts w:ascii="Times New Roman" w:hAnsi="Times New Roman" w:cs="Times New Roman"/>
          <w:sz w:val="24"/>
        </w:rPr>
        <w:t xml:space="preserve"> post-intubation</w:t>
      </w:r>
    </w:p>
    <w:p w14:paraId="1F0ACC4B" w14:textId="77777777" w:rsidR="00F869B5" w:rsidRPr="00F869B5" w:rsidRDefault="00F869B5" w:rsidP="00CD4E79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>Secondary: Remifentanil EC</w:t>
      </w:r>
      <w:r w:rsidRPr="00F869B5">
        <w:rPr>
          <w:rFonts w:ascii="Times New Roman" w:hAnsi="Times New Roman" w:cs="Times New Roman"/>
          <w:sz w:val="24"/>
          <w:vertAlign w:val="subscript"/>
        </w:rPr>
        <w:t>50</w:t>
      </w:r>
      <w:r w:rsidRPr="00F869B5">
        <w:rPr>
          <w:rFonts w:ascii="Times New Roman" w:hAnsi="Times New Roman" w:cs="Times New Roman"/>
          <w:sz w:val="24"/>
        </w:rPr>
        <w:t xml:space="preserve"> for same criteria</w:t>
      </w:r>
    </w:p>
    <w:p w14:paraId="7C4C2DD6" w14:textId="77777777" w:rsidR="00F869B5" w:rsidRPr="00F869B5" w:rsidRDefault="00F869B5" w:rsidP="00CD4E7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F869B5">
        <w:rPr>
          <w:rFonts w:ascii="Times New Roman" w:hAnsi="Times New Roman" w:cs="Times New Roman"/>
          <w:b/>
          <w:bCs/>
          <w:sz w:val="24"/>
        </w:rPr>
        <w:t>Data Collection</w:t>
      </w:r>
    </w:p>
    <w:p w14:paraId="11876DB8" w14:textId="5EB93A5B" w:rsidR="00F869B5" w:rsidRPr="00F869B5" w:rsidRDefault="00F869B5" w:rsidP="00CD4E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>Demographics, ASA status, diagnosis, surgery type, comorbidities, vital signs (blood pressure, heart rate, oxygen saturation, temperature, BIS) at baseline, pre-intubation, 1 minute</w:t>
      </w:r>
      <w:r w:rsidR="00E4206E" w:rsidRPr="00CD4E79">
        <w:rPr>
          <w:rFonts w:ascii="Times New Roman" w:hAnsi="Times New Roman" w:cs="Times New Roman"/>
          <w:sz w:val="24"/>
        </w:rPr>
        <w:t xml:space="preserve">, and </w:t>
      </w:r>
      <w:proofErr w:type="gramStart"/>
      <w:r w:rsidR="00E4206E" w:rsidRPr="00CD4E79">
        <w:rPr>
          <w:rFonts w:ascii="Times New Roman" w:hAnsi="Times New Roman" w:cs="Times New Roman"/>
          <w:sz w:val="24"/>
        </w:rPr>
        <w:t>5 minute</w:t>
      </w:r>
      <w:proofErr w:type="gramEnd"/>
      <w:r w:rsidRPr="00F869B5">
        <w:rPr>
          <w:rFonts w:ascii="Times New Roman" w:hAnsi="Times New Roman" w:cs="Times New Roman"/>
          <w:sz w:val="24"/>
        </w:rPr>
        <w:t xml:space="preserve"> post-intubation, and remifentanil concentration.</w:t>
      </w:r>
    </w:p>
    <w:p w14:paraId="1388F2CE" w14:textId="77777777" w:rsidR="00F869B5" w:rsidRPr="00F869B5" w:rsidRDefault="00F869B5" w:rsidP="00CD4E7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F869B5">
        <w:rPr>
          <w:rFonts w:ascii="Times New Roman" w:hAnsi="Times New Roman" w:cs="Times New Roman"/>
          <w:b/>
          <w:bCs/>
          <w:sz w:val="24"/>
        </w:rPr>
        <w:t>Statistical Analysis</w:t>
      </w:r>
    </w:p>
    <w:p w14:paraId="07D77CD7" w14:textId="77777777" w:rsidR="00F869B5" w:rsidRPr="00F869B5" w:rsidRDefault="00F869B5" w:rsidP="00CD4E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>SPSS 26 and R 3.2.2 will be used. Categorical data analyzed by chi-square or Fisher’s exact test. Continuous data by t-test or ANOVA. EC</w:t>
      </w:r>
      <w:r w:rsidRPr="00F869B5">
        <w:rPr>
          <w:rFonts w:ascii="Times New Roman" w:hAnsi="Times New Roman" w:cs="Times New Roman"/>
          <w:sz w:val="24"/>
          <w:vertAlign w:val="subscript"/>
        </w:rPr>
        <w:t>95</w:t>
      </w:r>
      <w:r w:rsidRPr="00F869B5">
        <w:rPr>
          <w:rFonts w:ascii="Times New Roman" w:hAnsi="Times New Roman" w:cs="Times New Roman"/>
          <w:sz w:val="24"/>
        </w:rPr>
        <w:t xml:space="preserve"> and EC</w:t>
      </w:r>
      <w:r w:rsidRPr="00F869B5">
        <w:rPr>
          <w:rFonts w:ascii="Times New Roman" w:hAnsi="Times New Roman" w:cs="Times New Roman"/>
          <w:sz w:val="24"/>
          <w:vertAlign w:val="subscript"/>
        </w:rPr>
        <w:t>50</w:t>
      </w:r>
      <w:r w:rsidRPr="00F869B5">
        <w:rPr>
          <w:rFonts w:ascii="Times New Roman" w:hAnsi="Times New Roman" w:cs="Times New Roman"/>
          <w:sz w:val="24"/>
        </w:rPr>
        <w:t xml:space="preserve"> calculated by isotonic regression with bootstrapping (PAVA method). Significance at p&lt;0.05.</w:t>
      </w:r>
    </w:p>
    <w:p w14:paraId="70DCF9D4" w14:textId="77777777" w:rsidR="00F869B5" w:rsidRPr="00F869B5" w:rsidRDefault="00F869B5" w:rsidP="00CD4E7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F869B5">
        <w:rPr>
          <w:rFonts w:ascii="Times New Roman" w:hAnsi="Times New Roman" w:cs="Times New Roman"/>
          <w:b/>
          <w:bCs/>
          <w:sz w:val="24"/>
        </w:rPr>
        <w:t>Safety and Adverse Events</w:t>
      </w:r>
    </w:p>
    <w:p w14:paraId="68691CEB" w14:textId="77777777" w:rsidR="00F869B5" w:rsidRPr="00F869B5" w:rsidRDefault="00F869B5" w:rsidP="00CD4E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>Standard anesthetic monitoring and drug administration procedures are followed. Potential adverse effects related to study drugs (</w:t>
      </w:r>
      <w:proofErr w:type="spellStart"/>
      <w:r w:rsidRPr="00F869B5">
        <w:rPr>
          <w:rFonts w:ascii="Times New Roman" w:hAnsi="Times New Roman" w:cs="Times New Roman"/>
          <w:sz w:val="24"/>
        </w:rPr>
        <w:t>remimazolam</w:t>
      </w:r>
      <w:proofErr w:type="spellEnd"/>
      <w:r w:rsidRPr="00F869B5">
        <w:rPr>
          <w:rFonts w:ascii="Times New Roman" w:hAnsi="Times New Roman" w:cs="Times New Roman"/>
          <w:sz w:val="24"/>
        </w:rPr>
        <w:t xml:space="preserve">, remifentanil, rocuronium) will be </w:t>
      </w:r>
      <w:r w:rsidRPr="00F869B5">
        <w:rPr>
          <w:rFonts w:ascii="Times New Roman" w:hAnsi="Times New Roman" w:cs="Times New Roman"/>
          <w:sz w:val="24"/>
        </w:rPr>
        <w:lastRenderedPageBreak/>
        <w:t>managed per institutional protocols. Patients have access to contact study staff for reporting adverse events.</w:t>
      </w:r>
    </w:p>
    <w:p w14:paraId="23875A96" w14:textId="77777777" w:rsidR="00F869B5" w:rsidRPr="00F869B5" w:rsidRDefault="00F869B5" w:rsidP="00CD4E7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F869B5">
        <w:rPr>
          <w:rFonts w:ascii="Times New Roman" w:hAnsi="Times New Roman" w:cs="Times New Roman"/>
          <w:b/>
          <w:bCs/>
          <w:sz w:val="24"/>
        </w:rPr>
        <w:t>Ethical Considerations</w:t>
      </w:r>
    </w:p>
    <w:p w14:paraId="1AAADF99" w14:textId="0B1196C7" w:rsidR="00F869B5" w:rsidRPr="00F869B5" w:rsidRDefault="00F869B5" w:rsidP="00CD4E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 xml:space="preserve">Informed written consent obtained. Patient confidentiality </w:t>
      </w:r>
      <w:r w:rsidR="00E4206E" w:rsidRPr="00CD4E79">
        <w:rPr>
          <w:rFonts w:ascii="Times New Roman" w:hAnsi="Times New Roman" w:cs="Times New Roman"/>
          <w:sz w:val="24"/>
        </w:rPr>
        <w:t>is protected</w:t>
      </w:r>
      <w:r w:rsidRPr="00F869B5">
        <w:rPr>
          <w:rFonts w:ascii="Times New Roman" w:hAnsi="Times New Roman" w:cs="Times New Roman"/>
          <w:sz w:val="24"/>
        </w:rPr>
        <w:t>. Study conducted pursuant to Declaration of Helsinki principles and approved by institutional ethics committee.</w:t>
      </w:r>
    </w:p>
    <w:p w14:paraId="00AD5451" w14:textId="77777777" w:rsidR="00E4206E" w:rsidRPr="00E4206E" w:rsidRDefault="00E4206E" w:rsidP="00CD4E7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E4206E">
        <w:rPr>
          <w:rFonts w:ascii="Times New Roman" w:hAnsi="Times New Roman" w:cs="Times New Roman"/>
          <w:b/>
          <w:bCs/>
          <w:sz w:val="24"/>
        </w:rPr>
        <w:t>Data protection</w:t>
      </w:r>
    </w:p>
    <w:p w14:paraId="7C3B0B79" w14:textId="34926F6E" w:rsidR="00E4206E" w:rsidRPr="00CD4E79" w:rsidRDefault="00E4206E" w:rsidP="00CD4E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4206E">
        <w:rPr>
          <w:rFonts w:ascii="Times New Roman" w:hAnsi="Times New Roman" w:cs="Times New Roman"/>
          <w:sz w:val="24"/>
        </w:rPr>
        <w:t>Personal health information will be coded and stored securely. Only the research team and authorized monitors will have access. Records will be retained for 3 years and then destroyed.</w:t>
      </w:r>
    </w:p>
    <w:p w14:paraId="28509F6A" w14:textId="2005091B" w:rsidR="00F869B5" w:rsidRPr="00F869B5" w:rsidRDefault="00F869B5" w:rsidP="00CD4E7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F869B5">
        <w:rPr>
          <w:rFonts w:ascii="Times New Roman" w:hAnsi="Times New Roman" w:cs="Times New Roman"/>
          <w:b/>
          <w:bCs/>
          <w:sz w:val="24"/>
        </w:rPr>
        <w:t>Expected Benefits</w:t>
      </w:r>
    </w:p>
    <w:p w14:paraId="38006D24" w14:textId="77777777" w:rsidR="00F869B5" w:rsidRPr="00F869B5" w:rsidRDefault="00F869B5" w:rsidP="00CD4E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>Determination of remifentanil EC</w:t>
      </w:r>
      <w:r w:rsidRPr="00F869B5">
        <w:rPr>
          <w:rFonts w:ascii="Times New Roman" w:hAnsi="Times New Roman" w:cs="Times New Roman"/>
          <w:sz w:val="24"/>
          <w:vertAlign w:val="subscript"/>
        </w:rPr>
        <w:t>95</w:t>
      </w:r>
      <w:r w:rsidRPr="00F869B5">
        <w:rPr>
          <w:rFonts w:ascii="Times New Roman" w:hAnsi="Times New Roman" w:cs="Times New Roman"/>
          <w:sz w:val="24"/>
        </w:rPr>
        <w:t xml:space="preserve"> during </w:t>
      </w:r>
      <w:proofErr w:type="spellStart"/>
      <w:r w:rsidRPr="00F869B5">
        <w:rPr>
          <w:rFonts w:ascii="Times New Roman" w:hAnsi="Times New Roman" w:cs="Times New Roman"/>
          <w:sz w:val="24"/>
        </w:rPr>
        <w:t>remimazolam</w:t>
      </w:r>
      <w:proofErr w:type="spellEnd"/>
      <w:r w:rsidRPr="00F869B5">
        <w:rPr>
          <w:rFonts w:ascii="Times New Roman" w:hAnsi="Times New Roman" w:cs="Times New Roman"/>
          <w:sz w:val="24"/>
        </w:rPr>
        <w:t xml:space="preserve"> induction will optimize hemodynamic control, enhancing patient safety and anesthesia quality.</w:t>
      </w:r>
    </w:p>
    <w:p w14:paraId="0367CA6F" w14:textId="77777777" w:rsidR="00F869B5" w:rsidRPr="00F869B5" w:rsidRDefault="00F869B5" w:rsidP="00CD4E7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F869B5">
        <w:rPr>
          <w:rFonts w:ascii="Times New Roman" w:hAnsi="Times New Roman" w:cs="Times New Roman"/>
          <w:b/>
          <w:bCs/>
          <w:sz w:val="24"/>
        </w:rPr>
        <w:t>Timeline</w:t>
      </w:r>
    </w:p>
    <w:p w14:paraId="3FCDBB52" w14:textId="77777777" w:rsidR="00F869B5" w:rsidRPr="00F869B5" w:rsidRDefault="00F869B5" w:rsidP="00CD4E79">
      <w:pPr>
        <w:spacing w:line="360" w:lineRule="auto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>Study duration from ethics approval to completion December 2024 with monthly milestones.</w:t>
      </w:r>
    </w:p>
    <w:p w14:paraId="52981F11" w14:textId="77777777" w:rsidR="00F869B5" w:rsidRPr="00F869B5" w:rsidRDefault="00F869B5" w:rsidP="00CD4E7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F869B5">
        <w:rPr>
          <w:rFonts w:ascii="Times New Roman" w:hAnsi="Times New Roman" w:cs="Times New Roman"/>
          <w:b/>
          <w:bCs/>
          <w:sz w:val="24"/>
        </w:rPr>
        <w:t>Potential Challenges</w:t>
      </w:r>
    </w:p>
    <w:p w14:paraId="52239E8E" w14:textId="4940B338" w:rsidR="00F869B5" w:rsidRPr="00CD4E79" w:rsidRDefault="00F869B5" w:rsidP="00CD4E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869B5">
        <w:rPr>
          <w:rFonts w:ascii="Times New Roman" w:hAnsi="Times New Roman" w:cs="Times New Roman"/>
          <w:sz w:val="24"/>
        </w:rPr>
        <w:t>Anticipated issues include patient recruitment and protocol adherence; solutions include clear inclusion criteria and investigator training.</w:t>
      </w:r>
    </w:p>
    <w:sectPr w:rsidR="00F869B5" w:rsidRPr="00CD4E7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67F6"/>
    <w:multiLevelType w:val="multilevel"/>
    <w:tmpl w:val="5196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6843B6"/>
    <w:multiLevelType w:val="multilevel"/>
    <w:tmpl w:val="A9906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505127"/>
    <w:multiLevelType w:val="multilevel"/>
    <w:tmpl w:val="044048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988554122">
    <w:abstractNumId w:val="1"/>
  </w:num>
  <w:num w:numId="2" w16cid:durableId="759057986">
    <w:abstractNumId w:val="2"/>
  </w:num>
  <w:num w:numId="3" w16cid:durableId="49873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B5"/>
    <w:rsid w:val="000C28B2"/>
    <w:rsid w:val="00AC5B32"/>
    <w:rsid w:val="00CD4E79"/>
    <w:rsid w:val="00E4206E"/>
    <w:rsid w:val="00F8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1F70"/>
  <w15:chartTrackingRefBased/>
  <w15:docId w15:val="{88AFE7D7-E783-43C5-BA27-2E3F2F30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869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6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69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69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69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69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69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69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69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869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869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869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86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86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86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86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86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869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869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86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869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86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86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869B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869B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869B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86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869B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869B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869B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86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lee0616@cha.ac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776</Words>
  <Characters>4792</Characters>
  <Application>Microsoft Office Word</Application>
  <DocSecurity>0</DocSecurity>
  <Lines>114</Lines>
  <Paragraphs>94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Jiyoung Lee</dc:creator>
  <cp:keywords/>
  <dc:description/>
  <cp:lastModifiedBy>Jiyoung Lee</cp:lastModifiedBy>
  <cp:revision>1</cp:revision>
  <dcterms:created xsi:type="dcterms:W3CDTF">2025-11-16T22:25:00Z</dcterms:created>
  <dcterms:modified xsi:type="dcterms:W3CDTF">2025-11-17T01:27:00Z</dcterms:modified>
</cp:coreProperties>
</file>