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5FF5D" w14:textId="77777777" w:rsidR="00A903EB" w:rsidRPr="009774FA" w:rsidRDefault="00A903EB" w:rsidP="00A903EB">
      <w:pPr>
        <w:snapToGrid/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1"/>
          <w:szCs w:val="21"/>
        </w:rPr>
        <w:drawing>
          <wp:inline distT="0" distB="0" distL="0" distR="0" wp14:anchorId="4BB439EB" wp14:editId="5C1EBC3E">
            <wp:extent cx="5760720" cy="5760720"/>
            <wp:effectExtent l="0" t="0" r="0" b="0"/>
            <wp:docPr id="10107031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27C83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1"/>
          <w:szCs w:val="21"/>
        </w:rPr>
      </w:pPr>
      <w:bookmarkStart w:id="0" w:name="_Hlk194404133"/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Extended Data Fig. 1 | Nanoporous membrane fabrication. a,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  <w:vertAlign w:val="superscript"/>
        </w:rPr>
        <w:t>1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H-NMR spectra of BCP precursor. The weight fraction of the PEO was calculated to be 13.8%. </w:t>
      </w:r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b,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Transmission electron microscope (TEM) image of the PEO-</w:t>
      </w:r>
      <w:r w:rsidRPr="009774FA">
        <w:rPr>
          <w:rFonts w:ascii="Times New Roman" w:hAnsi="Times New Roman" w:cs="Times New Roman"/>
          <w:bCs/>
          <w:i/>
          <w:iCs/>
          <w:color w:val="auto"/>
          <w:sz w:val="21"/>
          <w:szCs w:val="21"/>
        </w:rPr>
        <w:t>b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>-PChal BCP membrane.</w:t>
      </w:r>
      <w:r w:rsidRPr="009774FA">
        <w:rPr>
          <w:rFonts w:ascii="Times New Roman" w:hAnsi="Times New Roman" w:cs="Times New Roman"/>
          <w:color w:val="auto"/>
        </w:rPr>
        <w:t xml:space="preserve"> 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The diameter of the PEO phase (nanopore) is 8 nm, with a center-to-center distance of 25 nm. </w:t>
      </w:r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c,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Fourier transform infrared spectroscopy (FTIR) of PEO-</w:t>
      </w:r>
      <w:r w:rsidRPr="009774FA">
        <w:rPr>
          <w:rFonts w:ascii="Times New Roman" w:hAnsi="Times New Roman" w:cs="Times New Roman"/>
          <w:bCs/>
          <w:i/>
          <w:iCs/>
          <w:color w:val="auto"/>
          <w:sz w:val="21"/>
          <w:szCs w:val="21"/>
        </w:rPr>
        <w:t>b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>-PChal membrane after UV treatment. The peak at 3300 cm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  <w:vertAlign w:val="superscript"/>
        </w:rPr>
        <w:t>-1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corresponds to the carboxyl groups. </w:t>
      </w:r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d,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The AFM height image of the BCP membrane after removal of PEO.</w:t>
      </w:r>
      <w:bookmarkEnd w:id="0"/>
    </w:p>
    <w:p w14:paraId="30AF6C75" w14:textId="77777777" w:rsidR="00A903EB" w:rsidRPr="009774FA" w:rsidRDefault="00A903EB" w:rsidP="00A903EB">
      <w:pPr>
        <w:widowControl/>
        <w:spacing w:line="360" w:lineRule="auto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9774FA">
        <w:rPr>
          <w:rFonts w:ascii="Times New Roman" w:hAnsi="Times New Roman" w:cs="Times New Roman"/>
          <w:bCs/>
          <w:color w:val="auto"/>
          <w:sz w:val="24"/>
          <w:szCs w:val="24"/>
        </w:rPr>
        <w:br w:type="page"/>
      </w:r>
    </w:p>
    <w:p w14:paraId="54E08730" w14:textId="77777777" w:rsidR="00A903EB" w:rsidRPr="009774FA" w:rsidRDefault="00A903EB" w:rsidP="00A903EB">
      <w:pPr>
        <w:snapToGrid/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4"/>
          <w:szCs w:val="24"/>
        </w:rPr>
        <w:lastRenderedPageBreak/>
        <w:drawing>
          <wp:inline distT="0" distB="0" distL="0" distR="0" wp14:anchorId="2228887E" wp14:editId="42AF9BF6">
            <wp:extent cx="5760720" cy="3840480"/>
            <wp:effectExtent l="0" t="0" r="0" b="7620"/>
            <wp:docPr id="1211492471" name="图片 2" descr="A group of graphs showing different types of energ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492471" name="图片 2" descr="A group of graphs showing different types of energ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F2F9A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1"/>
          <w:szCs w:val="21"/>
        </w:rPr>
      </w:pPr>
      <w:bookmarkStart w:id="1" w:name="_Hlk194517829"/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Extended Data Fig. 2 | Determination of the crosslinking degree in SCHs. a,</w:t>
      </w:r>
      <w:r w:rsidRPr="009774FA">
        <w:rPr>
          <w:rFonts w:ascii="Times New Roman" w:hAnsi="Times New Roman" w:cs="Times New Roman"/>
          <w:color w:val="auto"/>
        </w:rPr>
        <w:t xml:space="preserve"> The crosslinking degree (CD) of SCHs obtained at different CC concentrations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. </w:t>
      </w:r>
      <w:r w:rsidRPr="009774FA">
        <w:rPr>
          <w:rFonts w:ascii="Times New Roman" w:hAnsi="Times New Roman" w:cs="Times New Roman"/>
          <w:b/>
          <w:color w:val="auto"/>
          <w:sz w:val="21"/>
          <w:szCs w:val="21"/>
        </w:rPr>
        <w:t>b-f,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XPS spectral deconvolution of SCHs with varying CDs.</w:t>
      </w:r>
      <w:bookmarkEnd w:id="1"/>
    </w:p>
    <w:p w14:paraId="0FC207C2" w14:textId="77777777" w:rsidR="00A903EB" w:rsidRPr="009774FA" w:rsidRDefault="00A903EB" w:rsidP="00A903EB">
      <w:pPr>
        <w:widowControl/>
        <w:spacing w:line="360" w:lineRule="auto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br w:type="page"/>
      </w:r>
    </w:p>
    <w:p w14:paraId="21B044AB" w14:textId="77777777" w:rsidR="00A903EB" w:rsidRPr="009774FA" w:rsidRDefault="00A903EB" w:rsidP="00A903EB">
      <w:pPr>
        <w:snapToGrid/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1"/>
          <w:szCs w:val="21"/>
        </w:rPr>
        <w:lastRenderedPageBreak/>
        <w:drawing>
          <wp:inline distT="0" distB="0" distL="0" distR="0" wp14:anchorId="5D7D9FAF" wp14:editId="65FEFB6A">
            <wp:extent cx="5760720" cy="3840480"/>
            <wp:effectExtent l="0" t="0" r="0" b="7620"/>
            <wp:docPr id="1035765762" name="图片 3" descr="A close-up of several images of a variety of blue and wh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765762" name="图片 3" descr="A close-up of several images of a variety of blue and whit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70787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>Extended Data Fig. 3 | MD simulations of SCHs. a-e,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3D view of the SCHs with varying CDs (free volume in gray and Connolly surface in blue), in order: 0.21, 0.25, 0.49, 0.69, and 0.75.</w:t>
      </w: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f,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The mesh size distribution calculated from the simulations. As the CD increases, the mesh size decreases.</w:t>
      </w:r>
    </w:p>
    <w:p w14:paraId="79F86A61" w14:textId="77777777" w:rsidR="00A903EB" w:rsidRPr="009774FA" w:rsidRDefault="00A903EB" w:rsidP="00A903EB">
      <w:pPr>
        <w:widowControl/>
        <w:spacing w:line="360" w:lineRule="auto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br w:type="page"/>
      </w:r>
    </w:p>
    <w:p w14:paraId="4A160F1D" w14:textId="77777777" w:rsidR="00A903EB" w:rsidRPr="009774FA" w:rsidRDefault="00A903EB" w:rsidP="00A903EB">
      <w:pPr>
        <w:snapToGrid/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1"/>
          <w:szCs w:val="21"/>
        </w:rPr>
        <w:lastRenderedPageBreak/>
        <w:drawing>
          <wp:inline distT="0" distB="0" distL="0" distR="0" wp14:anchorId="10FC5A72" wp14:editId="0200038E">
            <wp:extent cx="5760720" cy="3840480"/>
            <wp:effectExtent l="0" t="0" r="0" b="7620"/>
            <wp:docPr id="441984501" name="图片 1" descr="Several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984501" name="图片 1" descr="Several graphs showing different types of dat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EB077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>Extended Data Fig. 4 | Analysis of mesh size before and after SCHs swelling. a,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WAXS spectrum of SCHs with varying crosslinking degrees before and after swelling.</w:t>
      </w:r>
      <w:r w:rsidRPr="009774FA">
        <w:rPr>
          <w:rFonts w:ascii="Times New Roman" w:hAnsi="Times New Roman" w:cs="Times New Roman"/>
          <w:color w:val="auto"/>
        </w:rPr>
        <w:t xml:space="preserve"> 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The characteristic WAXS scattering halo of SCHs with higher crosslinking density exhibits a smaller shift. </w:t>
      </w: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>b-f,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bookmarkStart w:id="2" w:name="_Hlk195899742"/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>LF-NMR spectrum of SCHs with varying CDs</w:t>
      </w:r>
      <w:bookmarkEnd w:id="2"/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before and after swelling, in order: 0.21, 0.25, 0.49, 0.69, and 0.75.</w:t>
      </w:r>
    </w:p>
    <w:p w14:paraId="24D49269" w14:textId="77777777" w:rsidR="00A903EB" w:rsidRPr="009774FA" w:rsidRDefault="00A903EB" w:rsidP="00A903EB">
      <w:pPr>
        <w:widowControl/>
        <w:spacing w:line="360" w:lineRule="auto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br w:type="page"/>
      </w:r>
    </w:p>
    <w:p w14:paraId="0A017D12" w14:textId="77777777" w:rsidR="00A903EB" w:rsidRPr="009774FA" w:rsidRDefault="00A903EB" w:rsidP="00A903EB">
      <w:pPr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1"/>
          <w:szCs w:val="21"/>
        </w:rPr>
        <w:lastRenderedPageBreak/>
        <w:drawing>
          <wp:inline distT="0" distB="0" distL="0" distR="0" wp14:anchorId="297C4311" wp14:editId="5594FD3B">
            <wp:extent cx="5760720" cy="7681595"/>
            <wp:effectExtent l="0" t="0" r="0" b="0"/>
            <wp:docPr id="350675407" name="图片 2" descr="A graph of number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675407" name="图片 2" descr="A graph of numbers an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7D47B" w14:textId="77777777" w:rsidR="00A903EB" w:rsidRPr="009774FA" w:rsidRDefault="00A903EB" w:rsidP="00A903EB">
      <w:pPr>
        <w:snapToGrid/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</w:p>
    <w:p w14:paraId="710F74AE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1"/>
          <w:szCs w:val="21"/>
        </w:rPr>
      </w:pPr>
      <w:bookmarkStart w:id="3" w:name="_Hlk194781891"/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>Extended Data Fig. 5 | Cation fluxes in SCHs of different pH and varying CDs. a-e,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At CDs of 0.21, 0.25, 0.49, 0.69, and 0.75, the cation fluxes in SCHs (pH = 3). </w:t>
      </w: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>f-j,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bookmarkEnd w:id="3"/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>At pH = 1, 3, 5, 7, and 9, the cation fluxes in fully crosslinked SCHs. At pH = 9, Co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  <w:vertAlign w:val="superscript"/>
        </w:rPr>
        <w:t>2+</w:t>
      </w: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precipitates.</w:t>
      </w:r>
    </w:p>
    <w:p w14:paraId="78FC3D1B" w14:textId="77777777" w:rsidR="00A903EB" w:rsidRPr="009774FA" w:rsidRDefault="00A903EB" w:rsidP="00A903EB">
      <w:pPr>
        <w:widowControl/>
        <w:spacing w:line="360" w:lineRule="auto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color w:val="auto"/>
          <w:sz w:val="21"/>
          <w:szCs w:val="21"/>
        </w:rPr>
        <w:br w:type="page"/>
      </w:r>
    </w:p>
    <w:p w14:paraId="7FC1256C" w14:textId="77777777" w:rsidR="00A903EB" w:rsidRPr="009774FA" w:rsidRDefault="00A903EB" w:rsidP="00A903EB">
      <w:pPr>
        <w:spacing w:before="0" w:after="0" w:line="360" w:lineRule="auto"/>
        <w:jc w:val="center"/>
        <w:rPr>
          <w:rFonts w:ascii="Times New Roman" w:hAnsi="Times New Roman" w:cs="Times New Roman"/>
          <w:bCs/>
          <w:color w:val="auto"/>
          <w:sz w:val="21"/>
          <w:szCs w:val="21"/>
        </w:rPr>
      </w:pPr>
      <w:r w:rsidRPr="009774FA">
        <w:rPr>
          <w:rFonts w:ascii="Times New Roman" w:hAnsi="Times New Roman" w:cs="Times New Roman"/>
          <w:bCs/>
          <w:noProof/>
          <w:color w:val="auto"/>
          <w:sz w:val="21"/>
          <w:szCs w:val="21"/>
        </w:rPr>
        <w:lastRenderedPageBreak/>
        <w:drawing>
          <wp:inline distT="0" distB="0" distL="0" distR="0" wp14:anchorId="0075F1D1" wp14:editId="4FC3A570">
            <wp:extent cx="5760720" cy="5760720"/>
            <wp:effectExtent l="0" t="0" r="0" b="0"/>
            <wp:docPr id="386033850" name="图片 1" descr="A collage of different energy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033850" name="图片 1" descr="A collage of different energy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5A0BD" w14:textId="77777777" w:rsidR="00A903EB" w:rsidRPr="009774FA" w:rsidRDefault="00A903EB" w:rsidP="00A903EB">
      <w:pPr>
        <w:snapToGrid/>
        <w:spacing w:before="0"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9774FA">
        <w:rPr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Extended Data Fig. 6 | Comparison of XPS spectrum for SCHs absorbing cations. a-h, </w:t>
      </w:r>
      <w:r w:rsidRPr="009774FA">
        <w:rPr>
          <w:rFonts w:ascii="Times New Roman" w:hAnsi="Times New Roman" w:cs="Times New Roman"/>
          <w:color w:val="auto"/>
          <w:sz w:val="21"/>
          <w:szCs w:val="21"/>
        </w:rPr>
        <w:t>The XPS spectrum of SCHs after absorption from 0.1 mol·L</w:t>
      </w:r>
      <w:r w:rsidRPr="009774FA">
        <w:rPr>
          <w:rFonts w:ascii="Times New Roman" w:hAnsi="Times New Roman" w:cs="Times New Roman"/>
          <w:color w:val="auto"/>
          <w:sz w:val="21"/>
          <w:szCs w:val="21"/>
          <w:vertAlign w:val="superscript"/>
        </w:rPr>
        <w:t>-1</w:t>
      </w:r>
      <w:r w:rsidRPr="009774FA">
        <w:rPr>
          <w:rFonts w:ascii="Times New Roman" w:hAnsi="Times New Roman" w:cs="Times New Roman"/>
          <w:color w:val="auto"/>
          <w:sz w:val="21"/>
          <w:szCs w:val="21"/>
        </w:rPr>
        <w:t xml:space="preserve"> cation solutions and rinsing with deionized water, corresponding to the following ion orbitals: K 2p, Na 1s, Li 1s, Sr 3d, Ca 2p, Mg 1s, Co 2p, Cu 2p.</w:t>
      </w:r>
    </w:p>
    <w:p w14:paraId="0E9DA6EE" w14:textId="77777777" w:rsidR="00DE6AE2" w:rsidRDefault="00DE6AE2"/>
    <w:sectPr w:rsidR="00DE6AE2" w:rsidSect="00A903EB">
      <w:pgSz w:w="11906" w:h="16838"/>
      <w:pgMar w:top="1361" w:right="1417" w:bottom="1361" w:left="1417" w:header="712" w:footer="85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orHAnsi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EB"/>
    <w:rsid w:val="00195413"/>
    <w:rsid w:val="002938B9"/>
    <w:rsid w:val="003D0186"/>
    <w:rsid w:val="007278E4"/>
    <w:rsid w:val="00A3738C"/>
    <w:rsid w:val="00A903E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5CFFC"/>
  <w15:chartTrackingRefBased/>
  <w15:docId w15:val="{23852B1F-BEA4-476F-830F-9ACB041E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3EB"/>
    <w:pPr>
      <w:widowControl w:val="0"/>
      <w:snapToGrid w:val="0"/>
      <w:spacing w:before="60" w:after="60" w:line="312" w:lineRule="auto"/>
    </w:pPr>
    <w:rPr>
      <w:rFonts w:ascii="minorHAnsi" w:eastAsiaTheme="minorEastAsia" w:hAnsi="minorHAnsi"/>
      <w:color w:val="333333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3EB"/>
    <w:pPr>
      <w:keepNext/>
      <w:keepLines/>
      <w:widowControl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3EB"/>
    <w:pPr>
      <w:keepNext/>
      <w:keepLines/>
      <w:widowControl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3EB"/>
    <w:pPr>
      <w:keepNext/>
      <w:keepLines/>
      <w:widowControl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3EB"/>
    <w:pPr>
      <w:keepNext/>
      <w:keepLines/>
      <w:widowControl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3EB"/>
    <w:pPr>
      <w:keepNext/>
      <w:keepLines/>
      <w:widowControl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3EB"/>
    <w:pPr>
      <w:keepNext/>
      <w:keepLines/>
      <w:widowControl/>
      <w:snapToGrid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3EB"/>
    <w:pPr>
      <w:keepNext/>
      <w:keepLines/>
      <w:widowControl/>
      <w:snapToGrid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3EB"/>
    <w:pPr>
      <w:keepNext/>
      <w:keepLines/>
      <w:widowControl/>
      <w:snapToGrid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3EB"/>
    <w:pPr>
      <w:keepNext/>
      <w:keepLines/>
      <w:widowControl/>
      <w:snapToGrid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3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3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3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3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3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3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3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3EB"/>
    <w:pPr>
      <w:widowControl/>
      <w:snapToGrid/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0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3EB"/>
    <w:pPr>
      <w:widowControl/>
      <w:numPr>
        <w:ilvl w:val="1"/>
      </w:numPr>
      <w:snapToGrid/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03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3EB"/>
    <w:pPr>
      <w:widowControl/>
      <w:snapToGrid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03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3EB"/>
    <w:pPr>
      <w:widowControl/>
      <w:snapToGrid/>
      <w:spacing w:before="0" w:after="160" w:line="278" w:lineRule="auto"/>
      <w:ind w:left="720"/>
      <w:contextualSpacing/>
    </w:pPr>
    <w:rPr>
      <w:rFonts w:asciiTheme="minorHAnsi" w:eastAsiaTheme="minorHAnsi" w:hAnsiTheme="minorHAnsi"/>
      <w:color w:val="auto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03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3E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3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3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289</Words>
  <Characters>1734</Characters>
  <Application>Microsoft Office Word</Application>
  <DocSecurity>0</DocSecurity>
  <Lines>25</Lines>
  <Paragraphs>6</Paragraphs>
  <ScaleCrop>false</ScaleCrop>
  <Company>Springer Nature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2025-11-20T13:04:00Z</dcterms:created>
  <dcterms:modified xsi:type="dcterms:W3CDTF">2025-11-20T13:05:00Z</dcterms:modified>
</cp:coreProperties>
</file>