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DC18" w14:textId="00A0B53F" w:rsidR="00AB0D82" w:rsidRDefault="00914C56" w:rsidP="00AB0D82">
      <w:pPr>
        <w:spacing w:before="240" w:after="240"/>
        <w:rPr>
          <w:rFonts w:ascii="Times New Roman" w:hAnsi="Times New Roman" w:cs="Times New Roman"/>
        </w:rPr>
      </w:pPr>
      <w:r w:rsidRPr="00B430A0">
        <w:rPr>
          <w:rFonts w:ascii="Times New Roman" w:eastAsia="Times New Roman" w:hAnsi="Times New Roman" w:cs="Times New Roman"/>
          <w:b/>
          <w:sz w:val="20"/>
          <w:szCs w:val="20"/>
          <w:lang w:eastAsia="en-GB"/>
        </w:rPr>
        <w:t>STROBE-MR checklist of recommended items to address in reports of Mendelian randomization studies</w:t>
      </w:r>
      <w:r w:rsidR="00AB0D82">
        <w:rPr>
          <w:rFonts w:ascii="Times New Roman" w:hAnsi="Times New Roman" w:cs="Times New Roman"/>
          <w:sz w:val="19"/>
          <w:szCs w:val="19"/>
        </w:rPr>
        <w:fldChar w:fldCharType="begin">
          <w:fldData xml:space="preserve">PEVuZE5vdGU+PENpdGU+PEF1dGhvcj5Ta3JpdmFua292YTwvQXV0aG9yPjxZZWFyPjIwMjE8L1ll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</w:fldData>
        </w:fldChar>
      </w:r>
      <w:r w:rsidR="00AB0D82">
        <w:rPr>
          <w:rFonts w:ascii="Times New Roman" w:hAnsi="Times New Roman" w:cs="Times New Roman"/>
          <w:sz w:val="19"/>
          <w:szCs w:val="19"/>
        </w:rPr>
        <w:instrText xml:space="preserve"> ADDIN EN.CITE </w:instrText>
      </w:r>
      <w:r w:rsidR="00AB0D82">
        <w:rPr>
          <w:rFonts w:ascii="Times New Roman" w:hAnsi="Times New Roman" w:cs="Times New Roman"/>
          <w:sz w:val="19"/>
          <w:szCs w:val="19"/>
        </w:rPr>
        <w:fldChar w:fldCharType="begin">
          <w:fldData xml:space="preserve">PEVuZE5vdGU+PENpdGU+PEF1dGhvcj5Ta3JpdmFua292YTwvQXV0aG9yPjxZZWFyPjIwMjE8L1ll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</w:fldData>
        </w:fldChar>
      </w:r>
      <w:r w:rsidR="00AB0D82">
        <w:rPr>
          <w:rFonts w:ascii="Times New Roman" w:hAnsi="Times New Roman" w:cs="Times New Roman"/>
          <w:sz w:val="19"/>
          <w:szCs w:val="19"/>
        </w:rPr>
        <w:instrText xml:space="preserve"> ADDIN EN.CITE.DATA </w:instrText>
      </w:r>
      <w:r w:rsidR="00AB0D82">
        <w:rPr>
          <w:rFonts w:ascii="Times New Roman" w:hAnsi="Times New Roman" w:cs="Times New Roman"/>
          <w:sz w:val="19"/>
          <w:szCs w:val="19"/>
        </w:rPr>
      </w:r>
      <w:r w:rsidR="00AB0D82">
        <w:rPr>
          <w:rFonts w:ascii="Times New Roman" w:hAnsi="Times New Roman" w:cs="Times New Roman"/>
          <w:sz w:val="19"/>
          <w:szCs w:val="19"/>
        </w:rPr>
        <w:fldChar w:fldCharType="end"/>
      </w:r>
      <w:r w:rsidR="00AB0D82">
        <w:rPr>
          <w:rFonts w:ascii="Times New Roman" w:hAnsi="Times New Roman" w:cs="Times New Roman"/>
          <w:sz w:val="19"/>
          <w:szCs w:val="19"/>
        </w:rPr>
        <w:fldChar w:fldCharType="separate"/>
      </w:r>
      <w:r w:rsidR="00AB0D82" w:rsidRPr="00AB0D82">
        <w:rPr>
          <w:rFonts w:ascii="Times New Roman" w:hAnsi="Times New Roman" w:cs="Times New Roman"/>
          <w:noProof/>
          <w:sz w:val="19"/>
          <w:szCs w:val="19"/>
          <w:vertAlign w:val="superscript"/>
        </w:rPr>
        <w:t>1,2</w:t>
      </w:r>
      <w:r w:rsidR="00AB0D82">
        <w:rPr>
          <w:rFonts w:ascii="Times New Roman" w:hAnsi="Times New Roman" w:cs="Times New Roman"/>
          <w:sz w:val="19"/>
          <w:szCs w:val="19"/>
        </w:rPr>
        <w:fldChar w:fldCharType="end"/>
      </w:r>
    </w:p>
    <w:tbl>
      <w:tblPr>
        <w:tblStyle w:val="TableGrid"/>
        <w:tblW w:w="14597" w:type="dxa"/>
        <w:tblLayout w:type="fixed"/>
        <w:tblLook w:val="04A0" w:firstRow="1" w:lastRow="0" w:firstColumn="1" w:lastColumn="0" w:noHBand="0" w:noVBand="1"/>
      </w:tblPr>
      <w:tblGrid>
        <w:gridCol w:w="587"/>
        <w:gridCol w:w="968"/>
        <w:gridCol w:w="2126"/>
        <w:gridCol w:w="4678"/>
        <w:gridCol w:w="5528"/>
        <w:gridCol w:w="710"/>
      </w:tblGrid>
      <w:tr w:rsidR="00942FD0" w:rsidRPr="00B430A0" w14:paraId="68BC94E2" w14:textId="1CEFEAFD" w:rsidTr="009F40F1">
        <w:tc>
          <w:tcPr>
            <w:tcW w:w="587" w:type="dxa"/>
          </w:tcPr>
          <w:p w14:paraId="00DEF8A5" w14:textId="77777777" w:rsidR="00942FD0" w:rsidRPr="00B430A0" w:rsidRDefault="00942FD0" w:rsidP="00426603">
            <w:pPr>
              <w:spacing w:beforeLines="40" w:before="96" w:afterLines="40" w:after="96" w:line="24" w:lineRule="atLeast"/>
              <w:rPr>
                <w:rFonts w:ascii="Times New Roman" w:eastAsia="Cambria" w:hAnsi="Times New Roman" w:cs="Times New Roman"/>
                <w:b/>
                <w:bCs/>
                <w:sz w:val="18"/>
                <w:szCs w:val="18"/>
                <w:lang w:val="en-GB" w:eastAsia="en-US"/>
              </w:rPr>
            </w:pPr>
            <w:r w:rsidRPr="00B430A0">
              <w:rPr>
                <w:rFonts w:ascii="Times New Roman" w:eastAsia="Cambria" w:hAnsi="Times New Roman" w:cs="Times New Roman"/>
                <w:b/>
                <w:bCs/>
                <w:sz w:val="18"/>
                <w:szCs w:val="18"/>
                <w:lang w:val="en-GB" w:eastAsia="en-US"/>
              </w:rPr>
              <w:t>Item No.</w:t>
            </w:r>
          </w:p>
        </w:tc>
        <w:tc>
          <w:tcPr>
            <w:tcW w:w="968" w:type="dxa"/>
          </w:tcPr>
          <w:p w14:paraId="04F587D2" w14:textId="77777777" w:rsidR="00942FD0" w:rsidRPr="00B430A0" w:rsidRDefault="00942FD0" w:rsidP="00426603">
            <w:pPr>
              <w:spacing w:beforeLines="40" w:before="96" w:afterLines="40" w:after="96" w:line="24" w:lineRule="atLeast"/>
              <w:rPr>
                <w:rFonts w:ascii="Times New Roman" w:eastAsia="Cambria" w:hAnsi="Times New Roman" w:cs="Times New Roman"/>
                <w:b/>
                <w:bCs/>
                <w:sz w:val="18"/>
                <w:szCs w:val="18"/>
                <w:lang w:val="en-GB" w:eastAsia="en-US"/>
              </w:rPr>
            </w:pPr>
            <w:r w:rsidRPr="00B430A0">
              <w:rPr>
                <w:rFonts w:ascii="Times New Roman" w:eastAsia="Cambria" w:hAnsi="Times New Roman" w:cs="Times New Roman"/>
                <w:b/>
                <w:bCs/>
                <w:sz w:val="18"/>
                <w:szCs w:val="18"/>
                <w:lang w:val="en-GB" w:eastAsia="en-US"/>
              </w:rPr>
              <w:t>Section</w:t>
            </w:r>
          </w:p>
        </w:tc>
        <w:tc>
          <w:tcPr>
            <w:tcW w:w="2126" w:type="dxa"/>
          </w:tcPr>
          <w:p w14:paraId="5A682768" w14:textId="77777777" w:rsidR="00942FD0" w:rsidRPr="00B430A0" w:rsidRDefault="00942FD0" w:rsidP="00426603">
            <w:pPr>
              <w:spacing w:beforeLines="40" w:before="96" w:afterLines="40" w:after="96" w:line="24" w:lineRule="atLeast"/>
              <w:rPr>
                <w:rFonts w:ascii="Times New Roman" w:eastAsia="Cambria" w:hAnsi="Times New Roman" w:cs="Times New Roman"/>
                <w:b/>
                <w:bCs/>
                <w:sz w:val="18"/>
                <w:szCs w:val="18"/>
                <w:lang w:val="en-GB" w:eastAsia="en-US"/>
              </w:rPr>
            </w:pPr>
            <w:r w:rsidRPr="00B430A0">
              <w:rPr>
                <w:rFonts w:ascii="Times New Roman" w:eastAsia="Cambria" w:hAnsi="Times New Roman" w:cs="Times New Roman"/>
                <w:b/>
                <w:bCs/>
                <w:sz w:val="18"/>
                <w:szCs w:val="18"/>
                <w:lang w:val="en-GB" w:eastAsia="en-US"/>
              </w:rPr>
              <w:t xml:space="preserve">Checklist item </w:t>
            </w:r>
          </w:p>
        </w:tc>
        <w:tc>
          <w:tcPr>
            <w:tcW w:w="4678" w:type="dxa"/>
          </w:tcPr>
          <w:p w14:paraId="26D050FB" w14:textId="3CAEDB16" w:rsidR="00942FD0" w:rsidRPr="00B430A0" w:rsidRDefault="007D109D" w:rsidP="00426603">
            <w:pPr>
              <w:spacing w:beforeLines="40" w:before="96" w:afterLines="40" w:after="96" w:line="24" w:lineRule="atLeast"/>
              <w:rPr>
                <w:rFonts w:ascii="Times New Roman" w:eastAsia="Cambria" w:hAnsi="Times New Roman" w:cs="Times New Roman"/>
                <w:b/>
                <w:bCs/>
                <w:sz w:val="18"/>
                <w:szCs w:val="18"/>
                <w:lang w:val="en-GB" w:eastAsia="en-US"/>
              </w:rPr>
            </w:pPr>
            <w:r w:rsidRPr="00B430A0">
              <w:rPr>
                <w:rFonts w:ascii="Times New Roman" w:eastAsia="Cambria" w:hAnsi="Times New Roman" w:cs="Times New Roman"/>
                <w:b/>
                <w:bCs/>
                <w:sz w:val="18"/>
                <w:szCs w:val="18"/>
                <w:lang w:val="en-GB" w:eastAsia="en-US"/>
              </w:rPr>
              <w:t>Note</w:t>
            </w:r>
          </w:p>
        </w:tc>
        <w:tc>
          <w:tcPr>
            <w:tcW w:w="5528" w:type="dxa"/>
          </w:tcPr>
          <w:p w14:paraId="0DD3C6B2" w14:textId="39ED8F9C" w:rsidR="00942FD0" w:rsidRPr="00B430A0" w:rsidRDefault="007D109D" w:rsidP="00426603">
            <w:pPr>
              <w:spacing w:beforeLines="40" w:before="96" w:afterLines="40" w:after="96" w:line="24" w:lineRule="atLeast"/>
              <w:rPr>
                <w:rFonts w:ascii="Times New Roman" w:eastAsia="Cambria" w:hAnsi="Times New Roman" w:cs="Times New Roman"/>
                <w:b/>
                <w:bCs/>
                <w:sz w:val="18"/>
                <w:szCs w:val="18"/>
                <w:lang w:val="en-GB" w:eastAsia="en-US"/>
              </w:rPr>
            </w:pPr>
            <w:r w:rsidRPr="00B430A0">
              <w:rPr>
                <w:rFonts w:ascii="Times New Roman" w:eastAsia="Cambria" w:hAnsi="Times New Roman" w:cs="Times New Roman"/>
                <w:b/>
                <w:bCs/>
                <w:sz w:val="18"/>
                <w:szCs w:val="18"/>
                <w:lang w:val="en-GB" w:eastAsia="en-US"/>
              </w:rPr>
              <w:t>Relevant text from manuscript</w:t>
            </w:r>
          </w:p>
        </w:tc>
        <w:tc>
          <w:tcPr>
            <w:tcW w:w="710" w:type="dxa"/>
          </w:tcPr>
          <w:p w14:paraId="3B169EDD" w14:textId="2F27FBB3" w:rsidR="00942FD0" w:rsidRPr="00B430A0" w:rsidRDefault="007D109D" w:rsidP="00426603">
            <w:pPr>
              <w:spacing w:beforeLines="40" w:before="96" w:afterLines="40" w:after="96" w:line="24" w:lineRule="atLeast"/>
              <w:rPr>
                <w:rFonts w:ascii="Times New Roman" w:eastAsia="Cambria" w:hAnsi="Times New Roman" w:cs="Times New Roman"/>
                <w:b/>
                <w:bCs/>
                <w:sz w:val="18"/>
                <w:szCs w:val="18"/>
                <w:lang w:val="en-GB" w:eastAsia="en-US"/>
              </w:rPr>
            </w:pPr>
            <w:r w:rsidRPr="00B430A0">
              <w:rPr>
                <w:rFonts w:ascii="Times New Roman" w:eastAsia="Cambria" w:hAnsi="Times New Roman" w:cs="Times New Roman"/>
                <w:b/>
                <w:bCs/>
                <w:sz w:val="18"/>
                <w:szCs w:val="18"/>
                <w:lang w:val="en-GB" w:eastAsia="en-US"/>
              </w:rPr>
              <w:t>Page No.</w:t>
            </w:r>
          </w:p>
        </w:tc>
      </w:tr>
      <w:tr w:rsidR="00942FD0" w:rsidRPr="00B430A0" w14:paraId="6D71F361" w14:textId="15A67F44" w:rsidTr="009F40F1">
        <w:tc>
          <w:tcPr>
            <w:tcW w:w="587" w:type="dxa"/>
          </w:tcPr>
          <w:p w14:paraId="25A8835C" w14:textId="77777777" w:rsidR="00942FD0" w:rsidRPr="00B430A0" w:rsidRDefault="00942FD0" w:rsidP="00426603">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1</w:t>
            </w:r>
          </w:p>
        </w:tc>
        <w:tc>
          <w:tcPr>
            <w:tcW w:w="968" w:type="dxa"/>
          </w:tcPr>
          <w:p w14:paraId="4CC4316B" w14:textId="77777777" w:rsidR="00942FD0" w:rsidRPr="00B430A0" w:rsidRDefault="00942FD0" w:rsidP="00426603">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TITLE and ABSTRACT</w:t>
            </w:r>
          </w:p>
        </w:tc>
        <w:tc>
          <w:tcPr>
            <w:tcW w:w="2126" w:type="dxa"/>
          </w:tcPr>
          <w:p w14:paraId="1DA8BD46" w14:textId="22BBD1AD" w:rsidR="00942FD0" w:rsidRPr="00B430A0" w:rsidRDefault="00942FD0" w:rsidP="006912BF">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Indicate Mendelian randomization (MR) as the study’s design in the title and/or the abstract if that is a main purpose of the study</w:t>
            </w:r>
          </w:p>
        </w:tc>
        <w:tc>
          <w:tcPr>
            <w:tcW w:w="4678" w:type="dxa"/>
          </w:tcPr>
          <w:p w14:paraId="2C901BB3" w14:textId="6DECD23E" w:rsidR="00FE469B" w:rsidRPr="00B430A0" w:rsidRDefault="00FE469B" w:rsidP="00FE469B">
            <w:pPr>
              <w:spacing w:beforeLines="40" w:before="96" w:afterLines="40" w:after="96" w:line="24" w:lineRule="atLeast"/>
              <w:rPr>
                <w:rFonts w:ascii="Times New Roman" w:eastAsiaTheme="minorEastAsia" w:hAnsi="Times New Roman" w:cs="Times New Roman"/>
                <w:sz w:val="18"/>
                <w:szCs w:val="18"/>
                <w:lang w:val="en-GB" w:eastAsia="zh-CN"/>
              </w:rPr>
            </w:pPr>
            <w:r w:rsidRPr="00B430A0">
              <w:rPr>
                <w:rFonts w:ascii="Times New Roman" w:eastAsiaTheme="minorEastAsia" w:hAnsi="Times New Roman" w:cs="Times New Roman"/>
                <w:sz w:val="18"/>
                <w:szCs w:val="18"/>
                <w:lang w:val="en-GB" w:eastAsia="zh-CN"/>
              </w:rPr>
              <w:t xml:space="preserve">The main purpose of our study is not </w:t>
            </w:r>
            <w:r w:rsidR="00133AAD">
              <w:rPr>
                <w:rFonts w:ascii="Times New Roman" w:eastAsiaTheme="minorEastAsia" w:hAnsi="Times New Roman" w:cs="Times New Roman"/>
                <w:sz w:val="18"/>
                <w:szCs w:val="18"/>
                <w:lang w:val="en-GB" w:eastAsia="zh-CN"/>
              </w:rPr>
              <w:t>Mendelian randomisation (</w:t>
            </w:r>
            <w:r w:rsidRPr="00B430A0">
              <w:rPr>
                <w:rFonts w:ascii="Times New Roman" w:eastAsiaTheme="minorEastAsia" w:hAnsi="Times New Roman" w:cs="Times New Roman"/>
                <w:sz w:val="18"/>
                <w:szCs w:val="18"/>
                <w:lang w:val="en-GB" w:eastAsia="zh-CN"/>
              </w:rPr>
              <w:t>MR</w:t>
            </w:r>
            <w:r w:rsidR="00133AAD">
              <w:rPr>
                <w:rFonts w:ascii="Times New Roman" w:eastAsiaTheme="minorEastAsia" w:hAnsi="Times New Roman" w:cs="Times New Roman"/>
                <w:sz w:val="18"/>
                <w:szCs w:val="18"/>
                <w:lang w:val="en-GB" w:eastAsia="zh-CN"/>
              </w:rPr>
              <w:t>)</w:t>
            </w:r>
            <w:r w:rsidRPr="00B430A0">
              <w:rPr>
                <w:rFonts w:ascii="Times New Roman" w:eastAsiaTheme="minorEastAsia" w:hAnsi="Times New Roman" w:cs="Times New Roman"/>
                <w:sz w:val="18"/>
                <w:szCs w:val="18"/>
                <w:lang w:val="en-GB" w:eastAsia="zh-CN"/>
              </w:rPr>
              <w:t xml:space="preserve">. We only used MR as part of the methods. Hence, MR was not reflected in the title. </w:t>
            </w:r>
          </w:p>
          <w:p w14:paraId="428F187D" w14:textId="2F837353" w:rsidR="00942FD0" w:rsidRPr="00B430A0" w:rsidRDefault="00FE469B" w:rsidP="00FE469B">
            <w:pPr>
              <w:spacing w:beforeLines="40" w:before="96" w:afterLines="40" w:after="96" w:line="24" w:lineRule="atLeast"/>
              <w:rPr>
                <w:rFonts w:ascii="Times New Roman" w:eastAsiaTheme="minorEastAsia" w:hAnsi="Times New Roman" w:cs="Times New Roman"/>
                <w:sz w:val="18"/>
                <w:szCs w:val="18"/>
                <w:lang w:val="en-GB" w:eastAsia="zh-CN"/>
              </w:rPr>
            </w:pPr>
            <w:r w:rsidRPr="00B430A0">
              <w:rPr>
                <w:rFonts w:ascii="Times New Roman" w:eastAsiaTheme="minorEastAsia" w:hAnsi="Times New Roman" w:cs="Times New Roman"/>
                <w:sz w:val="18"/>
                <w:szCs w:val="18"/>
                <w:lang w:val="en-GB" w:eastAsia="zh-CN"/>
              </w:rPr>
              <w:t>However, we have indicated MR in the Abstract as appropriate</w:t>
            </w:r>
          </w:p>
        </w:tc>
        <w:tc>
          <w:tcPr>
            <w:tcW w:w="5528" w:type="dxa"/>
          </w:tcPr>
          <w:p w14:paraId="7C4D682D" w14:textId="77777777" w:rsidR="003049F1" w:rsidRPr="009A0040" w:rsidRDefault="00EF43F9" w:rsidP="009D467E">
            <w:pPr>
              <w:spacing w:beforeLines="40" w:before="96" w:afterLines="40" w:after="96" w:line="24" w:lineRule="atLeast"/>
              <w:rPr>
                <w:rFonts w:ascii="Times New Roman" w:eastAsiaTheme="minorEastAsia" w:hAnsi="Times New Roman" w:cs="Times New Roman"/>
                <w:b/>
                <w:bCs/>
                <w:sz w:val="18"/>
                <w:szCs w:val="18"/>
                <w:lang w:eastAsia="zh-CN"/>
              </w:rPr>
            </w:pPr>
            <w:r w:rsidRPr="009A0040">
              <w:rPr>
                <w:rFonts w:ascii="Times New Roman" w:eastAsiaTheme="minorEastAsia" w:hAnsi="Times New Roman" w:cs="Times New Roman"/>
                <w:b/>
                <w:bCs/>
                <w:sz w:val="18"/>
                <w:szCs w:val="18"/>
                <w:lang w:eastAsia="zh-CN"/>
              </w:rPr>
              <w:t xml:space="preserve">Title: </w:t>
            </w:r>
          </w:p>
          <w:p w14:paraId="5AEBA67D" w14:textId="77777777" w:rsidR="003950FE" w:rsidRPr="003950FE" w:rsidRDefault="003950FE" w:rsidP="00BE2BCF">
            <w:pPr>
              <w:spacing w:beforeLines="40" w:before="96" w:afterLines="40" w:after="96" w:line="24" w:lineRule="atLeast"/>
              <w:rPr>
                <w:rFonts w:ascii="Times New Roman" w:eastAsiaTheme="minorEastAsia" w:hAnsi="Times New Roman" w:cs="Times New Roman"/>
                <w:sz w:val="18"/>
                <w:szCs w:val="18"/>
                <w:lang w:val="en-AU" w:eastAsia="zh-CN"/>
              </w:rPr>
            </w:pPr>
            <w:r w:rsidRPr="003950FE">
              <w:rPr>
                <w:rFonts w:ascii="Times New Roman" w:eastAsiaTheme="minorEastAsia" w:hAnsi="Times New Roman" w:cs="Times New Roman"/>
                <w:sz w:val="18"/>
                <w:szCs w:val="18"/>
                <w:lang w:val="en-AU" w:eastAsia="zh-CN"/>
              </w:rPr>
              <w:t>Genetic and mechanistic overlap between Alzheimer’s disease and myasthenia gravis: insights into neuro-immune crosstalk</w:t>
            </w:r>
          </w:p>
          <w:p w14:paraId="55BC4E64" w14:textId="43E59E03" w:rsidR="00942FD0" w:rsidRPr="009A0040" w:rsidRDefault="003049F1" w:rsidP="00BE2BCF">
            <w:pPr>
              <w:spacing w:beforeLines="40" w:before="96" w:afterLines="40" w:after="96" w:line="24" w:lineRule="atLeast"/>
              <w:rPr>
                <w:rFonts w:ascii="Times New Roman" w:eastAsiaTheme="minorEastAsia" w:hAnsi="Times New Roman" w:cs="Times New Roman"/>
                <w:b/>
                <w:bCs/>
                <w:sz w:val="18"/>
                <w:szCs w:val="18"/>
                <w:lang w:eastAsia="zh-CN"/>
              </w:rPr>
            </w:pPr>
            <w:r w:rsidRPr="009A0040">
              <w:rPr>
                <w:rFonts w:ascii="Times New Roman" w:eastAsiaTheme="minorEastAsia" w:hAnsi="Times New Roman" w:cs="Times New Roman"/>
                <w:b/>
                <w:bCs/>
                <w:sz w:val="18"/>
                <w:szCs w:val="18"/>
                <w:lang w:eastAsia="zh-CN"/>
              </w:rPr>
              <w:t>Abstract:</w:t>
            </w:r>
          </w:p>
          <w:p w14:paraId="1A8FBF73" w14:textId="514AE7DA" w:rsidR="003049F1" w:rsidRPr="007B692D" w:rsidRDefault="0007009F" w:rsidP="00BE2BCF">
            <w:pPr>
              <w:spacing w:beforeLines="40" w:before="96" w:afterLines="40" w:after="96" w:line="24" w:lineRule="atLeast"/>
              <w:rPr>
                <w:rFonts w:ascii="Times New Roman" w:eastAsiaTheme="minorEastAsia" w:hAnsi="Times New Roman" w:cs="Times New Roman"/>
                <w:sz w:val="18"/>
                <w:szCs w:val="18"/>
                <w:lang w:val="en-AU" w:eastAsia="zh-CN"/>
              </w:rPr>
            </w:pPr>
            <w:r>
              <w:rPr>
                <w:rFonts w:ascii="Calibri" w:hAnsi="Calibri" w:cs="Calibri"/>
                <w:sz w:val="18"/>
                <w:szCs w:val="18"/>
              </w:rPr>
              <w:t xml:space="preserve">‘… </w:t>
            </w:r>
            <w:r w:rsidR="007B692D" w:rsidRPr="007B692D">
              <w:rPr>
                <w:rFonts w:ascii="Calibri" w:hAnsi="Calibri" w:cs="Calibri"/>
                <w:sz w:val="18"/>
                <w:szCs w:val="18"/>
              </w:rPr>
              <w:t xml:space="preserve">Mendelian </w:t>
            </w:r>
            <w:proofErr w:type="spellStart"/>
            <w:r w:rsidR="007B692D" w:rsidRPr="007B692D">
              <w:rPr>
                <w:rFonts w:ascii="Calibri" w:hAnsi="Calibri" w:cs="Calibri"/>
                <w:sz w:val="18"/>
                <w:szCs w:val="18"/>
              </w:rPr>
              <w:t>randomisation</w:t>
            </w:r>
            <w:proofErr w:type="spellEnd"/>
            <w:r w:rsidR="007B692D" w:rsidRPr="007B692D">
              <w:rPr>
                <w:rFonts w:ascii="Calibri" w:hAnsi="Calibri" w:cs="Calibri"/>
                <w:sz w:val="18"/>
                <w:szCs w:val="18"/>
              </w:rPr>
              <w:t xml:space="preserve"> suggests that genetic liability to MG modestly increases AD risk (not vice </w:t>
            </w:r>
            <w:proofErr w:type="gramStart"/>
            <w:r w:rsidR="007B692D" w:rsidRPr="007B692D">
              <w:rPr>
                <w:rFonts w:ascii="Calibri" w:hAnsi="Calibri" w:cs="Calibri"/>
                <w:sz w:val="18"/>
                <w:szCs w:val="18"/>
              </w:rPr>
              <w:t>versa)</w:t>
            </w:r>
            <w:r>
              <w:rPr>
                <w:rFonts w:ascii="Calibri" w:hAnsi="Calibri" w:cs="Calibri"/>
                <w:sz w:val="18"/>
                <w:szCs w:val="18"/>
              </w:rPr>
              <w:t>…</w:t>
            </w:r>
            <w:proofErr w:type="gramEnd"/>
            <w:r>
              <w:rPr>
                <w:rFonts w:ascii="Calibri" w:hAnsi="Calibri" w:cs="Calibri"/>
                <w:sz w:val="18"/>
                <w:szCs w:val="18"/>
              </w:rPr>
              <w:t>’</w:t>
            </w:r>
          </w:p>
        </w:tc>
        <w:tc>
          <w:tcPr>
            <w:tcW w:w="710" w:type="dxa"/>
          </w:tcPr>
          <w:p w14:paraId="2F6D1FAF" w14:textId="227EEA6F" w:rsidR="00942FD0" w:rsidRPr="00B430A0" w:rsidRDefault="00F2712A" w:rsidP="00BB5C96">
            <w:pPr>
              <w:spacing w:beforeLines="40" w:before="96" w:afterLines="40" w:after="96" w:line="24" w:lineRule="atLeast"/>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2</w:t>
            </w:r>
          </w:p>
        </w:tc>
      </w:tr>
      <w:tr w:rsidR="00942FD0" w:rsidRPr="00B430A0" w14:paraId="641E6A58" w14:textId="3A4EC1CE" w:rsidTr="009F40F1">
        <w:tc>
          <w:tcPr>
            <w:tcW w:w="587" w:type="dxa"/>
          </w:tcPr>
          <w:p w14:paraId="4792BEFB" w14:textId="77777777" w:rsidR="00942FD0" w:rsidRPr="00B430A0" w:rsidRDefault="00942FD0" w:rsidP="00426603">
            <w:pPr>
              <w:spacing w:beforeLines="40" w:before="96" w:afterLines="40" w:after="96" w:line="24" w:lineRule="atLeast"/>
              <w:rPr>
                <w:rFonts w:ascii="Times New Roman" w:eastAsia="Times New Roman" w:hAnsi="Times New Roman" w:cs="Times New Roman"/>
                <w:b/>
                <w:bCs/>
                <w:sz w:val="18"/>
                <w:szCs w:val="18"/>
                <w:lang w:val="en-GB" w:eastAsia="en-GB"/>
              </w:rPr>
            </w:pPr>
          </w:p>
        </w:tc>
        <w:tc>
          <w:tcPr>
            <w:tcW w:w="968" w:type="dxa"/>
          </w:tcPr>
          <w:p w14:paraId="63B58F01" w14:textId="77777777" w:rsidR="00942FD0" w:rsidRPr="00B430A0" w:rsidRDefault="00942FD0" w:rsidP="00426603">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INTRODUCTION</w:t>
            </w:r>
          </w:p>
        </w:tc>
        <w:tc>
          <w:tcPr>
            <w:tcW w:w="2126" w:type="dxa"/>
          </w:tcPr>
          <w:p w14:paraId="473C01D0" w14:textId="77777777" w:rsidR="00942FD0" w:rsidRPr="00B430A0" w:rsidRDefault="00942FD0" w:rsidP="00426603">
            <w:pPr>
              <w:spacing w:beforeLines="40" w:before="96" w:afterLines="40" w:after="96" w:line="24" w:lineRule="atLeast"/>
              <w:rPr>
                <w:rFonts w:ascii="Times New Roman" w:eastAsia="Cambria" w:hAnsi="Times New Roman" w:cs="Times New Roman"/>
                <w:sz w:val="18"/>
                <w:szCs w:val="18"/>
                <w:lang w:val="en-GB" w:eastAsia="en-US"/>
              </w:rPr>
            </w:pPr>
          </w:p>
        </w:tc>
        <w:tc>
          <w:tcPr>
            <w:tcW w:w="4678" w:type="dxa"/>
          </w:tcPr>
          <w:p w14:paraId="6681F500" w14:textId="77777777" w:rsidR="00942FD0" w:rsidRPr="00B430A0" w:rsidRDefault="00942FD0" w:rsidP="00426603">
            <w:pPr>
              <w:spacing w:beforeLines="40" w:before="96" w:afterLines="40" w:after="96" w:line="24" w:lineRule="atLeast"/>
              <w:rPr>
                <w:rFonts w:ascii="Times New Roman" w:eastAsia="Cambria" w:hAnsi="Times New Roman" w:cs="Times New Roman"/>
                <w:sz w:val="18"/>
                <w:szCs w:val="18"/>
                <w:lang w:val="en-GB" w:eastAsia="en-US"/>
              </w:rPr>
            </w:pPr>
          </w:p>
        </w:tc>
        <w:tc>
          <w:tcPr>
            <w:tcW w:w="5528" w:type="dxa"/>
          </w:tcPr>
          <w:p w14:paraId="41D4DCF2" w14:textId="77777777" w:rsidR="00942FD0" w:rsidRPr="00B430A0" w:rsidRDefault="00942FD0" w:rsidP="00426603">
            <w:pPr>
              <w:spacing w:beforeLines="40" w:before="96" w:afterLines="40" w:after="96" w:line="24" w:lineRule="atLeast"/>
              <w:rPr>
                <w:rFonts w:ascii="Times New Roman" w:eastAsia="Cambria" w:hAnsi="Times New Roman" w:cs="Times New Roman"/>
                <w:sz w:val="18"/>
                <w:szCs w:val="18"/>
                <w:lang w:val="en-GB" w:eastAsia="en-US"/>
              </w:rPr>
            </w:pPr>
          </w:p>
        </w:tc>
        <w:tc>
          <w:tcPr>
            <w:tcW w:w="710" w:type="dxa"/>
          </w:tcPr>
          <w:p w14:paraId="7A6DC6E9" w14:textId="3CDE93B2" w:rsidR="00942FD0" w:rsidRPr="00B430A0" w:rsidRDefault="00942FD0" w:rsidP="00426603">
            <w:pPr>
              <w:spacing w:beforeLines="40" w:before="96" w:afterLines="40" w:after="96" w:line="24" w:lineRule="atLeast"/>
              <w:rPr>
                <w:rFonts w:ascii="Times New Roman" w:eastAsia="Cambria" w:hAnsi="Times New Roman" w:cs="Times New Roman"/>
                <w:sz w:val="18"/>
                <w:szCs w:val="18"/>
                <w:lang w:val="en-GB" w:eastAsia="en-US"/>
              </w:rPr>
            </w:pPr>
          </w:p>
        </w:tc>
      </w:tr>
      <w:tr w:rsidR="00942FD0" w:rsidRPr="00B430A0" w14:paraId="7DB622D8" w14:textId="3921B7E8" w:rsidTr="009F40F1">
        <w:tc>
          <w:tcPr>
            <w:tcW w:w="587" w:type="dxa"/>
          </w:tcPr>
          <w:p w14:paraId="7DE28D61" w14:textId="77777777" w:rsidR="00942FD0" w:rsidRPr="00B430A0" w:rsidRDefault="00942FD0" w:rsidP="00B430A0">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2</w:t>
            </w:r>
          </w:p>
        </w:tc>
        <w:tc>
          <w:tcPr>
            <w:tcW w:w="968" w:type="dxa"/>
          </w:tcPr>
          <w:p w14:paraId="7756B327" w14:textId="77777777" w:rsidR="00942FD0" w:rsidRPr="00B430A0" w:rsidRDefault="00942FD0" w:rsidP="00B430A0">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b/>
                <w:bCs/>
                <w:sz w:val="18"/>
                <w:szCs w:val="18"/>
                <w:lang w:val="en-GB" w:eastAsia="en-GB"/>
              </w:rPr>
              <w:t>Background</w:t>
            </w:r>
          </w:p>
        </w:tc>
        <w:tc>
          <w:tcPr>
            <w:tcW w:w="2126" w:type="dxa"/>
          </w:tcPr>
          <w:p w14:paraId="5423D52E" w14:textId="5998ED56" w:rsidR="00942FD0" w:rsidRPr="00B430A0" w:rsidRDefault="00942FD0" w:rsidP="00B430A0">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Explain the scientific background and rationale for the reported study. What is the exposure? Is a potential causal relationship between exposure and outcome plausible? Justify why MR is a helpful method to address the study question</w:t>
            </w:r>
          </w:p>
        </w:tc>
        <w:tc>
          <w:tcPr>
            <w:tcW w:w="4678" w:type="dxa"/>
          </w:tcPr>
          <w:p w14:paraId="0F01B613" w14:textId="77777777" w:rsidR="001C5A27" w:rsidRPr="001C5A27" w:rsidRDefault="001C5A27" w:rsidP="001C5A27">
            <w:pPr>
              <w:spacing w:beforeLines="40" w:before="96" w:afterLines="40" w:after="96" w:line="24" w:lineRule="atLeast"/>
              <w:rPr>
                <w:rFonts w:ascii="Times New Roman" w:eastAsiaTheme="minorEastAsia" w:hAnsi="Times New Roman" w:cs="Times New Roman"/>
                <w:sz w:val="18"/>
                <w:szCs w:val="18"/>
                <w:lang w:val="en-AU" w:eastAsia="zh-CN"/>
              </w:rPr>
            </w:pPr>
            <w:r w:rsidRPr="001C5A27">
              <w:rPr>
                <w:rFonts w:ascii="Times New Roman" w:eastAsiaTheme="minorEastAsia" w:hAnsi="Times New Roman" w:cs="Times New Roman"/>
                <w:b/>
                <w:bCs/>
                <w:sz w:val="18"/>
                <w:szCs w:val="18"/>
                <w:lang w:val="en-AU" w:eastAsia="zh-CN"/>
              </w:rPr>
              <w:t>Scientific background and rationale:</w:t>
            </w:r>
            <w:r w:rsidRPr="001C5A27">
              <w:rPr>
                <w:rFonts w:ascii="Times New Roman" w:eastAsiaTheme="minorEastAsia" w:hAnsi="Times New Roman" w:cs="Times New Roman"/>
                <w:sz w:val="18"/>
                <w:szCs w:val="18"/>
                <w:lang w:val="en-AU" w:eastAsia="zh-CN"/>
              </w:rPr>
              <w:br/>
              <w:t>Alzheimer’s disease (AD) and myasthenia gravis (MG) are distinct neurological and autoimmune disorders, respectively, yet both involve cholinergic dysfunction and immune dysregulation. AD is characterised by degeneration of cholinergic neurons, neuroinflammation, and progressive cognitive decline, while MG arises from autoantibody-mediated disruption of acetylcholine receptors at the neuromuscular junction. Given that nicotinic receptors are also expressed in the brain, MG-related autoimmunity may influence central cholinergic tone. Observational studies have suggested an association between MG and AD, but results remain inconsistent due to confounding and reverse causation.</w:t>
            </w:r>
          </w:p>
          <w:p w14:paraId="4FB2ACA0" w14:textId="77777777" w:rsidR="001C5A27" w:rsidRPr="001C5A27" w:rsidRDefault="001C5A27" w:rsidP="001C5A27">
            <w:pPr>
              <w:spacing w:beforeLines="40" w:before="96" w:afterLines="40" w:after="96" w:line="24" w:lineRule="atLeast"/>
              <w:rPr>
                <w:rFonts w:ascii="Times New Roman" w:eastAsiaTheme="minorEastAsia" w:hAnsi="Times New Roman" w:cs="Times New Roman"/>
                <w:sz w:val="18"/>
                <w:szCs w:val="18"/>
                <w:lang w:val="en-AU" w:eastAsia="zh-CN"/>
              </w:rPr>
            </w:pPr>
            <w:r w:rsidRPr="001C5A27">
              <w:rPr>
                <w:rFonts w:ascii="Times New Roman" w:eastAsiaTheme="minorEastAsia" w:hAnsi="Times New Roman" w:cs="Times New Roman"/>
                <w:b/>
                <w:bCs/>
                <w:sz w:val="18"/>
                <w:szCs w:val="18"/>
                <w:lang w:val="en-AU" w:eastAsia="zh-CN"/>
              </w:rPr>
              <w:t>Exposure and plausibility of causal relationship:</w:t>
            </w:r>
            <w:r w:rsidRPr="001C5A27">
              <w:rPr>
                <w:rFonts w:ascii="Times New Roman" w:eastAsiaTheme="minorEastAsia" w:hAnsi="Times New Roman" w:cs="Times New Roman"/>
                <w:sz w:val="18"/>
                <w:szCs w:val="18"/>
                <w:lang w:val="en-AU" w:eastAsia="zh-CN"/>
              </w:rPr>
              <w:br/>
              <w:t>We examined bidirectional relationships between genetic liability to MG and AD. A causal association is biologically plausible due to shared cholinergic, immune, and inflammatory pathways contributing to both disorders.</w:t>
            </w:r>
          </w:p>
          <w:p w14:paraId="460FB29C" w14:textId="3969F751" w:rsidR="00D36CD2" w:rsidRPr="00DE1A0C" w:rsidRDefault="001C5A27" w:rsidP="00B430A0">
            <w:pPr>
              <w:spacing w:beforeLines="40" w:before="96" w:afterLines="40" w:after="96" w:line="24" w:lineRule="atLeast"/>
              <w:rPr>
                <w:rFonts w:ascii="Times New Roman" w:eastAsiaTheme="minorEastAsia" w:hAnsi="Times New Roman" w:cs="Times New Roman"/>
                <w:sz w:val="18"/>
                <w:szCs w:val="18"/>
                <w:lang w:val="en-AU" w:eastAsia="zh-CN"/>
              </w:rPr>
            </w:pPr>
            <w:r w:rsidRPr="001C5A27">
              <w:rPr>
                <w:rFonts w:ascii="Times New Roman" w:eastAsiaTheme="minorEastAsia" w:hAnsi="Times New Roman" w:cs="Times New Roman"/>
                <w:b/>
                <w:bCs/>
                <w:sz w:val="18"/>
                <w:szCs w:val="18"/>
                <w:lang w:val="en-AU" w:eastAsia="zh-CN"/>
              </w:rPr>
              <w:t>Justification for MR:</w:t>
            </w:r>
            <w:r w:rsidRPr="001C5A27">
              <w:rPr>
                <w:rFonts w:ascii="Times New Roman" w:eastAsiaTheme="minorEastAsia" w:hAnsi="Times New Roman" w:cs="Times New Roman"/>
                <w:sz w:val="18"/>
                <w:szCs w:val="18"/>
                <w:lang w:val="en-AU" w:eastAsia="zh-CN"/>
              </w:rPr>
              <w:br/>
              <w:t>MR was employed bidirectionally to test whether genetic liability to one disorder causally influences the other. This approach leverages genetic variants as unconfounded proxies for exposures, reducing bias from confounding and reverse causation inherent to observational studies, and providing robust evidence for potential causal pathways.</w:t>
            </w:r>
          </w:p>
        </w:tc>
        <w:tc>
          <w:tcPr>
            <w:tcW w:w="5528" w:type="dxa"/>
          </w:tcPr>
          <w:p w14:paraId="632EB7D1" w14:textId="566A2E61" w:rsidR="0028425E" w:rsidRDefault="0082706E" w:rsidP="0028425E">
            <w:pPr>
              <w:spacing w:line="240" w:lineRule="auto"/>
              <w:jc w:val="both"/>
              <w:rPr>
                <w:rFonts w:ascii="Times New Roman" w:eastAsia="Calibri" w:hAnsi="Times New Roman" w:cs="Times New Roman"/>
                <w:kern w:val="2"/>
                <w:sz w:val="18"/>
                <w:szCs w:val="18"/>
                <w:lang w:val="en-AU" w:eastAsia="en-US"/>
                <w14:ligatures w14:val="standardContextual"/>
              </w:rPr>
            </w:pPr>
            <w:r>
              <w:rPr>
                <w:rFonts w:ascii="Times New Roman" w:eastAsia="Calibri" w:hAnsi="Times New Roman" w:cs="Times New Roman"/>
                <w:kern w:val="2"/>
                <w:sz w:val="18"/>
                <w:szCs w:val="18"/>
                <w:lang w:val="en-AU" w:eastAsia="en-US"/>
                <w14:ligatures w14:val="standardContextual"/>
              </w:rPr>
              <w:t>‘</w:t>
            </w:r>
            <w:r w:rsidR="0028425E" w:rsidRPr="0028425E">
              <w:rPr>
                <w:rFonts w:ascii="Times New Roman" w:eastAsia="Calibri" w:hAnsi="Times New Roman" w:cs="Times New Roman"/>
                <w:kern w:val="2"/>
                <w:sz w:val="18"/>
                <w:szCs w:val="18"/>
                <w:lang w:val="en-AU" w:eastAsia="en-US"/>
                <w14:ligatures w14:val="standardContextual"/>
              </w:rPr>
              <w:t>However, evidence for a potential link between AD and MG remains limited and inconclusive, highlighting an important knowledge gap.</w:t>
            </w:r>
            <w:r>
              <w:rPr>
                <w:rFonts w:ascii="Times New Roman" w:eastAsia="Calibri" w:hAnsi="Times New Roman" w:cs="Times New Roman"/>
                <w:kern w:val="2"/>
                <w:sz w:val="18"/>
                <w:szCs w:val="18"/>
                <w:lang w:val="en-AU" w:eastAsia="en-US"/>
                <w14:ligatures w14:val="standardContextual"/>
              </w:rPr>
              <w:t>’</w:t>
            </w:r>
          </w:p>
          <w:p w14:paraId="63B458BD" w14:textId="77777777" w:rsidR="0082706E" w:rsidRPr="0028425E" w:rsidRDefault="0082706E" w:rsidP="0028425E">
            <w:pPr>
              <w:spacing w:line="240" w:lineRule="auto"/>
              <w:jc w:val="both"/>
              <w:rPr>
                <w:rFonts w:ascii="Times New Roman" w:eastAsia="Calibri" w:hAnsi="Times New Roman" w:cs="Times New Roman"/>
                <w:kern w:val="2"/>
                <w:sz w:val="18"/>
                <w:szCs w:val="18"/>
                <w:lang w:val="en-AU" w:eastAsia="en-US"/>
                <w14:ligatures w14:val="standardContextual"/>
              </w:rPr>
            </w:pPr>
          </w:p>
          <w:p w14:paraId="124EB54E" w14:textId="061AB46F" w:rsidR="0028425E" w:rsidRDefault="0082706E" w:rsidP="0028425E">
            <w:pPr>
              <w:spacing w:line="240" w:lineRule="auto"/>
              <w:jc w:val="both"/>
              <w:rPr>
                <w:rFonts w:ascii="Times New Roman" w:eastAsia="Calibri" w:hAnsi="Times New Roman" w:cs="Times New Roman"/>
                <w:kern w:val="2"/>
                <w:sz w:val="18"/>
                <w:szCs w:val="18"/>
                <w:lang w:val="en-AU" w:eastAsia="en-US"/>
                <w14:ligatures w14:val="standardContextual"/>
              </w:rPr>
            </w:pPr>
            <w:r>
              <w:rPr>
                <w:rFonts w:ascii="Times New Roman" w:eastAsia="Calibri" w:hAnsi="Times New Roman" w:cs="Times New Roman"/>
                <w:kern w:val="2"/>
                <w:sz w:val="18"/>
                <w:szCs w:val="18"/>
                <w:lang w:val="en-AU" w:eastAsia="en-US"/>
                <w14:ligatures w14:val="standardContextual"/>
              </w:rPr>
              <w:t>‘</w:t>
            </w:r>
            <w:r w:rsidR="0028425E" w:rsidRPr="0028425E">
              <w:rPr>
                <w:rFonts w:ascii="Times New Roman" w:eastAsia="Calibri" w:hAnsi="Times New Roman" w:cs="Times New Roman"/>
                <w:kern w:val="2"/>
                <w:sz w:val="18"/>
                <w:szCs w:val="18"/>
                <w:lang w:val="en-AU" w:eastAsia="en-US"/>
                <w14:ligatures w14:val="standardContextual"/>
              </w:rPr>
              <w:t>In practice, cognitive deficits in MG may arise from multiple factors, such as chronic illness, steroid therapy, and depression, which may confound a possible MG–AD link.</w:t>
            </w:r>
            <w:r>
              <w:rPr>
                <w:rFonts w:ascii="Times New Roman" w:eastAsia="Calibri" w:hAnsi="Times New Roman" w:cs="Times New Roman"/>
                <w:kern w:val="2"/>
                <w:sz w:val="18"/>
                <w:szCs w:val="18"/>
                <w:lang w:val="en-AU" w:eastAsia="en-US"/>
                <w14:ligatures w14:val="standardContextual"/>
              </w:rPr>
              <w:t>’</w:t>
            </w:r>
          </w:p>
          <w:p w14:paraId="1C3BAB6F" w14:textId="77777777" w:rsidR="0082706E" w:rsidRPr="0028425E" w:rsidRDefault="0082706E" w:rsidP="0028425E">
            <w:pPr>
              <w:spacing w:line="240" w:lineRule="auto"/>
              <w:jc w:val="both"/>
              <w:rPr>
                <w:rFonts w:ascii="Times New Roman" w:eastAsia="Calibri" w:hAnsi="Times New Roman" w:cs="Times New Roman"/>
                <w:kern w:val="2"/>
                <w:sz w:val="18"/>
                <w:szCs w:val="18"/>
                <w:lang w:val="en-AU" w:eastAsia="en-US"/>
                <w14:ligatures w14:val="standardContextual"/>
              </w:rPr>
            </w:pPr>
          </w:p>
          <w:p w14:paraId="708E25C8" w14:textId="7030E49B" w:rsidR="0028425E" w:rsidRDefault="0082706E" w:rsidP="0028425E">
            <w:pPr>
              <w:spacing w:line="240" w:lineRule="auto"/>
              <w:jc w:val="both"/>
              <w:rPr>
                <w:rFonts w:ascii="Times New Roman" w:eastAsia="Calibri" w:hAnsi="Times New Roman" w:cs="Times New Roman"/>
                <w:kern w:val="2"/>
                <w:sz w:val="18"/>
                <w:szCs w:val="18"/>
                <w:lang w:val="en-AU" w:eastAsia="en-US"/>
                <w14:ligatures w14:val="standardContextual"/>
              </w:rPr>
            </w:pPr>
            <w:r>
              <w:rPr>
                <w:rFonts w:ascii="Times New Roman" w:eastAsia="Calibri" w:hAnsi="Times New Roman" w:cs="Times New Roman"/>
                <w:kern w:val="2"/>
                <w:sz w:val="18"/>
                <w:szCs w:val="18"/>
                <w:lang w:val="en-AU" w:eastAsia="en-US"/>
                <w14:ligatures w14:val="standardContextual"/>
              </w:rPr>
              <w:t>‘</w:t>
            </w:r>
            <w:r w:rsidR="0028425E" w:rsidRPr="0028425E">
              <w:rPr>
                <w:rFonts w:ascii="Times New Roman" w:eastAsia="Calibri" w:hAnsi="Times New Roman" w:cs="Times New Roman"/>
                <w:kern w:val="2"/>
                <w:sz w:val="18"/>
                <w:szCs w:val="18"/>
                <w:lang w:val="en-AU" w:eastAsia="en-US"/>
                <w14:ligatures w14:val="standardContextual"/>
              </w:rPr>
              <w:t>Notably, Mendelian randomisation (MR) analyses of autoimmune liability (MG not included) and AD risk have generally found no strong causal effect, with only multiple sclerosis showing a possible positive association. Thus, existing evidence to date is inconclusive on the potential relationship of AD with MG.</w:t>
            </w:r>
            <w:r>
              <w:rPr>
                <w:rFonts w:ascii="Times New Roman" w:eastAsia="Calibri" w:hAnsi="Times New Roman" w:cs="Times New Roman"/>
                <w:kern w:val="2"/>
                <w:sz w:val="18"/>
                <w:szCs w:val="18"/>
                <w:lang w:val="en-AU" w:eastAsia="en-US"/>
                <w14:ligatures w14:val="standardContextual"/>
              </w:rPr>
              <w:t>’</w:t>
            </w:r>
          </w:p>
          <w:p w14:paraId="22BC27FE" w14:textId="77777777" w:rsidR="0082706E" w:rsidRPr="0028425E" w:rsidRDefault="0082706E" w:rsidP="0028425E">
            <w:pPr>
              <w:spacing w:line="240" w:lineRule="auto"/>
              <w:jc w:val="both"/>
              <w:rPr>
                <w:rFonts w:ascii="Times New Roman" w:eastAsia="Calibri" w:hAnsi="Times New Roman" w:cs="Times New Roman"/>
                <w:kern w:val="2"/>
                <w:sz w:val="18"/>
                <w:szCs w:val="18"/>
                <w:lang w:val="en-AU" w:eastAsia="en-US"/>
                <w14:ligatures w14:val="standardContextual"/>
              </w:rPr>
            </w:pPr>
          </w:p>
          <w:p w14:paraId="184C6F8E" w14:textId="669F9B3F" w:rsidR="0028425E" w:rsidRPr="0028425E" w:rsidRDefault="0082706E" w:rsidP="0028425E">
            <w:pPr>
              <w:spacing w:line="240" w:lineRule="auto"/>
              <w:jc w:val="both"/>
              <w:rPr>
                <w:rFonts w:ascii="Times New Roman" w:eastAsia="Calibri" w:hAnsi="Times New Roman" w:cs="Times New Roman"/>
                <w:kern w:val="2"/>
                <w:sz w:val="18"/>
                <w:szCs w:val="18"/>
                <w:lang w:val="en-AU" w:eastAsia="en-US"/>
                <w14:ligatures w14:val="standardContextual"/>
              </w:rPr>
            </w:pPr>
            <w:r>
              <w:rPr>
                <w:rFonts w:ascii="Times New Roman" w:eastAsia="Calibri" w:hAnsi="Times New Roman" w:cs="Times New Roman"/>
                <w:kern w:val="2"/>
                <w:sz w:val="18"/>
                <w:szCs w:val="18"/>
                <w:lang w:val="en-AU" w:eastAsia="en-US"/>
                <w14:ligatures w14:val="standardContextual"/>
              </w:rPr>
              <w:t>‘</w:t>
            </w:r>
            <w:r w:rsidR="0028425E" w:rsidRPr="0028425E">
              <w:rPr>
                <w:rFonts w:ascii="Times New Roman" w:eastAsia="Calibri" w:hAnsi="Times New Roman" w:cs="Times New Roman"/>
                <w:kern w:val="2"/>
                <w:sz w:val="18"/>
                <w:szCs w:val="18"/>
                <w:lang w:val="en-AU" w:eastAsia="en-US"/>
                <w14:ligatures w14:val="standardContextual"/>
              </w:rPr>
              <w:t>Given these uncertainties, integrative genomic analyses offer a powerful framework for exploring causal relationships and shared molecular mechanisms across complex disorders… Unlike traditional observational studies, this approach is less susceptible to confounding influences, reverse causation, and measurement bias.</w:t>
            </w:r>
            <w:r>
              <w:rPr>
                <w:rFonts w:ascii="Times New Roman" w:eastAsia="Calibri" w:hAnsi="Times New Roman" w:cs="Times New Roman"/>
                <w:kern w:val="2"/>
                <w:sz w:val="18"/>
                <w:szCs w:val="18"/>
                <w:lang w:val="en-AU" w:eastAsia="en-US"/>
                <w14:ligatures w14:val="standardContextual"/>
              </w:rPr>
              <w:t>’</w:t>
            </w:r>
          </w:p>
          <w:p w14:paraId="5A7F2F77" w14:textId="0A686D1D" w:rsidR="00942FD0" w:rsidRPr="00B430A0" w:rsidRDefault="00942FD0" w:rsidP="00D34FAD">
            <w:pPr>
              <w:spacing w:line="240" w:lineRule="auto"/>
              <w:jc w:val="both"/>
              <w:rPr>
                <w:rFonts w:ascii="Times New Roman" w:eastAsia="Calibri" w:hAnsi="Times New Roman" w:cs="Times New Roman"/>
                <w:kern w:val="2"/>
                <w:sz w:val="18"/>
                <w:szCs w:val="18"/>
                <w:lang w:val="en-AU" w:eastAsia="en-US"/>
                <w14:ligatures w14:val="standardContextual"/>
              </w:rPr>
            </w:pPr>
          </w:p>
        </w:tc>
        <w:tc>
          <w:tcPr>
            <w:tcW w:w="710" w:type="dxa"/>
          </w:tcPr>
          <w:p w14:paraId="5D990A22" w14:textId="7388F2A5" w:rsidR="00942FD0" w:rsidRPr="00B430A0" w:rsidRDefault="00F2712A" w:rsidP="00B430A0">
            <w:pPr>
              <w:spacing w:beforeLines="40" w:before="96" w:afterLines="40" w:after="96" w:line="24" w:lineRule="atLeast"/>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3</w:t>
            </w:r>
            <w:r w:rsidR="00581378">
              <w:rPr>
                <w:rFonts w:ascii="Times New Roman" w:eastAsiaTheme="minorEastAsia" w:hAnsi="Times New Roman" w:cs="Times New Roman"/>
                <w:sz w:val="18"/>
                <w:szCs w:val="18"/>
                <w:lang w:eastAsia="zh-CN"/>
              </w:rPr>
              <w:t xml:space="preserve"> – </w:t>
            </w:r>
            <w:r>
              <w:rPr>
                <w:rFonts w:ascii="Times New Roman" w:eastAsiaTheme="minorEastAsia" w:hAnsi="Times New Roman" w:cs="Times New Roman"/>
                <w:sz w:val="18"/>
                <w:szCs w:val="18"/>
                <w:lang w:eastAsia="zh-CN"/>
              </w:rPr>
              <w:t>4</w:t>
            </w:r>
          </w:p>
        </w:tc>
      </w:tr>
      <w:tr w:rsidR="00942FD0" w:rsidRPr="00B430A0" w14:paraId="7907A3D3" w14:textId="5AB948A7" w:rsidTr="000010D9">
        <w:tc>
          <w:tcPr>
            <w:tcW w:w="587" w:type="dxa"/>
          </w:tcPr>
          <w:p w14:paraId="4F63B034" w14:textId="77777777" w:rsidR="00942FD0" w:rsidRPr="00B430A0" w:rsidRDefault="00942FD0" w:rsidP="00426603">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lastRenderedPageBreak/>
              <w:t>3</w:t>
            </w:r>
          </w:p>
        </w:tc>
        <w:tc>
          <w:tcPr>
            <w:tcW w:w="968" w:type="dxa"/>
          </w:tcPr>
          <w:p w14:paraId="3E6B9EEC" w14:textId="77777777" w:rsidR="00942FD0" w:rsidRPr="00B430A0" w:rsidRDefault="00942FD0" w:rsidP="00426603">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b/>
                <w:bCs/>
                <w:sz w:val="18"/>
                <w:szCs w:val="18"/>
                <w:lang w:val="en-GB" w:eastAsia="en-GB"/>
              </w:rPr>
              <w:t>Objectives</w:t>
            </w:r>
          </w:p>
        </w:tc>
        <w:tc>
          <w:tcPr>
            <w:tcW w:w="2126" w:type="dxa"/>
          </w:tcPr>
          <w:p w14:paraId="41BC8A04" w14:textId="77777777" w:rsidR="00942FD0" w:rsidRPr="00B430A0" w:rsidRDefault="00942FD0" w:rsidP="00426603">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4678" w:type="dxa"/>
          </w:tcPr>
          <w:p w14:paraId="3DA3117A" w14:textId="21F0E20A" w:rsidR="00A1042F" w:rsidRDefault="0096383F" w:rsidP="00426603">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We stated the objective clearly</w:t>
            </w:r>
            <w:r w:rsidR="003F704C">
              <w:rPr>
                <w:rFonts w:ascii="Times New Roman" w:eastAsiaTheme="minorEastAsia" w:hAnsi="Times New Roman" w:cs="Times New Roman"/>
                <w:sz w:val="18"/>
                <w:szCs w:val="18"/>
                <w:lang w:val="en-GB" w:eastAsia="zh-CN"/>
              </w:rPr>
              <w:t xml:space="preserve"> for our study and indicated MR where appropriate.</w:t>
            </w:r>
            <w:r>
              <w:rPr>
                <w:rFonts w:ascii="Times New Roman" w:eastAsiaTheme="minorEastAsia" w:hAnsi="Times New Roman" w:cs="Times New Roman"/>
                <w:sz w:val="18"/>
                <w:szCs w:val="18"/>
                <w:lang w:val="en-GB" w:eastAsia="zh-CN"/>
              </w:rPr>
              <w:t xml:space="preserve"> </w:t>
            </w:r>
          </w:p>
          <w:p w14:paraId="2294F6C5" w14:textId="79F6CD1A" w:rsidR="00942FD0" w:rsidRPr="00B430A0" w:rsidRDefault="00D76712" w:rsidP="00426603">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Also, we indicated that MR</w:t>
            </w:r>
            <w:r w:rsidR="00AE4607">
              <w:rPr>
                <w:rFonts w:ascii="Times New Roman" w:eastAsiaTheme="minorEastAsia" w:hAnsi="Times New Roman" w:cs="Times New Roman"/>
                <w:sz w:val="18"/>
                <w:szCs w:val="18"/>
                <w:lang w:val="en-GB" w:eastAsia="zh-CN"/>
              </w:rPr>
              <w:t>,</w:t>
            </w:r>
            <w:r>
              <w:rPr>
                <w:rFonts w:ascii="Times New Roman" w:eastAsiaTheme="minorEastAsia" w:hAnsi="Times New Roman" w:cs="Times New Roman"/>
                <w:sz w:val="18"/>
                <w:szCs w:val="18"/>
                <w:lang w:val="en-GB" w:eastAsia="zh-CN"/>
              </w:rPr>
              <w:t xml:space="preserve"> </w:t>
            </w:r>
            <w:r w:rsidR="000B20CB">
              <w:rPr>
                <w:rFonts w:ascii="Times New Roman" w:eastAsiaTheme="minorEastAsia" w:hAnsi="Times New Roman" w:cs="Times New Roman"/>
                <w:sz w:val="18"/>
                <w:szCs w:val="18"/>
                <w:lang w:val="en-GB" w:eastAsia="zh-CN"/>
              </w:rPr>
              <w:t xml:space="preserve">as a part of </w:t>
            </w:r>
            <w:r w:rsidR="000B20CB" w:rsidRPr="00D36944">
              <w:rPr>
                <w:rFonts w:ascii="Times New Roman" w:eastAsiaTheme="minorEastAsia" w:hAnsi="Times New Roman" w:cs="Times New Roman"/>
                <w:sz w:val="18"/>
                <w:szCs w:val="18"/>
                <w:lang w:val="en-AU" w:eastAsia="zh-CN"/>
              </w:rPr>
              <w:t>a suite of integrative genomic approaches</w:t>
            </w:r>
            <w:r w:rsidR="00AE4607">
              <w:rPr>
                <w:rFonts w:ascii="Times New Roman" w:eastAsiaTheme="minorEastAsia" w:hAnsi="Times New Roman" w:cs="Times New Roman"/>
                <w:sz w:val="18"/>
                <w:szCs w:val="18"/>
                <w:lang w:val="en-AU" w:eastAsia="zh-CN"/>
              </w:rPr>
              <w:t>,</w:t>
            </w:r>
            <w:r w:rsidR="000B20CB">
              <w:rPr>
                <w:rFonts w:ascii="Times New Roman" w:eastAsiaTheme="minorEastAsia" w:hAnsi="Times New Roman" w:cs="Times New Roman"/>
                <w:sz w:val="18"/>
                <w:szCs w:val="18"/>
                <w:lang w:val="en-AU" w:eastAsia="zh-CN"/>
              </w:rPr>
              <w:t xml:space="preserve"> was used to </w:t>
            </w:r>
            <w:r w:rsidR="000B20CB" w:rsidRPr="00B430A0">
              <w:rPr>
                <w:rFonts w:ascii="Times New Roman" w:eastAsia="Times New Roman" w:hAnsi="Times New Roman" w:cs="Times New Roman"/>
                <w:sz w:val="18"/>
                <w:szCs w:val="18"/>
                <w:lang w:val="en-GB" w:eastAsia="en-GB"/>
              </w:rPr>
              <w:t>estimate causal effects</w:t>
            </w:r>
            <w:r w:rsidR="000B20CB">
              <w:rPr>
                <w:rFonts w:ascii="Times New Roman" w:eastAsiaTheme="minorEastAsia" w:hAnsi="Times New Roman" w:cs="Times New Roman"/>
                <w:sz w:val="18"/>
                <w:szCs w:val="18"/>
                <w:lang w:val="en-AU" w:eastAsia="zh-CN"/>
              </w:rPr>
              <w:t xml:space="preserve"> </w:t>
            </w:r>
            <w:r>
              <w:rPr>
                <w:rFonts w:ascii="Times New Roman" w:eastAsiaTheme="minorEastAsia" w:hAnsi="Times New Roman" w:cs="Times New Roman"/>
                <w:sz w:val="18"/>
                <w:szCs w:val="18"/>
                <w:lang w:val="en-GB" w:eastAsia="zh-CN"/>
              </w:rPr>
              <w:t>under specific assumptions</w:t>
            </w:r>
            <w:r w:rsidR="00DF56CE">
              <w:rPr>
                <w:rFonts w:ascii="Times New Roman" w:eastAsiaTheme="minorEastAsia" w:hAnsi="Times New Roman" w:cs="Times New Roman"/>
                <w:sz w:val="18"/>
                <w:szCs w:val="18"/>
                <w:lang w:val="en-GB" w:eastAsia="zh-CN"/>
              </w:rPr>
              <w:t xml:space="preserve"> (made clearer under MR analysis sub-section)</w:t>
            </w:r>
          </w:p>
        </w:tc>
        <w:tc>
          <w:tcPr>
            <w:tcW w:w="5528" w:type="dxa"/>
          </w:tcPr>
          <w:p w14:paraId="36C31B22" w14:textId="49775D28" w:rsidR="00FB6FCD" w:rsidRPr="00B47C87" w:rsidRDefault="00B47C87" w:rsidP="00B47C87">
            <w:pPr>
              <w:pStyle w:val="ListParagraph"/>
              <w:numPr>
                <w:ilvl w:val="0"/>
                <w:numId w:val="4"/>
              </w:num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AU" w:eastAsia="en-GB"/>
              </w:rPr>
              <w:t>‘</w:t>
            </w:r>
            <w:r w:rsidR="00F65154" w:rsidRPr="00B47C87">
              <w:rPr>
                <w:rFonts w:ascii="Times New Roman" w:eastAsia="Times New Roman" w:hAnsi="Times New Roman" w:cs="Times New Roman"/>
                <w:sz w:val="18"/>
                <w:szCs w:val="18"/>
                <w:lang w:val="en-AU" w:eastAsia="en-GB"/>
              </w:rPr>
              <w:t>In this study, we adopt a systems genomics approach, integrating cross-</w:t>
            </w:r>
            <w:proofErr w:type="spellStart"/>
            <w:r w:rsidR="00F65154" w:rsidRPr="00B47C87">
              <w:rPr>
                <w:rFonts w:ascii="Times New Roman" w:eastAsia="Times New Roman" w:hAnsi="Times New Roman" w:cs="Times New Roman"/>
                <w:sz w:val="18"/>
                <w:szCs w:val="18"/>
                <w:lang w:val="en-AU" w:eastAsia="en-GB"/>
              </w:rPr>
              <w:t>trait</w:t>
            </w:r>
            <w:proofErr w:type="spellEnd"/>
            <w:r w:rsidR="00F65154" w:rsidRPr="00B47C87">
              <w:rPr>
                <w:rFonts w:ascii="Times New Roman" w:eastAsia="Times New Roman" w:hAnsi="Times New Roman" w:cs="Times New Roman"/>
                <w:sz w:val="18"/>
                <w:szCs w:val="18"/>
                <w:lang w:val="en-AU" w:eastAsia="en-GB"/>
              </w:rPr>
              <w:t xml:space="preserve"> correlation assessment (genome-wide and local), MR, GWAS meta-analysis, gene-level association testing, </w:t>
            </w:r>
            <w:proofErr w:type="spellStart"/>
            <w:r w:rsidR="00F65154" w:rsidRPr="00B47C87">
              <w:rPr>
                <w:rFonts w:ascii="Times New Roman" w:eastAsia="Times New Roman" w:hAnsi="Times New Roman" w:cs="Times New Roman"/>
                <w:sz w:val="18"/>
                <w:szCs w:val="18"/>
                <w:lang w:val="en-AU" w:eastAsia="en-GB"/>
              </w:rPr>
              <w:t>colocalisation</w:t>
            </w:r>
            <w:proofErr w:type="spellEnd"/>
            <w:r w:rsidR="00F65154" w:rsidRPr="00B47C87">
              <w:rPr>
                <w:rFonts w:ascii="Times New Roman" w:eastAsia="Times New Roman" w:hAnsi="Times New Roman" w:cs="Times New Roman"/>
                <w:sz w:val="18"/>
                <w:szCs w:val="18"/>
                <w:lang w:val="en-AU" w:eastAsia="en-GB"/>
              </w:rPr>
              <w:t>, and expression-informed causal inference, to investigate the extent of causal, shared genetic and transcriptomic architecture between AD and MG.</w:t>
            </w:r>
            <w:r>
              <w:rPr>
                <w:rFonts w:ascii="Times New Roman" w:eastAsia="Times New Roman" w:hAnsi="Times New Roman" w:cs="Times New Roman"/>
                <w:sz w:val="18"/>
                <w:szCs w:val="18"/>
                <w:lang w:val="en-AU" w:eastAsia="en-GB"/>
              </w:rPr>
              <w:t>’</w:t>
            </w:r>
          </w:p>
          <w:p w14:paraId="0EC951A8" w14:textId="77777777" w:rsidR="00B47C87" w:rsidRPr="00B47C87" w:rsidRDefault="00B47C87" w:rsidP="00B47C87">
            <w:pPr>
              <w:pStyle w:val="ListParagraph"/>
              <w:spacing w:beforeLines="40" w:before="96" w:afterLines="40" w:after="96" w:line="24" w:lineRule="atLeast"/>
              <w:rPr>
                <w:rFonts w:ascii="Times New Roman" w:eastAsia="Times New Roman" w:hAnsi="Times New Roman" w:cs="Times New Roman"/>
                <w:sz w:val="18"/>
                <w:szCs w:val="18"/>
                <w:lang w:eastAsia="en-GB"/>
              </w:rPr>
            </w:pPr>
          </w:p>
          <w:p w14:paraId="2C9839A4" w14:textId="5B1D8329" w:rsidR="00B47C87" w:rsidRPr="00B47C87" w:rsidRDefault="00B47C87" w:rsidP="00B47C87">
            <w:pPr>
              <w:pStyle w:val="ListParagraph"/>
              <w:numPr>
                <w:ilvl w:val="0"/>
                <w:numId w:val="4"/>
              </w:num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AU" w:eastAsia="en-GB"/>
              </w:rPr>
              <w:t>‘</w:t>
            </w:r>
            <w:r w:rsidRPr="00B47C87">
              <w:rPr>
                <w:rFonts w:ascii="Times New Roman" w:eastAsia="Times New Roman" w:hAnsi="Times New Roman" w:cs="Times New Roman"/>
                <w:sz w:val="18"/>
                <w:szCs w:val="18"/>
                <w:lang w:val="en-AU" w:eastAsia="en-GB"/>
              </w:rPr>
              <w:t xml:space="preserve">Fourth, we evaluated potential causal relationships between AD and MG using bidirectional MR analysis </w:t>
            </w:r>
            <w:r w:rsidRPr="00B47C87">
              <w:rPr>
                <w:rFonts w:ascii="Times New Roman" w:eastAsia="Times New Roman" w:hAnsi="Times New Roman" w:cs="Times New Roman"/>
                <w:sz w:val="18"/>
                <w:szCs w:val="18"/>
                <w:lang w:val="en-AU" w:eastAsia="en-GB"/>
              </w:rPr>
              <w:fldChar w:fldCharType="begin">
                <w:fldData xml:space="preserve">PEVuZE5vdGU+PENpdGU+PEF1dGhvcj5EYXZpZXM8L0F1dGhvcj48WWVhcj4yMDE4PC9ZZWFyPjxS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</w:fldData>
              </w:fldChar>
            </w:r>
            <w:r w:rsidR="00AB0D82">
              <w:rPr>
                <w:rFonts w:ascii="Times New Roman" w:eastAsia="Times New Roman" w:hAnsi="Times New Roman" w:cs="Times New Roman"/>
                <w:sz w:val="18"/>
                <w:szCs w:val="18"/>
                <w:lang w:val="en-AU" w:eastAsia="en-GB"/>
              </w:rPr>
              <w:instrText xml:space="preserve"> ADDIN EN.CITE </w:instrText>
            </w:r>
            <w:r w:rsidR="00AB0D82">
              <w:rPr>
                <w:rFonts w:ascii="Times New Roman" w:eastAsia="Times New Roman" w:hAnsi="Times New Roman" w:cs="Times New Roman"/>
                <w:sz w:val="18"/>
                <w:szCs w:val="18"/>
                <w:lang w:val="en-AU" w:eastAsia="en-GB"/>
              </w:rPr>
              <w:fldChar w:fldCharType="begin">
                <w:fldData xml:space="preserve">PEVuZE5vdGU+PENpdGU+PEF1dGhvcj5EYXZpZXM8L0F1dGhvcj48WWVhcj4yMDE4PC9ZZWFyPjxS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</w:fldData>
              </w:fldChar>
            </w:r>
            <w:r w:rsidR="00AB0D82">
              <w:rPr>
                <w:rFonts w:ascii="Times New Roman" w:eastAsia="Times New Roman" w:hAnsi="Times New Roman" w:cs="Times New Roman"/>
                <w:sz w:val="18"/>
                <w:szCs w:val="18"/>
                <w:lang w:val="en-AU" w:eastAsia="en-GB"/>
              </w:rPr>
              <w:instrText xml:space="preserve"> ADDIN EN.CITE.DATA </w:instrText>
            </w:r>
            <w:r w:rsidR="00AB0D82">
              <w:rPr>
                <w:rFonts w:ascii="Times New Roman" w:eastAsia="Times New Roman" w:hAnsi="Times New Roman" w:cs="Times New Roman"/>
                <w:sz w:val="18"/>
                <w:szCs w:val="18"/>
                <w:lang w:val="en-AU" w:eastAsia="en-GB"/>
              </w:rPr>
            </w:r>
            <w:r w:rsidR="00AB0D82">
              <w:rPr>
                <w:rFonts w:ascii="Times New Roman" w:eastAsia="Times New Roman" w:hAnsi="Times New Roman" w:cs="Times New Roman"/>
                <w:sz w:val="18"/>
                <w:szCs w:val="18"/>
                <w:lang w:val="en-AU" w:eastAsia="en-GB"/>
              </w:rPr>
              <w:fldChar w:fldCharType="end"/>
            </w:r>
            <w:r w:rsidRPr="00B47C87">
              <w:rPr>
                <w:rFonts w:ascii="Times New Roman" w:eastAsia="Times New Roman" w:hAnsi="Times New Roman" w:cs="Times New Roman"/>
                <w:sz w:val="18"/>
                <w:szCs w:val="18"/>
                <w:lang w:val="en-AU" w:eastAsia="en-GB"/>
              </w:rPr>
              <w:fldChar w:fldCharType="separate"/>
            </w:r>
            <w:r w:rsidR="00AB0D82" w:rsidRPr="00AB0D82">
              <w:rPr>
                <w:rFonts w:ascii="Times New Roman" w:eastAsia="Times New Roman" w:hAnsi="Times New Roman" w:cs="Times New Roman"/>
                <w:noProof/>
                <w:sz w:val="18"/>
                <w:szCs w:val="18"/>
                <w:vertAlign w:val="superscript"/>
                <w:lang w:val="en-AU" w:eastAsia="en-GB"/>
              </w:rPr>
              <w:t>3-6</w:t>
            </w:r>
            <w:r w:rsidRPr="00B47C87">
              <w:rPr>
                <w:rFonts w:ascii="Times New Roman" w:eastAsia="Times New Roman" w:hAnsi="Times New Roman" w:cs="Times New Roman"/>
                <w:sz w:val="18"/>
                <w:szCs w:val="18"/>
                <w:lang w:eastAsia="en-GB"/>
              </w:rPr>
              <w:fldChar w:fldCharType="end"/>
            </w:r>
            <w:r w:rsidRPr="00B47C87">
              <w:rPr>
                <w:rFonts w:ascii="Times New Roman" w:eastAsia="Times New Roman" w:hAnsi="Times New Roman" w:cs="Times New Roman"/>
                <w:sz w:val="18"/>
                <w:szCs w:val="18"/>
                <w:lang w:val="en-AU" w:eastAsia="en-GB"/>
              </w:rPr>
              <w:t>. This analysis included the implementation of several MR models to strengthen evidence, comprehensive sensitivity analyses to test the robustness of causal inferences, alongside assessments of horizontal pleiotropy and heterogeneity to ensure valid assumptions about the instrumental variables (IVs).</w:t>
            </w:r>
            <w:r>
              <w:rPr>
                <w:rFonts w:ascii="Times New Roman" w:eastAsia="Times New Roman" w:hAnsi="Times New Roman" w:cs="Times New Roman"/>
                <w:sz w:val="18"/>
                <w:szCs w:val="18"/>
                <w:lang w:val="en-AU" w:eastAsia="en-GB"/>
              </w:rPr>
              <w:t>’</w:t>
            </w:r>
          </w:p>
        </w:tc>
        <w:tc>
          <w:tcPr>
            <w:tcW w:w="710" w:type="dxa"/>
          </w:tcPr>
          <w:p w14:paraId="11250836" w14:textId="5D896348" w:rsidR="00942FD0" w:rsidRPr="00B430A0" w:rsidRDefault="00B47C87" w:rsidP="00426603">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4</w:t>
            </w:r>
          </w:p>
        </w:tc>
      </w:tr>
      <w:tr w:rsidR="00942FD0" w:rsidRPr="00B430A0" w14:paraId="59599383" w14:textId="2880B554" w:rsidTr="009F40F1">
        <w:tc>
          <w:tcPr>
            <w:tcW w:w="587" w:type="dxa"/>
          </w:tcPr>
          <w:p w14:paraId="3524D6D4" w14:textId="77777777" w:rsidR="00942FD0" w:rsidRPr="00B430A0" w:rsidRDefault="00942FD0" w:rsidP="00426603">
            <w:pPr>
              <w:spacing w:beforeLines="40" w:before="96" w:afterLines="40" w:after="96" w:line="24" w:lineRule="atLeast"/>
              <w:rPr>
                <w:rFonts w:ascii="Times New Roman" w:eastAsia="Times New Roman" w:hAnsi="Times New Roman" w:cs="Times New Roman"/>
                <w:b/>
                <w:bCs/>
                <w:sz w:val="18"/>
                <w:szCs w:val="18"/>
                <w:lang w:val="en-GB" w:eastAsia="en-GB"/>
              </w:rPr>
            </w:pPr>
          </w:p>
        </w:tc>
        <w:tc>
          <w:tcPr>
            <w:tcW w:w="968" w:type="dxa"/>
          </w:tcPr>
          <w:p w14:paraId="6152628C" w14:textId="77777777" w:rsidR="00942FD0" w:rsidRPr="00B430A0" w:rsidRDefault="00942FD0" w:rsidP="00426603">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b/>
                <w:bCs/>
                <w:sz w:val="18"/>
                <w:szCs w:val="18"/>
                <w:lang w:val="en-GB" w:eastAsia="en-GB"/>
              </w:rPr>
              <w:t>METHODS</w:t>
            </w:r>
          </w:p>
        </w:tc>
        <w:tc>
          <w:tcPr>
            <w:tcW w:w="2126" w:type="dxa"/>
          </w:tcPr>
          <w:p w14:paraId="309B8567" w14:textId="77777777" w:rsidR="00942FD0" w:rsidRPr="00B430A0" w:rsidRDefault="00942FD0" w:rsidP="00426603">
            <w:pPr>
              <w:spacing w:beforeLines="40" w:before="96" w:afterLines="40" w:after="96" w:line="24" w:lineRule="atLeast"/>
              <w:rPr>
                <w:rFonts w:ascii="Times New Roman" w:eastAsia="Cambria" w:hAnsi="Times New Roman" w:cs="Times New Roman"/>
                <w:sz w:val="18"/>
                <w:szCs w:val="18"/>
                <w:lang w:val="en-GB" w:eastAsia="en-US"/>
              </w:rPr>
            </w:pPr>
          </w:p>
        </w:tc>
        <w:tc>
          <w:tcPr>
            <w:tcW w:w="4678" w:type="dxa"/>
          </w:tcPr>
          <w:p w14:paraId="2FFEF450" w14:textId="77777777" w:rsidR="00942FD0" w:rsidRPr="00B430A0" w:rsidRDefault="00942FD0" w:rsidP="00426603">
            <w:pPr>
              <w:spacing w:beforeLines="40" w:before="96" w:afterLines="40" w:after="96" w:line="24" w:lineRule="atLeast"/>
              <w:rPr>
                <w:rFonts w:ascii="Times New Roman" w:eastAsia="Cambria" w:hAnsi="Times New Roman" w:cs="Times New Roman"/>
                <w:sz w:val="18"/>
                <w:szCs w:val="18"/>
                <w:lang w:val="en-GB" w:eastAsia="en-US"/>
              </w:rPr>
            </w:pPr>
          </w:p>
        </w:tc>
        <w:tc>
          <w:tcPr>
            <w:tcW w:w="5528" w:type="dxa"/>
          </w:tcPr>
          <w:p w14:paraId="21E6896D" w14:textId="77777777" w:rsidR="00942FD0" w:rsidRPr="00B430A0" w:rsidRDefault="00942FD0" w:rsidP="00426603">
            <w:pPr>
              <w:spacing w:beforeLines="40" w:before="96" w:afterLines="40" w:after="96" w:line="24" w:lineRule="atLeast"/>
              <w:rPr>
                <w:rFonts w:ascii="Times New Roman" w:eastAsia="Cambria" w:hAnsi="Times New Roman" w:cs="Times New Roman"/>
                <w:sz w:val="18"/>
                <w:szCs w:val="18"/>
                <w:lang w:val="en-GB" w:eastAsia="en-US"/>
              </w:rPr>
            </w:pPr>
          </w:p>
        </w:tc>
        <w:tc>
          <w:tcPr>
            <w:tcW w:w="710" w:type="dxa"/>
          </w:tcPr>
          <w:p w14:paraId="6CB9315A" w14:textId="569EB730" w:rsidR="00942FD0" w:rsidRPr="00B430A0" w:rsidRDefault="00942FD0" w:rsidP="00426603">
            <w:pPr>
              <w:spacing w:beforeLines="40" w:before="96" w:afterLines="40" w:after="96" w:line="24" w:lineRule="atLeast"/>
              <w:rPr>
                <w:rFonts w:ascii="Times New Roman" w:eastAsia="Cambria" w:hAnsi="Times New Roman" w:cs="Times New Roman"/>
                <w:sz w:val="18"/>
                <w:szCs w:val="18"/>
                <w:lang w:val="en-GB" w:eastAsia="en-US"/>
              </w:rPr>
            </w:pPr>
          </w:p>
        </w:tc>
      </w:tr>
      <w:tr w:rsidR="007F1E6E" w:rsidRPr="00B430A0" w14:paraId="6440155E" w14:textId="16610A1F" w:rsidTr="009F40F1">
        <w:tc>
          <w:tcPr>
            <w:tcW w:w="587" w:type="dxa"/>
          </w:tcPr>
          <w:p w14:paraId="5C7CF349" w14:textId="77777777" w:rsidR="007F1E6E" w:rsidRPr="00B430A0" w:rsidRDefault="007F1E6E" w:rsidP="007F1E6E">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4</w:t>
            </w:r>
          </w:p>
        </w:tc>
        <w:tc>
          <w:tcPr>
            <w:tcW w:w="968" w:type="dxa"/>
          </w:tcPr>
          <w:p w14:paraId="408E2A89" w14:textId="77777777" w:rsidR="007F1E6E" w:rsidRPr="00B430A0" w:rsidRDefault="007F1E6E" w:rsidP="007F1E6E">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Study design and data sources</w:t>
            </w:r>
          </w:p>
        </w:tc>
        <w:tc>
          <w:tcPr>
            <w:tcW w:w="2126" w:type="dxa"/>
          </w:tcPr>
          <w:p w14:paraId="29029CA4" w14:textId="77777777" w:rsidR="007F1E6E" w:rsidRPr="00B430A0" w:rsidRDefault="007F1E6E" w:rsidP="007F1E6E">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4678" w:type="dxa"/>
          </w:tcPr>
          <w:p w14:paraId="0E181C75" w14:textId="5874A864" w:rsidR="007F1E6E" w:rsidRPr="00465A63" w:rsidRDefault="007F1E6E" w:rsidP="007F1E6E">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 xml:space="preserve">We present key elements of </w:t>
            </w:r>
            <w:r w:rsidR="00641CCF">
              <w:rPr>
                <w:rFonts w:ascii="Times New Roman" w:eastAsia="Times New Roman" w:hAnsi="Times New Roman" w:cs="Times New Roman"/>
                <w:sz w:val="18"/>
                <w:szCs w:val="18"/>
                <w:lang w:val="en-GB" w:eastAsia="en-GB"/>
              </w:rPr>
              <w:t xml:space="preserve">the </w:t>
            </w:r>
            <w:r>
              <w:rPr>
                <w:rFonts w:ascii="Times New Roman" w:eastAsia="Times New Roman" w:hAnsi="Times New Roman" w:cs="Times New Roman"/>
                <w:sz w:val="18"/>
                <w:szCs w:val="18"/>
                <w:lang w:val="en-GB" w:eastAsia="en-GB"/>
              </w:rPr>
              <w:t xml:space="preserve">study design clearly in the article. </w:t>
            </w:r>
            <w:r w:rsidR="00E12A6A">
              <w:rPr>
                <w:rFonts w:ascii="Times New Roman" w:eastAsia="Times New Roman" w:hAnsi="Times New Roman" w:cs="Times New Roman"/>
                <w:sz w:val="18"/>
                <w:szCs w:val="18"/>
                <w:lang w:val="en-GB" w:eastAsia="en-GB"/>
              </w:rPr>
              <w:t>In addition to the general study framework, w</w:t>
            </w:r>
            <w:r w:rsidR="003845D2">
              <w:rPr>
                <w:rFonts w:ascii="Times New Roman" w:eastAsia="Times New Roman" w:hAnsi="Times New Roman" w:cs="Times New Roman"/>
                <w:sz w:val="18"/>
                <w:szCs w:val="18"/>
                <w:lang w:val="en-GB" w:eastAsia="en-GB"/>
              </w:rPr>
              <w:t>e</w:t>
            </w:r>
            <w:r w:rsidR="003628FA">
              <w:rPr>
                <w:rFonts w:ascii="Times New Roman" w:eastAsia="Times New Roman" w:hAnsi="Times New Roman" w:cs="Times New Roman"/>
                <w:sz w:val="18"/>
                <w:szCs w:val="18"/>
                <w:lang w:val="en-GB" w:eastAsia="en-GB"/>
              </w:rPr>
              <w:t xml:space="preserve"> used a Figure to present </w:t>
            </w:r>
            <w:r w:rsidR="00E12A6A">
              <w:rPr>
                <w:rFonts w:ascii="Times New Roman" w:eastAsia="Times New Roman" w:hAnsi="Times New Roman" w:cs="Times New Roman"/>
                <w:sz w:val="18"/>
                <w:szCs w:val="18"/>
                <w:lang w:val="en-GB" w:eastAsia="en-GB"/>
              </w:rPr>
              <w:t xml:space="preserve">the </w:t>
            </w:r>
            <w:r w:rsidR="003628FA">
              <w:rPr>
                <w:rFonts w:ascii="Times New Roman" w:eastAsia="Times New Roman" w:hAnsi="Times New Roman" w:cs="Times New Roman"/>
                <w:sz w:val="18"/>
                <w:szCs w:val="18"/>
                <w:lang w:val="en-GB" w:eastAsia="en-GB"/>
              </w:rPr>
              <w:t>study design for M</w:t>
            </w:r>
            <w:r w:rsidR="00E12A6A">
              <w:rPr>
                <w:rFonts w:ascii="Times New Roman" w:eastAsia="Times New Roman" w:hAnsi="Times New Roman" w:cs="Times New Roman"/>
                <w:sz w:val="18"/>
                <w:szCs w:val="18"/>
                <w:lang w:val="en-GB" w:eastAsia="en-GB"/>
              </w:rPr>
              <w:t>R (Figure 3)</w:t>
            </w:r>
            <w:r w:rsidR="00634748">
              <w:rPr>
                <w:rFonts w:ascii="Times New Roman" w:eastAsia="Times New Roman" w:hAnsi="Times New Roman" w:cs="Times New Roman"/>
                <w:sz w:val="18"/>
                <w:szCs w:val="18"/>
                <w:lang w:val="en-GB" w:eastAsia="en-GB"/>
              </w:rPr>
              <w:t>. Also, w</w:t>
            </w:r>
            <w:r>
              <w:rPr>
                <w:rFonts w:ascii="Times New Roman" w:eastAsia="Times New Roman" w:hAnsi="Times New Roman" w:cs="Times New Roman"/>
                <w:sz w:val="18"/>
                <w:szCs w:val="18"/>
                <w:lang w:val="en-GB" w:eastAsia="en-GB"/>
              </w:rPr>
              <w:t>e present a Table (Supplementary Table 1, due to the details provided) indicating sources of data for all phases of our study.</w:t>
            </w:r>
          </w:p>
        </w:tc>
        <w:tc>
          <w:tcPr>
            <w:tcW w:w="5528" w:type="dxa"/>
          </w:tcPr>
          <w:p w14:paraId="7BE807F4" w14:textId="483A88E5" w:rsidR="007F1E6E" w:rsidRPr="00D65192" w:rsidRDefault="007960CE" w:rsidP="007F1E6E">
            <w:pPr>
              <w:spacing w:beforeLines="40" w:before="96" w:afterLines="40" w:after="96" w:line="24" w:lineRule="atLeast"/>
              <w:rPr>
                <w:rFonts w:ascii="Times New Roman" w:eastAsia="Times New Roman" w:hAnsi="Times New Roman" w:cs="Times New Roman"/>
                <w:bCs/>
                <w:sz w:val="18"/>
                <w:szCs w:val="18"/>
                <w:lang w:val="en-AU" w:eastAsia="en-GB"/>
              </w:rPr>
            </w:pPr>
            <w:r>
              <w:rPr>
                <w:rFonts w:ascii="Times New Roman" w:eastAsia="Times New Roman" w:hAnsi="Times New Roman" w:cs="Times New Roman"/>
                <w:bCs/>
                <w:sz w:val="18"/>
                <w:szCs w:val="18"/>
                <w:lang w:val="en-GB" w:eastAsia="en-GB"/>
              </w:rPr>
              <w:t xml:space="preserve">Figures 1 and 3 provide a summary of the study design. </w:t>
            </w:r>
            <w:r w:rsidR="007F1E6E" w:rsidRPr="00D65192">
              <w:rPr>
                <w:rFonts w:ascii="Times New Roman" w:eastAsia="Times New Roman" w:hAnsi="Times New Roman" w:cs="Times New Roman"/>
                <w:bCs/>
                <w:sz w:val="18"/>
                <w:szCs w:val="18"/>
                <w:lang w:val="en-AU" w:eastAsia="en-GB"/>
              </w:rPr>
              <w:t>Supplementary Table 1 provides additional information and links to the GWAS data sources or associated publications.</w:t>
            </w:r>
          </w:p>
          <w:p w14:paraId="3851D529" w14:textId="61E727A0" w:rsidR="007F1E6E" w:rsidRPr="00194671" w:rsidRDefault="007F1E6E" w:rsidP="007F1E6E">
            <w:pPr>
              <w:spacing w:beforeLines="40" w:before="96" w:afterLines="40" w:after="96" w:line="24" w:lineRule="atLeast"/>
              <w:rPr>
                <w:rFonts w:ascii="Times New Roman" w:eastAsia="Times New Roman" w:hAnsi="Times New Roman" w:cs="Times New Roman"/>
                <w:bCs/>
                <w:sz w:val="18"/>
                <w:szCs w:val="18"/>
                <w:lang w:val="en-AU" w:eastAsia="en-GB"/>
              </w:rPr>
            </w:pPr>
          </w:p>
        </w:tc>
        <w:tc>
          <w:tcPr>
            <w:tcW w:w="710" w:type="dxa"/>
          </w:tcPr>
          <w:p w14:paraId="23CE0AC6" w14:textId="57FB4D79" w:rsidR="007F1E6E" w:rsidRPr="00B430A0" w:rsidRDefault="007960CE" w:rsidP="007F1E6E">
            <w:pPr>
              <w:spacing w:beforeLines="40" w:before="96" w:afterLines="40" w:after="96" w:line="24" w:lineRule="atLeast"/>
              <w:rPr>
                <w:rFonts w:ascii="Times New Roman" w:eastAsia="Times New Roman" w:hAnsi="Times New Roman" w:cs="Times New Roman"/>
                <w:sz w:val="18"/>
                <w:szCs w:val="18"/>
                <w:lang w:val="en-GB" w:eastAsia="en-GB"/>
              </w:rPr>
            </w:pPr>
            <w:proofErr w:type="gramStart"/>
            <w:r>
              <w:rPr>
                <w:rFonts w:ascii="Times New Roman" w:eastAsia="Times New Roman" w:hAnsi="Times New Roman" w:cs="Times New Roman"/>
                <w:sz w:val="18"/>
                <w:szCs w:val="18"/>
                <w:lang w:val="en-GB" w:eastAsia="en-GB"/>
              </w:rPr>
              <w:t>Figures  1</w:t>
            </w:r>
            <w:proofErr w:type="gramEnd"/>
            <w:r>
              <w:rPr>
                <w:rFonts w:ascii="Times New Roman" w:eastAsia="Times New Roman" w:hAnsi="Times New Roman" w:cs="Times New Roman"/>
                <w:sz w:val="18"/>
                <w:szCs w:val="18"/>
                <w:lang w:val="en-GB" w:eastAsia="en-GB"/>
              </w:rPr>
              <w:t xml:space="preserve"> and 3, and Supplementary Tables</w:t>
            </w:r>
          </w:p>
        </w:tc>
      </w:tr>
      <w:tr w:rsidR="00942FD0" w:rsidRPr="00B430A0" w14:paraId="47D5AE21" w14:textId="3CA8D4AF" w:rsidTr="009F40F1">
        <w:tc>
          <w:tcPr>
            <w:tcW w:w="587" w:type="dxa"/>
          </w:tcPr>
          <w:p w14:paraId="0980B688"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29E72ACB"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a)</w:t>
            </w:r>
          </w:p>
        </w:tc>
        <w:tc>
          <w:tcPr>
            <w:tcW w:w="2126" w:type="dxa"/>
          </w:tcPr>
          <w:p w14:paraId="246167BE" w14:textId="77777777" w:rsidR="00942FD0" w:rsidRPr="00B430A0" w:rsidRDefault="00942FD0" w:rsidP="00F75F09">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shd w:val="clear" w:color="auto" w:fill="FFFFFF"/>
                <w:lang w:val="en-GB" w:eastAsia="en-GB"/>
              </w:rPr>
              <w:t xml:space="preserve">Setting: </w:t>
            </w:r>
            <w:r w:rsidRPr="00B430A0">
              <w:rPr>
                <w:rFonts w:ascii="Times New Roman" w:eastAsia="Times New Roman" w:hAnsi="Times New Roman" w:cs="Times New Roman"/>
                <w:sz w:val="18"/>
                <w:szCs w:val="18"/>
                <w:lang w:val="en-GB" w:eastAsia="en-GB"/>
              </w:rPr>
              <w:t xml:space="preserve">Describe the study design and the underlying population, if possible. </w:t>
            </w:r>
            <w:r w:rsidRPr="00B430A0">
              <w:rPr>
                <w:rFonts w:ascii="Times New Roman" w:eastAsia="Times New Roman" w:hAnsi="Times New Roman" w:cs="Times New Roman"/>
                <w:sz w:val="18"/>
                <w:szCs w:val="18"/>
                <w:shd w:val="clear" w:color="auto" w:fill="FFFFFF"/>
                <w:lang w:val="en-GB" w:eastAsia="en-GB"/>
              </w:rPr>
              <w:t xml:space="preserve">Describe the setting, locations, and relevant dates, including periods </w:t>
            </w:r>
            <w:r w:rsidRPr="00B430A0">
              <w:rPr>
                <w:rFonts w:ascii="Times New Roman" w:eastAsia="Times New Roman" w:hAnsi="Times New Roman" w:cs="Times New Roman"/>
                <w:color w:val="000000"/>
                <w:sz w:val="18"/>
                <w:szCs w:val="18"/>
                <w:shd w:val="clear" w:color="auto" w:fill="FFFFFF"/>
                <w:lang w:val="en-GB" w:eastAsia="en-GB"/>
              </w:rPr>
              <w:t>of recruitment, exposure, follow-up, and data collection, when available.</w:t>
            </w:r>
          </w:p>
        </w:tc>
        <w:tc>
          <w:tcPr>
            <w:tcW w:w="4678" w:type="dxa"/>
          </w:tcPr>
          <w:p w14:paraId="048ED5CF" w14:textId="29CBAB81" w:rsidR="00696067" w:rsidRPr="00B430A0" w:rsidRDefault="001C3158" w:rsidP="00F75F09">
            <w:pPr>
              <w:spacing w:beforeLines="40" w:before="96" w:afterLines="40" w:after="96" w:line="24" w:lineRule="atLeast"/>
              <w:rPr>
                <w:rFonts w:ascii="Times New Roman" w:eastAsiaTheme="minorEastAsia" w:hAnsi="Times New Roman" w:cs="Times New Roman"/>
                <w:sz w:val="18"/>
                <w:szCs w:val="18"/>
                <w:shd w:val="clear" w:color="auto" w:fill="FFFFFF"/>
                <w:lang w:val="en-GB" w:eastAsia="zh-CN"/>
              </w:rPr>
            </w:pPr>
            <w:r w:rsidRPr="001C3158">
              <w:rPr>
                <w:rFonts w:ascii="Times New Roman" w:eastAsiaTheme="minorEastAsia" w:hAnsi="Times New Roman" w:cs="Times New Roman"/>
                <w:sz w:val="18"/>
                <w:szCs w:val="18"/>
                <w:shd w:val="clear" w:color="auto" w:fill="FFFFFF"/>
                <w:lang w:val="en-GB" w:eastAsia="zh-CN"/>
              </w:rPr>
              <w:t xml:space="preserve">In this study, </w:t>
            </w:r>
            <w:r w:rsidR="00CE4577">
              <w:rPr>
                <w:rFonts w:ascii="Times New Roman" w:eastAsiaTheme="minorEastAsia" w:hAnsi="Times New Roman" w:cs="Times New Roman"/>
                <w:sz w:val="18"/>
                <w:szCs w:val="18"/>
                <w:shd w:val="clear" w:color="auto" w:fill="FFFFFF"/>
                <w:lang w:val="en-GB" w:eastAsia="zh-CN"/>
              </w:rPr>
              <w:t>we describe</w:t>
            </w:r>
            <w:r w:rsidR="00B778C2">
              <w:rPr>
                <w:rFonts w:ascii="Times New Roman" w:eastAsiaTheme="minorEastAsia" w:hAnsi="Times New Roman" w:cs="Times New Roman"/>
                <w:sz w:val="18"/>
                <w:szCs w:val="18"/>
                <w:shd w:val="clear" w:color="auto" w:fill="FFFFFF"/>
                <w:lang w:val="en-GB" w:eastAsia="zh-CN"/>
              </w:rPr>
              <w:t xml:space="preserve"> the </w:t>
            </w:r>
            <w:r w:rsidR="005B0F7E">
              <w:rPr>
                <w:rFonts w:ascii="Times New Roman" w:eastAsiaTheme="minorEastAsia" w:hAnsi="Times New Roman" w:cs="Times New Roman"/>
                <w:sz w:val="18"/>
                <w:szCs w:val="18"/>
                <w:shd w:val="clear" w:color="auto" w:fill="FFFFFF"/>
                <w:lang w:val="en-GB" w:eastAsia="zh-CN"/>
              </w:rPr>
              <w:t>data</w:t>
            </w:r>
            <w:r w:rsidR="00B778C2">
              <w:rPr>
                <w:rFonts w:ascii="Times New Roman" w:eastAsiaTheme="minorEastAsia" w:hAnsi="Times New Roman" w:cs="Times New Roman"/>
                <w:sz w:val="18"/>
                <w:szCs w:val="18"/>
                <w:shd w:val="clear" w:color="auto" w:fill="FFFFFF"/>
                <w:lang w:val="en-GB" w:eastAsia="zh-CN"/>
              </w:rPr>
              <w:t xml:space="preserve"> </w:t>
            </w:r>
            <w:r w:rsidR="00696067">
              <w:rPr>
                <w:rFonts w:ascii="Times New Roman" w:eastAsiaTheme="minorEastAsia" w:hAnsi="Times New Roman" w:cs="Times New Roman"/>
                <w:sz w:val="18"/>
                <w:szCs w:val="18"/>
                <w:shd w:val="clear" w:color="auto" w:fill="FFFFFF"/>
                <w:lang w:val="en-GB" w:eastAsia="zh-CN"/>
              </w:rPr>
              <w:t xml:space="preserve">in the section </w:t>
            </w:r>
            <w:r w:rsidR="009D418E">
              <w:rPr>
                <w:rFonts w:ascii="Times New Roman" w:eastAsiaTheme="minorEastAsia" w:hAnsi="Times New Roman" w:cs="Times New Roman"/>
                <w:sz w:val="18"/>
                <w:szCs w:val="18"/>
                <w:shd w:val="clear" w:color="auto" w:fill="FFFFFF"/>
                <w:lang w:val="en-GB" w:eastAsia="zh-CN"/>
              </w:rPr>
              <w:t>Data Source</w:t>
            </w:r>
            <w:r w:rsidR="00696067">
              <w:rPr>
                <w:rFonts w:ascii="Times New Roman" w:eastAsiaTheme="minorEastAsia" w:hAnsi="Times New Roman" w:cs="Times New Roman"/>
                <w:sz w:val="18"/>
                <w:szCs w:val="18"/>
                <w:shd w:val="clear" w:color="auto" w:fill="FFFFFF"/>
                <w:lang w:val="en-GB" w:eastAsia="zh-CN"/>
              </w:rPr>
              <w:t xml:space="preserve"> </w:t>
            </w:r>
            <w:r w:rsidR="009D418E">
              <w:rPr>
                <w:rFonts w:ascii="Times New Roman" w:eastAsiaTheme="minorEastAsia" w:hAnsi="Times New Roman" w:cs="Times New Roman"/>
                <w:sz w:val="18"/>
                <w:szCs w:val="18"/>
                <w:shd w:val="clear" w:color="auto" w:fill="FFFFFF"/>
                <w:lang w:val="en-GB" w:eastAsia="zh-CN"/>
              </w:rPr>
              <w:t>sub-section</w:t>
            </w:r>
            <w:r w:rsidRPr="001C3158">
              <w:rPr>
                <w:rFonts w:ascii="Times New Roman" w:eastAsiaTheme="minorEastAsia" w:hAnsi="Times New Roman" w:cs="Times New Roman"/>
                <w:sz w:val="18"/>
                <w:szCs w:val="18"/>
                <w:shd w:val="clear" w:color="auto" w:fill="FFFFFF"/>
                <w:lang w:val="en-GB" w:eastAsia="zh-CN"/>
              </w:rPr>
              <w:t>.</w:t>
            </w:r>
            <w:r w:rsidR="00B778C2">
              <w:rPr>
                <w:rFonts w:ascii="Times New Roman" w:eastAsiaTheme="minorEastAsia" w:hAnsi="Times New Roman" w:cs="Times New Roman"/>
                <w:sz w:val="18"/>
                <w:szCs w:val="18"/>
                <w:shd w:val="clear" w:color="auto" w:fill="FFFFFF"/>
                <w:lang w:val="en-GB" w:eastAsia="zh-CN"/>
              </w:rPr>
              <w:t xml:space="preserve"> </w:t>
            </w:r>
            <w:r w:rsidR="001528C7">
              <w:rPr>
                <w:rFonts w:ascii="Times New Roman" w:eastAsiaTheme="minorEastAsia" w:hAnsi="Times New Roman" w:cs="Times New Roman"/>
                <w:sz w:val="18"/>
                <w:szCs w:val="18"/>
                <w:shd w:val="clear" w:color="auto" w:fill="FFFFFF"/>
                <w:lang w:val="en-GB" w:eastAsia="zh-CN"/>
              </w:rPr>
              <w:t>W</w:t>
            </w:r>
            <w:r w:rsidR="00CA72B7" w:rsidRPr="001C3158">
              <w:rPr>
                <w:rFonts w:ascii="Times New Roman" w:eastAsiaTheme="minorEastAsia" w:hAnsi="Times New Roman" w:cs="Times New Roman"/>
                <w:sz w:val="18"/>
                <w:szCs w:val="18"/>
                <w:shd w:val="clear" w:color="auto" w:fill="FFFFFF"/>
                <w:lang w:val="en-GB" w:eastAsia="zh-CN"/>
              </w:rPr>
              <w:t xml:space="preserve">e used </w:t>
            </w:r>
            <w:r w:rsidR="00CA72B7" w:rsidRPr="00FB6FCD">
              <w:rPr>
                <w:rFonts w:ascii="Times New Roman" w:eastAsia="Calibri" w:hAnsi="Times New Roman" w:cs="Times New Roman"/>
                <w:kern w:val="2"/>
                <w:sz w:val="18"/>
                <w:szCs w:val="18"/>
                <w:lang w:val="en-AU" w:eastAsia="en-US" w:bidi="en-US"/>
                <w14:ligatures w14:val="standardContextual"/>
              </w:rPr>
              <w:t>large-scale GWAS summary statistics from publicly accessible repositories and international research consortia</w:t>
            </w:r>
            <w:r w:rsidR="00CA72B7">
              <w:rPr>
                <w:rFonts w:ascii="Times New Roman" w:eastAsiaTheme="minorEastAsia" w:hAnsi="Times New Roman" w:cs="Times New Roman"/>
                <w:sz w:val="18"/>
                <w:szCs w:val="18"/>
                <w:shd w:val="clear" w:color="auto" w:fill="FFFFFF"/>
                <w:lang w:val="en-GB" w:eastAsia="zh-CN"/>
              </w:rPr>
              <w:t xml:space="preserve">. </w:t>
            </w:r>
            <w:r w:rsidRPr="001C3158">
              <w:rPr>
                <w:rFonts w:ascii="Times New Roman" w:eastAsiaTheme="minorEastAsia" w:hAnsi="Times New Roman" w:cs="Times New Roman"/>
                <w:sz w:val="18"/>
                <w:szCs w:val="18"/>
                <w:shd w:val="clear" w:color="auto" w:fill="FFFFFF"/>
                <w:lang w:val="en-GB" w:eastAsia="zh-CN"/>
              </w:rPr>
              <w:t xml:space="preserve">Additionally, </w:t>
            </w:r>
            <w:r w:rsidR="00E14012" w:rsidRPr="00E14012">
              <w:rPr>
                <w:rFonts w:ascii="Times New Roman" w:eastAsiaTheme="minorEastAsia" w:hAnsi="Times New Roman" w:cs="Times New Roman"/>
                <w:sz w:val="18"/>
                <w:szCs w:val="18"/>
                <w:shd w:val="clear" w:color="auto" w:fill="FFFFFF"/>
                <w:lang w:val="en-GB" w:eastAsia="zh-CN"/>
              </w:rPr>
              <w:t>we have provided relevant information about the summary data used</w:t>
            </w:r>
            <w:r w:rsidR="009D418E">
              <w:rPr>
                <w:rFonts w:ascii="Times New Roman" w:eastAsiaTheme="minorEastAsia" w:hAnsi="Times New Roman" w:cs="Times New Roman"/>
                <w:sz w:val="18"/>
                <w:szCs w:val="18"/>
                <w:shd w:val="clear" w:color="auto" w:fill="FFFFFF"/>
                <w:lang w:val="en-GB" w:eastAsia="zh-CN"/>
              </w:rPr>
              <w:t>,</w:t>
            </w:r>
            <w:r w:rsidR="00E14012" w:rsidRPr="00E14012">
              <w:rPr>
                <w:rFonts w:ascii="Times New Roman" w:eastAsiaTheme="minorEastAsia" w:hAnsi="Times New Roman" w:cs="Times New Roman"/>
                <w:sz w:val="18"/>
                <w:szCs w:val="18"/>
                <w:shd w:val="clear" w:color="auto" w:fill="FFFFFF"/>
                <w:lang w:val="en-GB" w:eastAsia="zh-CN"/>
              </w:rPr>
              <w:t xml:space="preserve"> including the sources of the data, the ancestry of the populations (which is important for MR analysis), sample sizes, and</w:t>
            </w:r>
            <w:r w:rsidRPr="001C3158">
              <w:rPr>
                <w:rFonts w:ascii="Times New Roman" w:eastAsiaTheme="minorEastAsia" w:hAnsi="Times New Roman" w:cs="Times New Roman"/>
                <w:sz w:val="18"/>
                <w:szCs w:val="18"/>
                <w:shd w:val="clear" w:color="auto" w:fill="FFFFFF"/>
                <w:lang w:val="en-GB" w:eastAsia="zh-CN"/>
              </w:rPr>
              <w:t xml:space="preserve"> references to the original publications </w:t>
            </w:r>
            <w:r w:rsidR="00420DEE">
              <w:rPr>
                <w:rFonts w:ascii="Times New Roman" w:eastAsiaTheme="minorEastAsia" w:hAnsi="Times New Roman" w:cs="Times New Roman"/>
                <w:sz w:val="18"/>
                <w:szCs w:val="18"/>
                <w:shd w:val="clear" w:color="auto" w:fill="FFFFFF"/>
                <w:lang w:val="en-GB" w:eastAsia="zh-CN"/>
              </w:rPr>
              <w:t>(</w:t>
            </w:r>
            <w:r w:rsidR="00316C54">
              <w:rPr>
                <w:rFonts w:ascii="Times New Roman" w:eastAsiaTheme="minorEastAsia" w:hAnsi="Times New Roman" w:cs="Times New Roman"/>
                <w:sz w:val="18"/>
                <w:szCs w:val="18"/>
                <w:shd w:val="clear" w:color="auto" w:fill="FFFFFF"/>
                <w:lang w:val="en-GB" w:eastAsia="zh-CN"/>
              </w:rPr>
              <w:t>In-text</w:t>
            </w:r>
            <w:r w:rsidR="00420DEE">
              <w:rPr>
                <w:rFonts w:ascii="Times New Roman" w:eastAsiaTheme="minorEastAsia" w:hAnsi="Times New Roman" w:cs="Times New Roman"/>
                <w:sz w:val="18"/>
                <w:szCs w:val="18"/>
                <w:shd w:val="clear" w:color="auto" w:fill="FFFFFF"/>
                <w:lang w:val="en-GB" w:eastAsia="zh-CN"/>
              </w:rPr>
              <w:t xml:space="preserve"> and Supplementary Table 1)</w:t>
            </w:r>
            <w:r w:rsidR="001D0F25">
              <w:rPr>
                <w:rFonts w:ascii="Times New Roman" w:eastAsiaTheme="minorEastAsia" w:hAnsi="Times New Roman" w:cs="Times New Roman"/>
                <w:sz w:val="18"/>
                <w:szCs w:val="18"/>
                <w:shd w:val="clear" w:color="auto" w:fill="FFFFFF"/>
                <w:lang w:val="en-GB" w:eastAsia="zh-CN"/>
              </w:rPr>
              <w:t>.</w:t>
            </w:r>
            <w:r w:rsidR="00E14012">
              <w:rPr>
                <w:rFonts w:ascii="Times New Roman" w:eastAsiaTheme="minorEastAsia" w:hAnsi="Times New Roman" w:cs="Times New Roman"/>
                <w:sz w:val="18"/>
                <w:szCs w:val="18"/>
                <w:shd w:val="clear" w:color="auto" w:fill="FFFFFF"/>
                <w:lang w:val="en-GB" w:eastAsia="zh-CN"/>
              </w:rPr>
              <w:t xml:space="preserve"> </w:t>
            </w:r>
          </w:p>
        </w:tc>
        <w:tc>
          <w:tcPr>
            <w:tcW w:w="5528" w:type="dxa"/>
          </w:tcPr>
          <w:p w14:paraId="083DD297" w14:textId="2BCF1705" w:rsidR="00CD285D" w:rsidRPr="00631AF4" w:rsidRDefault="00631AF4" w:rsidP="00ED0B46">
            <w:pPr>
              <w:spacing w:after="160" w:line="240" w:lineRule="auto"/>
              <w:jc w:val="both"/>
              <w:rPr>
                <w:rFonts w:ascii="Times New Roman" w:eastAsia="Calibri" w:hAnsi="Times New Roman" w:cs="Times New Roman"/>
                <w:kern w:val="2"/>
                <w:sz w:val="18"/>
                <w:szCs w:val="18"/>
                <w:lang w:val="en-AU" w:eastAsia="en-US" w:bidi="en-US"/>
                <w14:ligatures w14:val="standardContextual"/>
              </w:rPr>
            </w:pPr>
            <w:r>
              <w:rPr>
                <w:rFonts w:ascii="Times New Roman" w:eastAsia="Calibri" w:hAnsi="Times New Roman" w:cs="Times New Roman"/>
                <w:kern w:val="2"/>
                <w:sz w:val="18"/>
                <w:szCs w:val="18"/>
                <w:lang w:val="en-AU" w:eastAsia="en-US" w:bidi="en-US"/>
                <w14:ligatures w14:val="standardContextual"/>
              </w:rPr>
              <w:t xml:space="preserve">See </w:t>
            </w:r>
            <w:r w:rsidR="00E76376">
              <w:rPr>
                <w:rFonts w:ascii="Times New Roman" w:eastAsia="Calibri" w:hAnsi="Times New Roman" w:cs="Times New Roman"/>
                <w:kern w:val="2"/>
                <w:sz w:val="18"/>
                <w:szCs w:val="18"/>
                <w:lang w:val="en-AU" w:eastAsia="en-US" w:bidi="en-US"/>
                <w14:ligatures w14:val="standardContextual"/>
              </w:rPr>
              <w:t>detailed</w:t>
            </w:r>
            <w:r w:rsidR="0033390A">
              <w:rPr>
                <w:rFonts w:ascii="Times New Roman" w:eastAsia="Calibri" w:hAnsi="Times New Roman" w:cs="Times New Roman"/>
                <w:kern w:val="2"/>
                <w:sz w:val="18"/>
                <w:szCs w:val="18"/>
                <w:lang w:val="en-AU" w:eastAsia="en-US" w:bidi="en-US"/>
                <w14:ligatures w14:val="standardContextual"/>
              </w:rPr>
              <w:t xml:space="preserve"> description of our data in the Data Source section (lines </w:t>
            </w:r>
            <w:r w:rsidR="00E76376">
              <w:rPr>
                <w:rFonts w:ascii="Times New Roman" w:eastAsia="Calibri" w:hAnsi="Times New Roman" w:cs="Times New Roman"/>
                <w:kern w:val="2"/>
                <w:sz w:val="18"/>
                <w:szCs w:val="18"/>
                <w:lang w:val="en-AU" w:eastAsia="en-US" w:bidi="en-US"/>
                <w14:ligatures w14:val="standardContextual"/>
              </w:rPr>
              <w:t>884 – 924)</w:t>
            </w:r>
          </w:p>
        </w:tc>
        <w:tc>
          <w:tcPr>
            <w:tcW w:w="710" w:type="dxa"/>
          </w:tcPr>
          <w:p w14:paraId="33F4171D" w14:textId="313E3401" w:rsidR="00942FD0" w:rsidRPr="00B430A0" w:rsidRDefault="007338E3" w:rsidP="00EB2849">
            <w:pPr>
              <w:spacing w:beforeLines="40" w:before="96" w:afterLines="40" w:after="96" w:line="24" w:lineRule="atLeast"/>
              <w:rPr>
                <w:rFonts w:ascii="Times New Roman" w:eastAsia="Times New Roman" w:hAnsi="Times New Roman" w:cs="Times New Roman"/>
                <w:sz w:val="18"/>
                <w:szCs w:val="18"/>
                <w:shd w:val="clear" w:color="auto" w:fill="FFFFFF"/>
                <w:lang w:eastAsia="en-GB"/>
              </w:rPr>
            </w:pPr>
            <w:r>
              <w:rPr>
                <w:rFonts w:ascii="Times New Roman" w:eastAsia="Times New Roman" w:hAnsi="Times New Roman" w:cs="Times New Roman"/>
                <w:sz w:val="18"/>
                <w:szCs w:val="18"/>
                <w:shd w:val="clear" w:color="auto" w:fill="FFFFFF"/>
                <w:lang w:eastAsia="en-GB"/>
              </w:rPr>
              <w:t>31</w:t>
            </w:r>
            <w:r w:rsidR="002F7477">
              <w:rPr>
                <w:rFonts w:ascii="Times New Roman" w:eastAsia="Times New Roman" w:hAnsi="Times New Roman" w:cs="Times New Roman"/>
                <w:sz w:val="18"/>
                <w:szCs w:val="18"/>
                <w:shd w:val="clear" w:color="auto" w:fill="FFFFFF"/>
                <w:lang w:eastAsia="en-GB"/>
              </w:rPr>
              <w:t xml:space="preserve"> and </w:t>
            </w:r>
            <w:r>
              <w:rPr>
                <w:rFonts w:ascii="Times New Roman" w:eastAsia="Times New Roman" w:hAnsi="Times New Roman" w:cs="Times New Roman"/>
                <w:sz w:val="18"/>
                <w:szCs w:val="18"/>
                <w:shd w:val="clear" w:color="auto" w:fill="FFFFFF"/>
                <w:lang w:eastAsia="en-GB"/>
              </w:rPr>
              <w:t>32</w:t>
            </w:r>
          </w:p>
        </w:tc>
      </w:tr>
      <w:tr w:rsidR="00004966" w:rsidRPr="00B430A0" w14:paraId="376A6F82" w14:textId="43693FDC" w:rsidTr="009F40F1">
        <w:tc>
          <w:tcPr>
            <w:tcW w:w="587" w:type="dxa"/>
          </w:tcPr>
          <w:p w14:paraId="6B85F41D" w14:textId="77777777" w:rsidR="00004966" w:rsidRPr="00B430A0" w:rsidRDefault="00004966" w:rsidP="00004966">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0CF2EB5C" w14:textId="77777777" w:rsidR="00004966" w:rsidRPr="00B430A0" w:rsidRDefault="00004966" w:rsidP="00004966">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b)</w:t>
            </w:r>
          </w:p>
        </w:tc>
        <w:tc>
          <w:tcPr>
            <w:tcW w:w="2126" w:type="dxa"/>
          </w:tcPr>
          <w:p w14:paraId="5E3BCE69" w14:textId="77777777" w:rsidR="00004966" w:rsidRPr="00B430A0" w:rsidRDefault="00004966" w:rsidP="00004966">
            <w:pPr>
              <w:spacing w:beforeLines="40" w:before="96" w:afterLines="40" w:after="96" w:line="24" w:lineRule="atLeast"/>
              <w:textAlignment w:val="baseline"/>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shd w:val="clear" w:color="auto" w:fill="FFFFFF"/>
                <w:lang w:val="en-GB" w:eastAsia="en-GB"/>
              </w:rPr>
              <w:t xml:space="preserve">Participants: Give the eligibility criteria, and the sources and methods of selection of participants. </w:t>
            </w:r>
            <w:r w:rsidRPr="00B430A0">
              <w:rPr>
                <w:rFonts w:ascii="Times New Roman" w:eastAsia="Times New Roman" w:hAnsi="Times New Roman" w:cs="Times New Roman"/>
                <w:color w:val="000000"/>
                <w:sz w:val="18"/>
                <w:szCs w:val="18"/>
              </w:rPr>
              <w:t xml:space="preserve">Report the sample size, and whether any power or sample size calculations </w:t>
            </w:r>
            <w:r w:rsidRPr="00B430A0">
              <w:rPr>
                <w:rFonts w:ascii="Times New Roman" w:eastAsia="Times New Roman" w:hAnsi="Times New Roman" w:cs="Times New Roman"/>
                <w:color w:val="000000"/>
                <w:sz w:val="18"/>
                <w:szCs w:val="18"/>
              </w:rPr>
              <w:lastRenderedPageBreak/>
              <w:t>were carried out prior to the main analysis</w:t>
            </w:r>
            <w:r w:rsidRPr="00B430A0">
              <w:rPr>
                <w:rFonts w:ascii="Times New Roman" w:eastAsia="Times New Roman" w:hAnsi="Times New Roman" w:cs="Times New Roman"/>
                <w:sz w:val="18"/>
                <w:szCs w:val="18"/>
                <w:lang w:val="en-GB" w:eastAsia="en-GB"/>
              </w:rPr>
              <w:t> </w:t>
            </w:r>
          </w:p>
        </w:tc>
        <w:tc>
          <w:tcPr>
            <w:tcW w:w="4678" w:type="dxa"/>
          </w:tcPr>
          <w:p w14:paraId="29ACC32C" w14:textId="201157F6" w:rsidR="00004966" w:rsidRPr="00B430A0" w:rsidRDefault="00004966" w:rsidP="00004966">
            <w:pPr>
              <w:spacing w:beforeLines="40" w:before="96" w:afterLines="40" w:after="96" w:line="24" w:lineRule="atLeast"/>
              <w:textAlignment w:val="baseline"/>
              <w:rPr>
                <w:rFonts w:ascii="Times New Roman" w:eastAsiaTheme="minorEastAsia" w:hAnsi="Times New Roman" w:cs="Times New Roman"/>
                <w:sz w:val="18"/>
                <w:szCs w:val="18"/>
                <w:shd w:val="clear" w:color="auto" w:fill="FFFFFF"/>
                <w:lang w:val="en-GB" w:eastAsia="zh-CN"/>
              </w:rPr>
            </w:pPr>
            <w:r>
              <w:rPr>
                <w:rFonts w:ascii="Times New Roman" w:eastAsiaTheme="minorEastAsia" w:hAnsi="Times New Roman" w:cs="Times New Roman"/>
                <w:sz w:val="18"/>
                <w:szCs w:val="18"/>
                <w:shd w:val="clear" w:color="auto" w:fill="FFFFFF"/>
                <w:lang w:val="en-GB" w:eastAsia="zh-CN"/>
              </w:rPr>
              <w:lastRenderedPageBreak/>
              <w:t>We provide appropriate information on our study participants. We used data available for</w:t>
            </w:r>
            <w:r>
              <w:rPr>
                <w:rFonts w:ascii="Times New Roman" w:eastAsiaTheme="minorEastAsia" w:hAnsi="Times New Roman" w:cs="Times New Roman"/>
                <w:sz w:val="18"/>
                <w:szCs w:val="18"/>
                <w:shd w:val="clear" w:color="auto" w:fill="FFFFFF"/>
                <w:lang w:val="en-GB" w:eastAsia="zh-CN"/>
              </w:rPr>
              <w:t xml:space="preserve"> MG and AD</w:t>
            </w:r>
            <w:r>
              <w:rPr>
                <w:rFonts w:ascii="Times New Roman" w:eastAsiaTheme="minorEastAsia" w:hAnsi="Times New Roman" w:cs="Times New Roman"/>
                <w:sz w:val="18"/>
                <w:szCs w:val="18"/>
                <w:shd w:val="clear" w:color="auto" w:fill="FFFFFF"/>
                <w:lang w:val="en-GB" w:eastAsia="zh-CN"/>
              </w:rPr>
              <w:t xml:space="preserve"> in the current study with adequate sample sizes. We provide information about the sample sizes and provide appropriate references to the original publications. </w:t>
            </w:r>
          </w:p>
        </w:tc>
        <w:tc>
          <w:tcPr>
            <w:tcW w:w="5528" w:type="dxa"/>
          </w:tcPr>
          <w:p w14:paraId="72CCBDD2" w14:textId="29AEB5D9" w:rsidR="00004966" w:rsidRPr="00B430A0" w:rsidRDefault="00004966" w:rsidP="00004966">
            <w:pPr>
              <w:spacing w:beforeLines="40" w:before="96" w:afterLines="40" w:after="96" w:line="24" w:lineRule="atLeast"/>
              <w:textAlignment w:val="baseline"/>
              <w:rPr>
                <w:rFonts w:ascii="Times New Roman" w:eastAsia="Times New Roman" w:hAnsi="Times New Roman" w:cs="Times New Roman"/>
                <w:sz w:val="18"/>
                <w:szCs w:val="18"/>
                <w:shd w:val="clear" w:color="auto" w:fill="FFFFFF"/>
                <w:lang w:eastAsia="en-GB"/>
              </w:rPr>
            </w:pPr>
            <w:r>
              <w:rPr>
                <w:rFonts w:ascii="Times New Roman" w:eastAsia="Calibri" w:hAnsi="Times New Roman" w:cs="Times New Roman"/>
                <w:kern w:val="2"/>
                <w:sz w:val="18"/>
                <w:szCs w:val="18"/>
                <w:lang w:val="en-AU" w:eastAsia="en-US" w:bidi="en-US"/>
                <w14:ligatures w14:val="standardContextual"/>
              </w:rPr>
              <w:t>See detailed description of our data in the Data Source section (lines 884 – 924)</w:t>
            </w:r>
          </w:p>
        </w:tc>
        <w:tc>
          <w:tcPr>
            <w:tcW w:w="710" w:type="dxa"/>
          </w:tcPr>
          <w:p w14:paraId="37C3B4C3" w14:textId="7609EAAC" w:rsidR="00004966" w:rsidRPr="00B430A0" w:rsidRDefault="00004966" w:rsidP="00004966">
            <w:pPr>
              <w:spacing w:beforeLines="40" w:before="96" w:afterLines="40" w:after="96" w:line="24" w:lineRule="atLeast"/>
              <w:textAlignment w:val="baseline"/>
              <w:rPr>
                <w:rFonts w:ascii="Times New Roman" w:eastAsiaTheme="minorEastAsia" w:hAnsi="Times New Roman" w:cs="Times New Roman"/>
                <w:sz w:val="18"/>
                <w:szCs w:val="18"/>
                <w:shd w:val="clear" w:color="auto" w:fill="FFFFFF"/>
                <w:lang w:eastAsia="zh-CN"/>
              </w:rPr>
            </w:pPr>
            <w:r>
              <w:rPr>
                <w:rFonts w:ascii="Times New Roman" w:eastAsia="Times New Roman" w:hAnsi="Times New Roman" w:cs="Times New Roman"/>
                <w:sz w:val="18"/>
                <w:szCs w:val="18"/>
                <w:shd w:val="clear" w:color="auto" w:fill="FFFFFF"/>
                <w:lang w:eastAsia="en-GB"/>
              </w:rPr>
              <w:t>31 and 32</w:t>
            </w:r>
          </w:p>
        </w:tc>
      </w:tr>
      <w:tr w:rsidR="00942FD0" w:rsidRPr="00B430A0" w14:paraId="04B065C7" w14:textId="72F11B68" w:rsidTr="00843A35">
        <w:tc>
          <w:tcPr>
            <w:tcW w:w="587" w:type="dxa"/>
          </w:tcPr>
          <w:p w14:paraId="09448E25"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260DD299"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c)</w:t>
            </w:r>
          </w:p>
        </w:tc>
        <w:tc>
          <w:tcPr>
            <w:tcW w:w="2126" w:type="dxa"/>
          </w:tcPr>
          <w:p w14:paraId="7B54F10C" w14:textId="77777777" w:rsidR="00942FD0" w:rsidRPr="00B430A0" w:rsidRDefault="00942FD0" w:rsidP="00F75F09">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Describe measurement, quality control and selection of genetic variants</w:t>
            </w:r>
          </w:p>
        </w:tc>
        <w:tc>
          <w:tcPr>
            <w:tcW w:w="4678" w:type="dxa"/>
          </w:tcPr>
          <w:p w14:paraId="1727A0E9" w14:textId="56F6E695" w:rsidR="00843A35" w:rsidRDefault="00206972" w:rsidP="00F75F09">
            <w:pPr>
              <w:spacing w:beforeLines="40" w:before="96" w:afterLines="40" w:after="96" w:line="24" w:lineRule="atLeast"/>
              <w:rPr>
                <w:rFonts w:ascii="Times New Roman" w:eastAsiaTheme="minorEastAsia" w:hAnsi="Times New Roman" w:cs="Times New Roman"/>
                <w:sz w:val="18"/>
                <w:szCs w:val="18"/>
                <w:lang w:eastAsia="zh-CN"/>
              </w:rPr>
            </w:pPr>
            <w:r w:rsidRPr="00206972">
              <w:rPr>
                <w:rFonts w:ascii="Times New Roman" w:eastAsiaTheme="minorEastAsia" w:hAnsi="Times New Roman" w:cs="Times New Roman"/>
                <w:sz w:val="18"/>
                <w:szCs w:val="18"/>
                <w:shd w:val="clear" w:color="auto" w:fill="FFFFFF"/>
                <w:lang w:eastAsia="zh-CN"/>
              </w:rPr>
              <w:t xml:space="preserve">To ensure high-quality control and robustness in our study, we selected instrumental variables (IVs) at the genome-wide significance level (P &lt; 5 × 10⁻⁸) from the relevant GWAS summary data, ensuring that the IVs were strongly associated with the exposure variables (F-statistic greater than 10). This step </w:t>
            </w:r>
            <w:proofErr w:type="spellStart"/>
            <w:r w:rsidRPr="00206972">
              <w:rPr>
                <w:rFonts w:ascii="Times New Roman" w:eastAsiaTheme="minorEastAsia" w:hAnsi="Times New Roman" w:cs="Times New Roman"/>
                <w:sz w:val="18"/>
                <w:szCs w:val="18"/>
                <w:shd w:val="clear" w:color="auto" w:fill="FFFFFF"/>
                <w:lang w:eastAsia="zh-CN"/>
              </w:rPr>
              <w:t>minimises</w:t>
            </w:r>
            <w:proofErr w:type="spellEnd"/>
            <w:r w:rsidRPr="00206972">
              <w:rPr>
                <w:rFonts w:ascii="Times New Roman" w:eastAsiaTheme="minorEastAsia" w:hAnsi="Times New Roman" w:cs="Times New Roman"/>
                <w:sz w:val="18"/>
                <w:szCs w:val="18"/>
                <w:shd w:val="clear" w:color="auto" w:fill="FFFFFF"/>
                <w:lang w:eastAsia="zh-CN"/>
              </w:rPr>
              <w:t xml:space="preserve"> the risk of weak instrument bias and satisfies the first MR assumption. Due to the limited availability of genome-wide significant IVs for </w:t>
            </w:r>
            <w:r>
              <w:rPr>
                <w:rFonts w:ascii="Times New Roman" w:eastAsiaTheme="minorEastAsia" w:hAnsi="Times New Roman" w:cs="Times New Roman"/>
                <w:sz w:val="18"/>
                <w:szCs w:val="18"/>
                <w:shd w:val="clear" w:color="auto" w:fill="FFFFFF"/>
                <w:lang w:eastAsia="zh-CN"/>
              </w:rPr>
              <w:t>MG</w:t>
            </w:r>
            <w:r w:rsidR="00E32C95">
              <w:rPr>
                <w:rFonts w:ascii="Times New Roman" w:eastAsiaTheme="minorEastAsia" w:hAnsi="Times New Roman" w:cs="Times New Roman"/>
                <w:sz w:val="18"/>
                <w:szCs w:val="18"/>
                <w:shd w:val="clear" w:color="auto" w:fill="FFFFFF"/>
                <w:lang w:eastAsia="zh-CN"/>
              </w:rPr>
              <w:t xml:space="preserve">, </w:t>
            </w:r>
            <w:r w:rsidRPr="00206972">
              <w:rPr>
                <w:rFonts w:ascii="Times New Roman" w:eastAsiaTheme="minorEastAsia" w:hAnsi="Times New Roman" w:cs="Times New Roman"/>
                <w:sz w:val="18"/>
                <w:szCs w:val="18"/>
                <w:shd w:val="clear" w:color="auto" w:fill="FFFFFF"/>
                <w:lang w:eastAsia="zh-CN"/>
              </w:rPr>
              <w:t>we</w:t>
            </w:r>
            <w:r w:rsidR="00E32C95">
              <w:rPr>
                <w:rFonts w:ascii="Times New Roman" w:eastAsiaTheme="minorEastAsia" w:hAnsi="Times New Roman" w:cs="Times New Roman"/>
                <w:sz w:val="18"/>
                <w:szCs w:val="18"/>
                <w:shd w:val="clear" w:color="auto" w:fill="FFFFFF"/>
                <w:lang w:eastAsia="zh-CN"/>
              </w:rPr>
              <w:t xml:space="preserve"> also</w:t>
            </w:r>
            <w:r w:rsidRPr="00206972">
              <w:rPr>
                <w:rFonts w:ascii="Times New Roman" w:eastAsiaTheme="minorEastAsia" w:hAnsi="Times New Roman" w:cs="Times New Roman"/>
                <w:sz w:val="18"/>
                <w:szCs w:val="18"/>
                <w:shd w:val="clear" w:color="auto" w:fill="FFFFFF"/>
                <w:lang w:eastAsia="zh-CN"/>
              </w:rPr>
              <w:t xml:space="preserve"> relaxed the threshold to a genome-wide suggestive level (P &lt; </w:t>
            </w:r>
            <w:r w:rsidR="00D05861" w:rsidRPr="00D16FD2">
              <w:rPr>
                <w:rFonts w:ascii="Times New Roman" w:eastAsia="Times New Roman" w:hAnsi="Times New Roman" w:cs="Times New Roman"/>
                <w:bCs/>
                <w:sz w:val="18"/>
                <w:szCs w:val="18"/>
                <w:lang w:val="en-AU" w:eastAsia="en-GB"/>
              </w:rPr>
              <w:t>1×10⁻⁶)</w:t>
            </w:r>
            <w:r w:rsidRPr="00206972">
              <w:rPr>
                <w:rFonts w:ascii="Times New Roman" w:eastAsiaTheme="minorEastAsia" w:hAnsi="Times New Roman" w:cs="Times New Roman"/>
                <w:sz w:val="18"/>
                <w:szCs w:val="18"/>
                <w:shd w:val="clear" w:color="auto" w:fill="FFFFFF"/>
                <w:lang w:eastAsia="zh-CN"/>
              </w:rPr>
              <w:t>, acknowledging the potential for bias when using fewer IVs (&lt; 10). Further, we rigorously evaluated our IVs, conducting linkage disequilibrium clumping at a stringent threshold (r² &lt; 0.001) to enhance instrument independence. We also ensured that our IVs were not associated with the outcome variables (P &lt; 0.05), thus fulfilling the third MR assumption. Additionally, we performed further sensitivity analyses to confirm the robustness of our IVs and mitigate potential confounding.</w:t>
            </w:r>
          </w:p>
          <w:p w14:paraId="4406FE9D" w14:textId="77777777" w:rsidR="00843A35" w:rsidRDefault="00843A35" w:rsidP="00F75F09">
            <w:pPr>
              <w:spacing w:beforeLines="40" w:before="96" w:afterLines="40" w:after="96" w:line="24" w:lineRule="atLeast"/>
              <w:rPr>
                <w:rFonts w:ascii="Times New Roman" w:eastAsiaTheme="minorEastAsia" w:hAnsi="Times New Roman" w:cs="Times New Roman"/>
                <w:sz w:val="18"/>
                <w:szCs w:val="18"/>
                <w:lang w:eastAsia="zh-CN"/>
              </w:rPr>
            </w:pPr>
          </w:p>
          <w:p w14:paraId="2CDB28F5" w14:textId="1E923F63" w:rsidR="00942FD0" w:rsidRPr="00B430A0" w:rsidRDefault="00942FD0" w:rsidP="00F75F09">
            <w:pPr>
              <w:spacing w:beforeLines="40" w:before="96" w:afterLines="40" w:after="96" w:line="24" w:lineRule="atLeast"/>
              <w:rPr>
                <w:rFonts w:ascii="Times New Roman" w:eastAsiaTheme="minorEastAsia" w:hAnsi="Times New Roman" w:cs="Times New Roman"/>
                <w:sz w:val="18"/>
                <w:szCs w:val="18"/>
                <w:lang w:val="en-GB" w:eastAsia="zh-CN"/>
              </w:rPr>
            </w:pPr>
          </w:p>
        </w:tc>
        <w:tc>
          <w:tcPr>
            <w:tcW w:w="5528" w:type="dxa"/>
          </w:tcPr>
          <w:p w14:paraId="6F5C875B" w14:textId="77777777" w:rsidR="009C2356" w:rsidRPr="009C2356" w:rsidRDefault="009C2356" w:rsidP="009C2356">
            <w:pPr>
              <w:spacing w:beforeLines="40" w:before="96" w:afterLines="40" w:after="96" w:line="24" w:lineRule="atLeast"/>
              <w:rPr>
                <w:rFonts w:ascii="Times New Roman" w:eastAsia="Times New Roman" w:hAnsi="Times New Roman" w:cs="Times New Roman"/>
                <w:sz w:val="18"/>
                <w:szCs w:val="18"/>
                <w:lang w:val="en-AU" w:eastAsia="en-GB"/>
              </w:rPr>
            </w:pPr>
            <w:r w:rsidRPr="009C2356">
              <w:rPr>
                <w:rFonts w:ascii="Times New Roman" w:eastAsia="Times New Roman" w:hAnsi="Times New Roman" w:cs="Times New Roman"/>
                <w:sz w:val="18"/>
                <w:szCs w:val="18"/>
                <w:lang w:val="en-AU" w:eastAsia="en-GB"/>
              </w:rPr>
              <w:t>Measurement and Selection of Genetic Variants</w:t>
            </w:r>
          </w:p>
          <w:p w14:paraId="4BC1B23B" w14:textId="61DE1313" w:rsidR="009C2356" w:rsidRPr="009C2356" w:rsidRDefault="009C2356" w:rsidP="009C2356">
            <w:pPr>
              <w:spacing w:beforeLines="40" w:before="96" w:afterLines="40" w:after="96" w:line="24" w:lineRule="atLeast"/>
              <w:rPr>
                <w:rFonts w:ascii="Times New Roman" w:eastAsia="Times New Roman" w:hAnsi="Times New Roman" w:cs="Times New Roman"/>
                <w:sz w:val="18"/>
                <w:szCs w:val="18"/>
                <w:lang w:val="en-AU" w:eastAsia="en-GB"/>
              </w:rPr>
            </w:pPr>
            <w:r>
              <w:rPr>
                <w:rFonts w:ascii="Times New Roman" w:eastAsia="Times New Roman" w:hAnsi="Times New Roman" w:cs="Times New Roman"/>
                <w:sz w:val="18"/>
                <w:szCs w:val="18"/>
                <w:lang w:val="en-AU" w:eastAsia="en-GB"/>
              </w:rPr>
              <w:t>‘</w:t>
            </w:r>
            <w:r w:rsidRPr="009C2356">
              <w:rPr>
                <w:rFonts w:ascii="Times New Roman" w:eastAsia="Times New Roman" w:hAnsi="Times New Roman" w:cs="Times New Roman"/>
                <w:sz w:val="18"/>
                <w:szCs w:val="18"/>
                <w:lang w:val="en-AU" w:eastAsia="en-GB"/>
              </w:rPr>
              <w:t>We identified IVs from relevant GWAS summary data, selecting those that reached genome-wide significance (p &lt; 5 × 10⁻⁸) to ensure a strong association with exposure variables and an F-statistic above 10. This approach minimised weak instrument bias and satisfied the first MR assumption.</w:t>
            </w:r>
            <w:r>
              <w:rPr>
                <w:rFonts w:ascii="Times New Roman" w:eastAsia="Times New Roman" w:hAnsi="Times New Roman" w:cs="Times New Roman"/>
                <w:sz w:val="18"/>
                <w:szCs w:val="18"/>
                <w:lang w:val="en-AU" w:eastAsia="en-GB"/>
              </w:rPr>
              <w:t>’</w:t>
            </w:r>
          </w:p>
          <w:p w14:paraId="60DF6B28" w14:textId="07E743E4" w:rsidR="009C2356" w:rsidRPr="009C2356" w:rsidRDefault="009C2356" w:rsidP="009C2356">
            <w:pPr>
              <w:spacing w:beforeLines="40" w:before="96" w:afterLines="40" w:after="96" w:line="24" w:lineRule="atLeast"/>
              <w:rPr>
                <w:rFonts w:ascii="Times New Roman" w:eastAsia="Times New Roman" w:hAnsi="Times New Roman" w:cs="Times New Roman"/>
                <w:sz w:val="18"/>
                <w:szCs w:val="18"/>
                <w:lang w:val="en-AU" w:eastAsia="en-GB"/>
              </w:rPr>
            </w:pPr>
            <w:r w:rsidRPr="009C2356">
              <w:rPr>
                <w:rFonts w:ascii="Times New Roman" w:eastAsia="Times New Roman" w:hAnsi="Times New Roman" w:cs="Times New Roman"/>
                <w:sz w:val="18"/>
                <w:szCs w:val="18"/>
                <w:lang w:val="en-AU" w:eastAsia="en-GB"/>
              </w:rPr>
              <w:t>“IVs were selected based on P &lt; 5×10⁻⁸ and suggestive thresholds (P &lt; 1×10⁻⁶) to improve instrument strength and coverage.</w:t>
            </w:r>
            <w:r>
              <w:rPr>
                <w:rFonts w:ascii="Times New Roman" w:eastAsia="Times New Roman" w:hAnsi="Times New Roman" w:cs="Times New Roman"/>
                <w:sz w:val="18"/>
                <w:szCs w:val="18"/>
                <w:lang w:val="en-AU" w:eastAsia="en-GB"/>
              </w:rPr>
              <w:t>’</w:t>
            </w:r>
          </w:p>
          <w:p w14:paraId="151F95A9" w14:textId="77777777" w:rsidR="009C2356" w:rsidRPr="009C2356" w:rsidRDefault="009C2356" w:rsidP="009C2356">
            <w:pPr>
              <w:spacing w:beforeLines="40" w:before="96" w:afterLines="40" w:after="96" w:line="24" w:lineRule="atLeast"/>
              <w:rPr>
                <w:rFonts w:ascii="Times New Roman" w:eastAsia="Times New Roman" w:hAnsi="Times New Roman" w:cs="Times New Roman"/>
                <w:sz w:val="18"/>
                <w:szCs w:val="18"/>
                <w:lang w:val="en-AU" w:eastAsia="en-GB"/>
              </w:rPr>
            </w:pPr>
            <w:r w:rsidRPr="009C2356">
              <w:rPr>
                <w:rFonts w:ascii="Times New Roman" w:eastAsia="Times New Roman" w:hAnsi="Times New Roman" w:cs="Times New Roman"/>
                <w:sz w:val="18"/>
                <w:szCs w:val="18"/>
                <w:lang w:val="en-AU" w:eastAsia="en-GB"/>
              </w:rPr>
              <w:t>Quality Control and Filtering</w:t>
            </w:r>
          </w:p>
          <w:p w14:paraId="77BD1F07" w14:textId="3FB1DDD9" w:rsidR="009C2356" w:rsidRPr="009C2356" w:rsidRDefault="009C2356" w:rsidP="009C2356">
            <w:pPr>
              <w:spacing w:beforeLines="40" w:before="96" w:afterLines="40" w:after="96" w:line="24" w:lineRule="atLeast"/>
              <w:rPr>
                <w:rFonts w:ascii="Times New Roman" w:eastAsia="Times New Roman" w:hAnsi="Times New Roman" w:cs="Times New Roman"/>
                <w:sz w:val="18"/>
                <w:szCs w:val="18"/>
                <w:lang w:val="en-AU" w:eastAsia="en-GB"/>
              </w:rPr>
            </w:pPr>
            <w:r>
              <w:rPr>
                <w:rFonts w:ascii="Times New Roman" w:eastAsia="Times New Roman" w:hAnsi="Times New Roman" w:cs="Times New Roman"/>
                <w:sz w:val="18"/>
                <w:szCs w:val="18"/>
                <w:lang w:val="en-AU" w:eastAsia="en-GB"/>
              </w:rPr>
              <w:t>‘</w:t>
            </w:r>
            <w:r w:rsidRPr="009C2356">
              <w:rPr>
                <w:rFonts w:ascii="Times New Roman" w:eastAsia="Times New Roman" w:hAnsi="Times New Roman" w:cs="Times New Roman"/>
                <w:sz w:val="18"/>
                <w:szCs w:val="18"/>
                <w:lang w:val="en-AU" w:eastAsia="en-GB"/>
              </w:rPr>
              <w:t>We rigorously assessed IVs and applied stringent linkage disequilibrium clumping (r² &lt; 0.001 and 10,000 kb) to maintain instrument independence.</w:t>
            </w:r>
            <w:r>
              <w:rPr>
                <w:rFonts w:ascii="Times New Roman" w:eastAsia="Times New Roman" w:hAnsi="Times New Roman" w:cs="Times New Roman"/>
                <w:sz w:val="18"/>
                <w:szCs w:val="18"/>
                <w:lang w:val="en-AU" w:eastAsia="en-GB"/>
              </w:rPr>
              <w:t>’</w:t>
            </w:r>
          </w:p>
          <w:p w14:paraId="2D5C36F2" w14:textId="5A178A7B" w:rsidR="009C2356" w:rsidRPr="009C2356" w:rsidRDefault="009C2356" w:rsidP="009C2356">
            <w:pPr>
              <w:spacing w:beforeLines="40" w:before="96" w:afterLines="40" w:after="96" w:line="24" w:lineRule="atLeast"/>
              <w:rPr>
                <w:rFonts w:ascii="Times New Roman" w:eastAsia="Times New Roman" w:hAnsi="Times New Roman" w:cs="Times New Roman"/>
                <w:sz w:val="18"/>
                <w:szCs w:val="18"/>
                <w:lang w:val="en-AU" w:eastAsia="en-GB"/>
              </w:rPr>
            </w:pPr>
            <w:r>
              <w:rPr>
                <w:rFonts w:ascii="Times New Roman" w:eastAsia="Times New Roman" w:hAnsi="Times New Roman" w:cs="Times New Roman"/>
                <w:sz w:val="18"/>
                <w:szCs w:val="18"/>
                <w:lang w:val="en-AU" w:eastAsia="en-GB"/>
              </w:rPr>
              <w:t>‘</w:t>
            </w:r>
            <w:r w:rsidRPr="009C2356">
              <w:rPr>
                <w:rFonts w:ascii="Times New Roman" w:eastAsia="Times New Roman" w:hAnsi="Times New Roman" w:cs="Times New Roman"/>
                <w:sz w:val="18"/>
                <w:szCs w:val="18"/>
                <w:lang w:val="en-AU" w:eastAsia="en-GB"/>
              </w:rPr>
              <w:t>To further improve data quality, we excluded genetic variants with intermediate allele frequencies to prevent strand alignment issues, removed variants absent in the reference dataset, and harmonised exposure and outcome data by aligning alleles and maintaining consistency in effect directions.</w:t>
            </w:r>
            <w:r>
              <w:rPr>
                <w:rFonts w:ascii="Times New Roman" w:eastAsia="Times New Roman" w:hAnsi="Times New Roman" w:cs="Times New Roman"/>
                <w:sz w:val="18"/>
                <w:szCs w:val="18"/>
                <w:lang w:val="en-AU" w:eastAsia="en-GB"/>
              </w:rPr>
              <w:t>’</w:t>
            </w:r>
          </w:p>
          <w:p w14:paraId="45B4AEDE" w14:textId="48C7D874" w:rsidR="009C2356" w:rsidRPr="009C2356" w:rsidRDefault="007E1706" w:rsidP="009C2356">
            <w:pPr>
              <w:spacing w:beforeLines="40" w:before="96" w:afterLines="40" w:after="96" w:line="24" w:lineRule="atLeast"/>
              <w:rPr>
                <w:rFonts w:ascii="Times New Roman" w:eastAsia="Times New Roman" w:hAnsi="Times New Roman" w:cs="Times New Roman"/>
                <w:sz w:val="18"/>
                <w:szCs w:val="18"/>
                <w:lang w:val="en-AU" w:eastAsia="en-GB"/>
              </w:rPr>
            </w:pPr>
            <w:r>
              <w:rPr>
                <w:rFonts w:ascii="Times New Roman" w:eastAsia="Times New Roman" w:hAnsi="Times New Roman" w:cs="Times New Roman"/>
                <w:sz w:val="18"/>
                <w:szCs w:val="18"/>
                <w:lang w:val="en-AU" w:eastAsia="en-GB"/>
              </w:rPr>
              <w:t>‘</w:t>
            </w:r>
            <w:r w:rsidR="009C2356" w:rsidRPr="009C2356">
              <w:rPr>
                <w:rFonts w:ascii="Times New Roman" w:eastAsia="Times New Roman" w:hAnsi="Times New Roman" w:cs="Times New Roman"/>
                <w:sz w:val="18"/>
                <w:szCs w:val="18"/>
                <w:lang w:val="en-AU" w:eastAsia="en-GB"/>
              </w:rPr>
              <w:t>We confirmed that there was no significant overlap of samples between AD and MG datasets, potentially ruling out likely biases arising from shared individuals in both GWAS cohorts.</w:t>
            </w:r>
            <w:r>
              <w:rPr>
                <w:rFonts w:ascii="Times New Roman" w:eastAsia="Times New Roman" w:hAnsi="Times New Roman" w:cs="Times New Roman"/>
                <w:sz w:val="18"/>
                <w:szCs w:val="18"/>
                <w:lang w:val="en-AU" w:eastAsia="en-GB"/>
              </w:rPr>
              <w:t>’</w:t>
            </w:r>
          </w:p>
          <w:p w14:paraId="42094F37" w14:textId="77777777" w:rsidR="009C2356" w:rsidRPr="009C2356" w:rsidRDefault="009C2356" w:rsidP="009C2356">
            <w:pPr>
              <w:spacing w:beforeLines="40" w:before="96" w:afterLines="40" w:after="96" w:line="24" w:lineRule="atLeast"/>
              <w:rPr>
                <w:rFonts w:ascii="Times New Roman" w:eastAsia="Times New Roman" w:hAnsi="Times New Roman" w:cs="Times New Roman"/>
                <w:sz w:val="18"/>
                <w:szCs w:val="18"/>
                <w:lang w:val="en-AU" w:eastAsia="en-GB"/>
              </w:rPr>
            </w:pPr>
            <w:r w:rsidRPr="009C2356">
              <w:rPr>
                <w:rFonts w:ascii="Times New Roman" w:eastAsia="Times New Roman" w:hAnsi="Times New Roman" w:cs="Times New Roman"/>
                <w:sz w:val="18"/>
                <w:szCs w:val="18"/>
                <w:lang w:val="en-AU" w:eastAsia="en-GB"/>
              </w:rPr>
              <w:t xml:space="preserve">Additional Quality Control in </w:t>
            </w:r>
            <w:proofErr w:type="spellStart"/>
            <w:r w:rsidRPr="009C2356">
              <w:rPr>
                <w:rFonts w:ascii="Times New Roman" w:eastAsia="Times New Roman" w:hAnsi="Times New Roman" w:cs="Times New Roman"/>
                <w:sz w:val="18"/>
                <w:szCs w:val="18"/>
                <w:lang w:val="en-AU" w:eastAsia="en-GB"/>
              </w:rPr>
              <w:t>Colocalisation</w:t>
            </w:r>
            <w:proofErr w:type="spellEnd"/>
          </w:p>
          <w:p w14:paraId="76278C5C" w14:textId="6CCE6403" w:rsidR="00D16FD2" w:rsidRPr="008D0409" w:rsidRDefault="007E1706" w:rsidP="0025074A">
            <w:pPr>
              <w:spacing w:beforeLines="40" w:before="96" w:afterLines="40" w:after="96" w:line="24" w:lineRule="atLeast"/>
              <w:rPr>
                <w:rFonts w:ascii="Times New Roman" w:eastAsia="Times New Roman" w:hAnsi="Times New Roman" w:cs="Times New Roman"/>
                <w:bCs/>
                <w:sz w:val="18"/>
                <w:szCs w:val="18"/>
                <w:lang w:val="en-AU" w:eastAsia="en-GB"/>
              </w:rPr>
            </w:pPr>
            <w:r>
              <w:rPr>
                <w:rFonts w:ascii="Times New Roman" w:eastAsia="Times New Roman" w:hAnsi="Times New Roman" w:cs="Times New Roman"/>
                <w:sz w:val="18"/>
                <w:szCs w:val="18"/>
                <w:lang w:val="en-AU" w:eastAsia="en-GB"/>
              </w:rPr>
              <w:t>‘</w:t>
            </w:r>
            <w:r w:rsidR="009C2356" w:rsidRPr="009C2356">
              <w:rPr>
                <w:rFonts w:ascii="Times New Roman" w:eastAsia="Times New Roman" w:hAnsi="Times New Roman" w:cs="Times New Roman"/>
                <w:sz w:val="18"/>
                <w:szCs w:val="18"/>
                <w:lang w:val="en-AU" w:eastAsia="en-GB"/>
              </w:rPr>
              <w:t xml:space="preserve">The datasets were merged based on </w:t>
            </w:r>
            <w:proofErr w:type="spellStart"/>
            <w:r w:rsidR="009C2356" w:rsidRPr="009C2356">
              <w:rPr>
                <w:rFonts w:ascii="Times New Roman" w:eastAsia="Times New Roman" w:hAnsi="Times New Roman" w:cs="Times New Roman"/>
                <w:sz w:val="18"/>
                <w:szCs w:val="18"/>
                <w:lang w:val="en-AU" w:eastAsia="en-GB"/>
              </w:rPr>
              <w:t>rsID</w:t>
            </w:r>
            <w:proofErr w:type="spellEnd"/>
            <w:r w:rsidR="009C2356" w:rsidRPr="009C2356">
              <w:rPr>
                <w:rFonts w:ascii="Times New Roman" w:eastAsia="Times New Roman" w:hAnsi="Times New Roman" w:cs="Times New Roman"/>
                <w:sz w:val="18"/>
                <w:szCs w:val="18"/>
                <w:lang w:val="en-AU" w:eastAsia="en-GB"/>
              </w:rPr>
              <w:t xml:space="preserve"> and allele information, aligning effect and non-effect alleles across both traits. Standardised Z-scores and variances for each SNP were then used as input for the GWAS-PW model. The analysis focused on predefined independent genetic regions based on LD patterns from the 1000 Genomes Project European reference panel. This approach ensured that our findings were not confounded by correlated SNPs within LD blocks.</w:t>
            </w:r>
            <w:r>
              <w:rPr>
                <w:rFonts w:ascii="Times New Roman" w:eastAsia="Times New Roman" w:hAnsi="Times New Roman" w:cs="Times New Roman"/>
                <w:sz w:val="18"/>
                <w:szCs w:val="18"/>
                <w:lang w:val="en-AU" w:eastAsia="en-GB"/>
              </w:rPr>
              <w:t>’</w:t>
            </w:r>
          </w:p>
        </w:tc>
        <w:tc>
          <w:tcPr>
            <w:tcW w:w="710" w:type="dxa"/>
          </w:tcPr>
          <w:p w14:paraId="26B556E6" w14:textId="2A9942A0" w:rsidR="00942FD0" w:rsidRPr="00B430A0" w:rsidRDefault="008D0409" w:rsidP="00EB2849">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w:t>
            </w:r>
            <w:r w:rsidR="00E4643E">
              <w:rPr>
                <w:rFonts w:ascii="Times New Roman" w:eastAsia="Times New Roman" w:hAnsi="Times New Roman" w:cs="Times New Roman"/>
                <w:sz w:val="18"/>
                <w:szCs w:val="18"/>
                <w:lang w:eastAsia="en-GB"/>
              </w:rPr>
              <w:t>5</w:t>
            </w:r>
            <w:r w:rsidR="00D16FD2">
              <w:rPr>
                <w:rFonts w:ascii="Times New Roman" w:eastAsia="Times New Roman" w:hAnsi="Times New Roman" w:cs="Times New Roman"/>
                <w:sz w:val="18"/>
                <w:szCs w:val="18"/>
                <w:lang w:eastAsia="en-GB"/>
              </w:rPr>
              <w:t xml:space="preserve"> and </w:t>
            </w:r>
            <w:r w:rsidR="00E4643E">
              <w:rPr>
                <w:rFonts w:ascii="Times New Roman" w:eastAsia="Times New Roman" w:hAnsi="Times New Roman" w:cs="Times New Roman"/>
                <w:sz w:val="18"/>
                <w:szCs w:val="18"/>
                <w:lang w:eastAsia="en-GB"/>
              </w:rPr>
              <w:t>36</w:t>
            </w:r>
          </w:p>
        </w:tc>
      </w:tr>
      <w:tr w:rsidR="00942FD0" w:rsidRPr="00475AC8" w14:paraId="215DDE8E" w14:textId="5C8C984B" w:rsidTr="00475AC8">
        <w:tc>
          <w:tcPr>
            <w:tcW w:w="587" w:type="dxa"/>
          </w:tcPr>
          <w:p w14:paraId="7E3D460D" w14:textId="77777777" w:rsidR="00942FD0" w:rsidRPr="00475AC8" w:rsidRDefault="00942FD0" w:rsidP="00F75F09">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0FB55ADC" w14:textId="77777777" w:rsidR="00942FD0" w:rsidRPr="00475AC8" w:rsidRDefault="00942FD0" w:rsidP="00F75F09">
            <w:pPr>
              <w:spacing w:beforeLines="40" w:before="96" w:afterLines="40" w:after="96" w:line="24" w:lineRule="atLeast"/>
              <w:jc w:val="right"/>
              <w:rPr>
                <w:rFonts w:ascii="Times New Roman" w:eastAsia="Cambria" w:hAnsi="Times New Roman" w:cs="Times New Roman"/>
                <w:sz w:val="18"/>
                <w:szCs w:val="18"/>
                <w:lang w:val="en-GB" w:eastAsia="en-US"/>
              </w:rPr>
            </w:pPr>
            <w:r w:rsidRPr="00475AC8">
              <w:rPr>
                <w:rFonts w:ascii="Times New Roman" w:eastAsia="Cambria" w:hAnsi="Times New Roman" w:cs="Times New Roman"/>
                <w:sz w:val="18"/>
                <w:szCs w:val="18"/>
                <w:lang w:val="en-GB" w:eastAsia="en-US"/>
              </w:rPr>
              <w:t>d)</w:t>
            </w:r>
          </w:p>
        </w:tc>
        <w:tc>
          <w:tcPr>
            <w:tcW w:w="2126" w:type="dxa"/>
          </w:tcPr>
          <w:p w14:paraId="3B6B6065" w14:textId="77777777" w:rsidR="00942FD0" w:rsidRPr="00475AC8" w:rsidRDefault="00942FD0" w:rsidP="00F75F09">
            <w:pPr>
              <w:spacing w:beforeLines="40" w:before="96" w:afterLines="40" w:after="96" w:line="24" w:lineRule="atLeast"/>
              <w:textAlignment w:val="baseline"/>
              <w:rPr>
                <w:rFonts w:ascii="Times New Roman" w:eastAsia="Cambria" w:hAnsi="Times New Roman" w:cs="Times New Roman"/>
                <w:sz w:val="18"/>
                <w:szCs w:val="18"/>
                <w:lang w:val="en-GB" w:eastAsia="en-US"/>
              </w:rPr>
            </w:pPr>
            <w:r w:rsidRPr="00475AC8">
              <w:rPr>
                <w:rFonts w:ascii="Times New Roman" w:eastAsia="Times New Roman" w:hAnsi="Times New Roman" w:cs="Times New Roman"/>
                <w:sz w:val="18"/>
                <w:szCs w:val="18"/>
                <w:shd w:val="clear" w:color="auto" w:fill="FFFFFF"/>
                <w:lang w:val="en-GB" w:eastAsia="en-GB"/>
              </w:rPr>
              <w:t>For each exposure, outcome, and other relevant variables, describe methods of assessment and diagnostic criteria for diseases</w:t>
            </w:r>
          </w:p>
        </w:tc>
        <w:tc>
          <w:tcPr>
            <w:tcW w:w="4678" w:type="dxa"/>
          </w:tcPr>
          <w:p w14:paraId="37FB656C" w14:textId="4F9AA5C3" w:rsidR="00942FD0" w:rsidRPr="00475AC8" w:rsidRDefault="00475AC8" w:rsidP="00F75F09">
            <w:pPr>
              <w:spacing w:beforeLines="40" w:before="96" w:afterLines="40" w:after="96" w:line="24" w:lineRule="atLeast"/>
              <w:textAlignment w:val="baseline"/>
              <w:rPr>
                <w:rFonts w:ascii="Times New Roman" w:eastAsiaTheme="minorEastAsia" w:hAnsi="Times New Roman" w:cs="Times New Roman"/>
                <w:sz w:val="18"/>
                <w:szCs w:val="18"/>
                <w:shd w:val="clear" w:color="auto" w:fill="FFFFFF"/>
                <w:lang w:val="en-GB" w:eastAsia="zh-CN"/>
              </w:rPr>
            </w:pPr>
            <w:r w:rsidRPr="00475AC8">
              <w:rPr>
                <w:rFonts w:ascii="Times New Roman" w:eastAsiaTheme="minorEastAsia" w:hAnsi="Times New Roman" w:cs="Times New Roman"/>
                <w:sz w:val="18"/>
                <w:szCs w:val="18"/>
                <w:shd w:val="clear" w:color="auto" w:fill="FFFFFF"/>
                <w:lang w:val="en-GB" w:eastAsia="zh-CN"/>
              </w:rPr>
              <w:t>In this study w</w:t>
            </w:r>
            <w:r w:rsidR="008C084A" w:rsidRPr="00475AC8">
              <w:rPr>
                <w:rFonts w:ascii="Times New Roman" w:eastAsiaTheme="minorEastAsia" w:hAnsi="Times New Roman" w:cs="Times New Roman"/>
                <w:sz w:val="18"/>
                <w:szCs w:val="18"/>
                <w:shd w:val="clear" w:color="auto" w:fill="FFFFFF"/>
                <w:lang w:val="en-GB" w:eastAsia="zh-CN"/>
              </w:rPr>
              <w:t>e assess AD</w:t>
            </w:r>
            <w:r w:rsidRPr="00475AC8">
              <w:rPr>
                <w:rFonts w:ascii="Times New Roman" w:eastAsiaTheme="minorEastAsia" w:hAnsi="Times New Roman" w:cs="Times New Roman"/>
                <w:sz w:val="18"/>
                <w:szCs w:val="18"/>
                <w:shd w:val="clear" w:color="auto" w:fill="FFFFFF"/>
                <w:lang w:val="en-GB" w:eastAsia="zh-CN"/>
              </w:rPr>
              <w:t xml:space="preserve"> and MG</w:t>
            </w:r>
            <w:r w:rsidR="008C084A" w:rsidRPr="00475AC8">
              <w:rPr>
                <w:rFonts w:ascii="Times New Roman" w:eastAsiaTheme="minorEastAsia" w:hAnsi="Times New Roman" w:cs="Times New Roman"/>
                <w:sz w:val="18"/>
                <w:szCs w:val="18"/>
                <w:shd w:val="clear" w:color="auto" w:fill="FFFFFF"/>
                <w:lang w:val="en-GB" w:eastAsia="zh-CN"/>
              </w:rPr>
              <w:t xml:space="preserve"> traits</w:t>
            </w:r>
            <w:r w:rsidRPr="00475AC8">
              <w:rPr>
                <w:rFonts w:ascii="Times New Roman" w:eastAsiaTheme="minorEastAsia" w:hAnsi="Times New Roman" w:cs="Times New Roman"/>
                <w:sz w:val="18"/>
                <w:szCs w:val="18"/>
                <w:shd w:val="clear" w:color="auto" w:fill="FFFFFF"/>
                <w:lang w:val="en-GB" w:eastAsia="zh-CN"/>
              </w:rPr>
              <w:t xml:space="preserve">. </w:t>
            </w:r>
            <w:r w:rsidR="005951A7" w:rsidRPr="00475AC8">
              <w:rPr>
                <w:rFonts w:ascii="Times New Roman" w:eastAsiaTheme="minorEastAsia" w:hAnsi="Times New Roman" w:cs="Times New Roman"/>
                <w:sz w:val="18"/>
                <w:szCs w:val="18"/>
                <w:shd w:val="clear" w:color="auto" w:fill="FFFFFF"/>
                <w:lang w:val="en-GB" w:eastAsia="zh-CN"/>
              </w:rPr>
              <w:t xml:space="preserve">We summarise as </w:t>
            </w:r>
            <w:r w:rsidR="00E00700" w:rsidRPr="00475AC8">
              <w:rPr>
                <w:rFonts w:ascii="Times New Roman" w:eastAsiaTheme="minorEastAsia" w:hAnsi="Times New Roman" w:cs="Times New Roman"/>
                <w:sz w:val="18"/>
                <w:szCs w:val="18"/>
                <w:shd w:val="clear" w:color="auto" w:fill="FFFFFF"/>
                <w:lang w:val="en-GB" w:eastAsia="zh-CN"/>
              </w:rPr>
              <w:t>appropriate, methods of assessment or diagnostic criteria</w:t>
            </w:r>
            <w:r w:rsidRPr="00475AC8">
              <w:rPr>
                <w:rFonts w:ascii="Times New Roman" w:eastAsiaTheme="minorEastAsia" w:hAnsi="Times New Roman" w:cs="Times New Roman"/>
                <w:sz w:val="18"/>
                <w:szCs w:val="18"/>
                <w:shd w:val="clear" w:color="auto" w:fill="FFFFFF"/>
                <w:lang w:val="en-GB" w:eastAsia="zh-CN"/>
              </w:rPr>
              <w:t xml:space="preserve"> of AD and MG</w:t>
            </w:r>
            <w:r w:rsidR="00E00700" w:rsidRPr="00475AC8">
              <w:rPr>
                <w:rFonts w:ascii="Times New Roman" w:eastAsiaTheme="minorEastAsia" w:hAnsi="Times New Roman" w:cs="Times New Roman"/>
                <w:sz w:val="18"/>
                <w:szCs w:val="18"/>
                <w:shd w:val="clear" w:color="auto" w:fill="FFFFFF"/>
                <w:lang w:val="en-GB" w:eastAsia="zh-CN"/>
              </w:rPr>
              <w:t xml:space="preserve"> in our study.</w:t>
            </w:r>
          </w:p>
        </w:tc>
        <w:tc>
          <w:tcPr>
            <w:tcW w:w="5528" w:type="dxa"/>
          </w:tcPr>
          <w:p w14:paraId="7C3EFD60" w14:textId="7139F962" w:rsidR="005A2146" w:rsidRPr="005A2146" w:rsidRDefault="005A2146" w:rsidP="005A2146">
            <w:pPr>
              <w:spacing w:beforeLines="40" w:before="96" w:afterLines="40" w:after="96" w:line="24" w:lineRule="atLeast"/>
              <w:textAlignment w:val="baseline"/>
              <w:rPr>
                <w:rFonts w:ascii="Times New Roman" w:eastAsiaTheme="minorEastAsia" w:hAnsi="Times New Roman" w:cs="Times New Roman"/>
                <w:sz w:val="18"/>
                <w:szCs w:val="18"/>
                <w:shd w:val="clear" w:color="auto" w:fill="FFFFFF"/>
                <w:lang w:val="en-AU" w:eastAsia="zh-CN"/>
              </w:rPr>
            </w:pPr>
            <w:r>
              <w:rPr>
                <w:rFonts w:ascii="Times New Roman" w:eastAsiaTheme="minorEastAsia" w:hAnsi="Times New Roman" w:cs="Times New Roman"/>
                <w:sz w:val="18"/>
                <w:szCs w:val="18"/>
                <w:shd w:val="clear" w:color="auto" w:fill="FFFFFF"/>
                <w:lang w:val="en-AU" w:eastAsia="zh-CN"/>
              </w:rPr>
              <w:t>‘</w:t>
            </w:r>
            <w:r w:rsidRPr="005A2146">
              <w:rPr>
                <w:rFonts w:ascii="Times New Roman" w:eastAsiaTheme="minorEastAsia" w:hAnsi="Times New Roman" w:cs="Times New Roman"/>
                <w:sz w:val="18"/>
                <w:szCs w:val="18"/>
                <w:shd w:val="clear" w:color="auto" w:fill="FFFFFF"/>
                <w:lang w:val="en-AU" w:eastAsia="zh-CN"/>
              </w:rPr>
              <w:t>We identified IVs from relevant GWAS summary data… Relevant GWAS summary statistics for AD and MG were derived from large-scale genome-wide association studies that used clinically diagnosed cases and well-defined controls.</w:t>
            </w:r>
            <w:r>
              <w:rPr>
                <w:rFonts w:ascii="Times New Roman" w:eastAsiaTheme="minorEastAsia" w:hAnsi="Times New Roman" w:cs="Times New Roman"/>
                <w:sz w:val="18"/>
                <w:szCs w:val="18"/>
                <w:shd w:val="clear" w:color="auto" w:fill="FFFFFF"/>
                <w:lang w:val="en-AU" w:eastAsia="zh-CN"/>
              </w:rPr>
              <w:t>’</w:t>
            </w:r>
          </w:p>
          <w:p w14:paraId="178B591E" w14:textId="15F641F0" w:rsidR="005A2146" w:rsidRPr="005A2146" w:rsidRDefault="005A2146" w:rsidP="005A2146">
            <w:pPr>
              <w:spacing w:beforeLines="40" w:before="96" w:afterLines="40" w:after="96" w:line="24" w:lineRule="atLeast"/>
              <w:textAlignment w:val="baseline"/>
              <w:rPr>
                <w:rFonts w:ascii="Times New Roman" w:eastAsiaTheme="minorEastAsia" w:hAnsi="Times New Roman" w:cs="Times New Roman"/>
                <w:sz w:val="18"/>
                <w:szCs w:val="18"/>
                <w:shd w:val="clear" w:color="auto" w:fill="FFFFFF"/>
                <w:lang w:val="en-AU" w:eastAsia="zh-CN"/>
              </w:rPr>
            </w:pPr>
            <w:r>
              <w:rPr>
                <w:rFonts w:ascii="Times New Roman" w:eastAsiaTheme="minorEastAsia" w:hAnsi="Times New Roman" w:cs="Times New Roman"/>
                <w:sz w:val="18"/>
                <w:szCs w:val="18"/>
                <w:shd w:val="clear" w:color="auto" w:fill="FFFFFF"/>
                <w:lang w:val="en-AU" w:eastAsia="zh-CN"/>
              </w:rPr>
              <w:t>‘</w:t>
            </w:r>
            <w:r w:rsidRPr="005A2146">
              <w:rPr>
                <w:rFonts w:ascii="Times New Roman" w:eastAsiaTheme="minorEastAsia" w:hAnsi="Times New Roman" w:cs="Times New Roman"/>
                <w:sz w:val="18"/>
                <w:szCs w:val="18"/>
                <w:shd w:val="clear" w:color="auto" w:fill="FFFFFF"/>
                <w:lang w:val="en-AU" w:eastAsia="zh-CN"/>
              </w:rPr>
              <w:t>For AD, cases were defined according to standard clinical diagnostic criteria for Alzheimer’s disease or proxy phenotypes validated against clinical diagnoses, as implemented in the source GWAS. For MG, case definitions were based on confirmed clinical diagnosis supported by serological and electrophysiological evidence as applied in the contributing GWAS cohorts.</w:t>
            </w:r>
            <w:r>
              <w:rPr>
                <w:rFonts w:ascii="Times New Roman" w:eastAsiaTheme="minorEastAsia" w:hAnsi="Times New Roman" w:cs="Times New Roman"/>
                <w:sz w:val="18"/>
                <w:szCs w:val="18"/>
                <w:shd w:val="clear" w:color="auto" w:fill="FFFFFF"/>
                <w:lang w:val="en-AU" w:eastAsia="zh-CN"/>
              </w:rPr>
              <w:t>’</w:t>
            </w:r>
          </w:p>
          <w:p w14:paraId="57E69682" w14:textId="3FB62127" w:rsidR="005A2146" w:rsidRPr="005A2146" w:rsidRDefault="005A2146" w:rsidP="005A2146">
            <w:pPr>
              <w:spacing w:beforeLines="40" w:before="96" w:afterLines="40" w:after="96" w:line="24" w:lineRule="atLeast"/>
              <w:textAlignment w:val="baseline"/>
              <w:rPr>
                <w:rFonts w:ascii="Times New Roman" w:eastAsiaTheme="minorEastAsia" w:hAnsi="Times New Roman" w:cs="Times New Roman"/>
                <w:sz w:val="18"/>
                <w:szCs w:val="18"/>
                <w:shd w:val="clear" w:color="auto" w:fill="FFFFFF"/>
                <w:lang w:val="en-AU" w:eastAsia="zh-CN"/>
              </w:rPr>
            </w:pPr>
            <w:r>
              <w:rPr>
                <w:rFonts w:ascii="Times New Roman" w:eastAsiaTheme="minorEastAsia" w:hAnsi="Times New Roman" w:cs="Times New Roman"/>
                <w:sz w:val="18"/>
                <w:szCs w:val="18"/>
                <w:shd w:val="clear" w:color="auto" w:fill="FFFFFF"/>
                <w:lang w:val="en-AU" w:eastAsia="zh-CN"/>
              </w:rPr>
              <w:lastRenderedPageBreak/>
              <w:t>‘</w:t>
            </w:r>
            <w:r w:rsidRPr="005A2146">
              <w:rPr>
                <w:rFonts w:ascii="Times New Roman" w:eastAsiaTheme="minorEastAsia" w:hAnsi="Times New Roman" w:cs="Times New Roman"/>
                <w:sz w:val="18"/>
                <w:szCs w:val="18"/>
                <w:shd w:val="clear" w:color="auto" w:fill="FFFFFF"/>
                <w:lang w:val="en-AU" w:eastAsia="zh-CN"/>
              </w:rPr>
              <w:t>Both datasets underwent extensive quality control in their original studies, including imputation to reference panels, exclusion of individuals with ambiguous sex, relatedness, or non-European ancestry, and filtering of SNPs with low imputation quality or minor allele frequency.</w:t>
            </w:r>
            <w:r>
              <w:rPr>
                <w:rFonts w:ascii="Times New Roman" w:eastAsiaTheme="minorEastAsia" w:hAnsi="Times New Roman" w:cs="Times New Roman"/>
                <w:sz w:val="18"/>
                <w:szCs w:val="18"/>
                <w:shd w:val="clear" w:color="auto" w:fill="FFFFFF"/>
                <w:lang w:val="en-AU" w:eastAsia="zh-CN"/>
              </w:rPr>
              <w:t>’</w:t>
            </w:r>
          </w:p>
          <w:p w14:paraId="55C8296F" w14:textId="391C0454" w:rsidR="005A2146" w:rsidRPr="005A2146" w:rsidRDefault="003A76A7" w:rsidP="005A2146">
            <w:pPr>
              <w:spacing w:beforeLines="40" w:before="96" w:afterLines="40" w:after="96" w:line="24" w:lineRule="atLeast"/>
              <w:textAlignment w:val="baseline"/>
              <w:rPr>
                <w:rFonts w:ascii="Times New Roman" w:eastAsiaTheme="minorEastAsia" w:hAnsi="Times New Roman" w:cs="Times New Roman"/>
                <w:sz w:val="18"/>
                <w:szCs w:val="18"/>
                <w:shd w:val="clear" w:color="auto" w:fill="FFFFFF"/>
                <w:lang w:val="en-AU" w:eastAsia="zh-CN"/>
              </w:rPr>
            </w:pPr>
            <w:r>
              <w:rPr>
                <w:rFonts w:ascii="Times New Roman" w:eastAsiaTheme="minorEastAsia" w:hAnsi="Times New Roman" w:cs="Times New Roman"/>
                <w:sz w:val="18"/>
                <w:szCs w:val="18"/>
                <w:shd w:val="clear" w:color="auto" w:fill="FFFFFF"/>
                <w:lang w:val="en-AU" w:eastAsia="zh-CN"/>
              </w:rPr>
              <w:t>‘</w:t>
            </w:r>
            <w:r w:rsidR="005A2146" w:rsidRPr="005A2146">
              <w:rPr>
                <w:rFonts w:ascii="Times New Roman" w:eastAsiaTheme="minorEastAsia" w:hAnsi="Times New Roman" w:cs="Times New Roman"/>
                <w:sz w:val="18"/>
                <w:szCs w:val="18"/>
                <w:shd w:val="clear" w:color="auto" w:fill="FFFFFF"/>
                <w:lang w:val="en-AU" w:eastAsia="zh-CN"/>
              </w:rPr>
              <w:t>To ensure comparability, exposure and outcome data were harmonised by aligning alleles and maintaining consistency in effect directions. Standardised Z-scores and variances for each SNP were used as input for subsequent analyses.</w:t>
            </w:r>
            <w:r w:rsidR="00353A1E">
              <w:rPr>
                <w:rFonts w:ascii="Times New Roman" w:eastAsiaTheme="minorEastAsia" w:hAnsi="Times New Roman" w:cs="Times New Roman"/>
                <w:sz w:val="18"/>
                <w:szCs w:val="18"/>
                <w:shd w:val="clear" w:color="auto" w:fill="FFFFFF"/>
                <w:lang w:val="en-AU" w:eastAsia="zh-CN"/>
              </w:rPr>
              <w:t>’</w:t>
            </w:r>
          </w:p>
          <w:p w14:paraId="25BBE50E" w14:textId="618DD319" w:rsidR="00475AC8" w:rsidRPr="005A2146" w:rsidRDefault="00475AC8" w:rsidP="00F75F09">
            <w:pPr>
              <w:spacing w:beforeLines="40" w:before="96" w:afterLines="40" w:after="96" w:line="24" w:lineRule="atLeast"/>
              <w:textAlignment w:val="baseline"/>
              <w:rPr>
                <w:rFonts w:ascii="Times New Roman" w:eastAsiaTheme="minorEastAsia" w:hAnsi="Times New Roman" w:cs="Times New Roman"/>
                <w:sz w:val="18"/>
                <w:szCs w:val="18"/>
                <w:shd w:val="clear" w:color="auto" w:fill="FFFFFF"/>
                <w:lang w:val="en-AU" w:eastAsia="zh-CN"/>
              </w:rPr>
            </w:pPr>
          </w:p>
        </w:tc>
        <w:tc>
          <w:tcPr>
            <w:tcW w:w="710" w:type="dxa"/>
          </w:tcPr>
          <w:p w14:paraId="18BB4B57" w14:textId="31DC9772" w:rsidR="00942FD0" w:rsidRPr="00475AC8" w:rsidRDefault="00737D5B" w:rsidP="00F75F09">
            <w:pPr>
              <w:spacing w:beforeLines="40" w:before="96" w:afterLines="40" w:after="96" w:line="24" w:lineRule="atLeast"/>
              <w:textAlignment w:val="baseline"/>
              <w:rPr>
                <w:rFonts w:ascii="Times New Roman" w:eastAsiaTheme="minorEastAsia" w:hAnsi="Times New Roman" w:cs="Times New Roman"/>
                <w:sz w:val="18"/>
                <w:szCs w:val="18"/>
                <w:shd w:val="clear" w:color="auto" w:fill="FFFFFF"/>
                <w:lang w:val="en-GB" w:eastAsia="zh-CN"/>
              </w:rPr>
            </w:pPr>
            <w:r w:rsidRPr="00475AC8">
              <w:rPr>
                <w:rFonts w:ascii="Times New Roman" w:eastAsiaTheme="minorEastAsia" w:hAnsi="Times New Roman" w:cs="Times New Roman"/>
                <w:sz w:val="18"/>
                <w:szCs w:val="18"/>
                <w:shd w:val="clear" w:color="auto" w:fill="FFFFFF"/>
                <w:lang w:val="en-GB" w:eastAsia="zh-CN"/>
              </w:rPr>
              <w:lastRenderedPageBreak/>
              <w:t>5</w:t>
            </w:r>
          </w:p>
        </w:tc>
      </w:tr>
      <w:tr w:rsidR="00942FD0" w:rsidRPr="00B430A0" w14:paraId="69A6C8B1" w14:textId="39D94CE4" w:rsidTr="002D7433">
        <w:tc>
          <w:tcPr>
            <w:tcW w:w="587" w:type="dxa"/>
          </w:tcPr>
          <w:p w14:paraId="292FBB97"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273C46B4"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e)</w:t>
            </w:r>
          </w:p>
        </w:tc>
        <w:tc>
          <w:tcPr>
            <w:tcW w:w="2126" w:type="dxa"/>
          </w:tcPr>
          <w:p w14:paraId="4E713FBB" w14:textId="77777777" w:rsidR="00942FD0" w:rsidRPr="00B430A0" w:rsidRDefault="00942FD0" w:rsidP="00F75F09">
            <w:pPr>
              <w:spacing w:beforeLines="40" w:before="96" w:afterLines="40" w:after="96" w:line="24" w:lineRule="atLeast"/>
              <w:textAlignment w:val="baseline"/>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shd w:val="clear" w:color="auto" w:fill="FFFFFF"/>
                <w:lang w:val="en-GB" w:eastAsia="en-GB"/>
              </w:rPr>
              <w:t>Provide details of ethics committee approval and participant informed consent, if relevant</w:t>
            </w:r>
          </w:p>
        </w:tc>
        <w:tc>
          <w:tcPr>
            <w:tcW w:w="4678" w:type="dxa"/>
          </w:tcPr>
          <w:p w14:paraId="2754FA07" w14:textId="053B7C19" w:rsidR="00942FD0" w:rsidRPr="00B430A0" w:rsidRDefault="00F156CC" w:rsidP="00F75F09">
            <w:pPr>
              <w:spacing w:beforeLines="40" w:before="96" w:afterLines="40" w:after="96" w:line="24" w:lineRule="atLeast"/>
              <w:textAlignment w:val="baseline"/>
              <w:rPr>
                <w:rFonts w:ascii="Times New Roman" w:eastAsiaTheme="minorEastAsia" w:hAnsi="Times New Roman" w:cs="Times New Roman"/>
                <w:sz w:val="18"/>
                <w:szCs w:val="18"/>
                <w:shd w:val="clear" w:color="auto" w:fill="FFFFFF"/>
                <w:lang w:val="en-GB" w:eastAsia="zh-CN"/>
              </w:rPr>
            </w:pPr>
            <w:r w:rsidRPr="00F156CC">
              <w:rPr>
                <w:rFonts w:ascii="Times New Roman" w:eastAsiaTheme="minorEastAsia" w:hAnsi="Times New Roman" w:cs="Times New Roman"/>
                <w:sz w:val="18"/>
                <w:szCs w:val="18"/>
                <w:shd w:val="clear" w:color="auto" w:fill="FFFFFF"/>
                <w:lang w:val="en-GB" w:eastAsia="zh-CN"/>
              </w:rPr>
              <w:t xml:space="preserve">We </w:t>
            </w:r>
            <w:r w:rsidR="002D7433">
              <w:rPr>
                <w:rFonts w:ascii="Times New Roman" w:eastAsiaTheme="minorEastAsia" w:hAnsi="Times New Roman" w:cs="Times New Roman"/>
                <w:sz w:val="18"/>
                <w:szCs w:val="18"/>
                <w:shd w:val="clear" w:color="auto" w:fill="FFFFFF"/>
                <w:lang w:val="en-GB" w:eastAsia="zh-CN"/>
              </w:rPr>
              <w:t xml:space="preserve">used </w:t>
            </w:r>
            <w:r w:rsidR="002D7433" w:rsidRPr="002D7433">
              <w:rPr>
                <w:rFonts w:ascii="Times New Roman" w:eastAsiaTheme="minorEastAsia" w:hAnsi="Times New Roman" w:cs="Times New Roman"/>
                <w:bCs/>
                <w:sz w:val="18"/>
                <w:szCs w:val="18"/>
                <w:shd w:val="clear" w:color="auto" w:fill="FFFFFF"/>
                <w:lang w:val="en-AU" w:eastAsia="zh-CN"/>
              </w:rPr>
              <w:t>summary statistics from</w:t>
            </w:r>
            <w:r w:rsidRPr="00F156CC">
              <w:rPr>
                <w:rFonts w:ascii="Times New Roman" w:eastAsiaTheme="minorEastAsia" w:hAnsi="Times New Roman" w:cs="Times New Roman"/>
                <w:sz w:val="18"/>
                <w:szCs w:val="18"/>
                <w:shd w:val="clear" w:color="auto" w:fill="FFFFFF"/>
                <w:lang w:val="en-GB" w:eastAsia="zh-CN"/>
              </w:rPr>
              <w:t xml:space="preserve"> </w:t>
            </w:r>
            <w:r w:rsidR="002D7433" w:rsidRPr="002D7433">
              <w:rPr>
                <w:rFonts w:ascii="Times New Roman" w:eastAsiaTheme="minorEastAsia" w:hAnsi="Times New Roman" w:cs="Times New Roman"/>
                <w:bCs/>
                <w:sz w:val="18"/>
                <w:szCs w:val="18"/>
                <w:shd w:val="clear" w:color="auto" w:fill="FFFFFF"/>
                <w:lang w:val="en-AU" w:eastAsia="zh-CN"/>
              </w:rPr>
              <w:t>publicly accessible repositories and international research consortia</w:t>
            </w:r>
            <w:r w:rsidRPr="00F156CC">
              <w:rPr>
                <w:rFonts w:ascii="Times New Roman" w:eastAsiaTheme="minorEastAsia" w:hAnsi="Times New Roman" w:cs="Times New Roman"/>
                <w:sz w:val="18"/>
                <w:szCs w:val="18"/>
                <w:shd w:val="clear" w:color="auto" w:fill="FFFFFF"/>
                <w:lang w:val="en-GB" w:eastAsia="zh-CN"/>
              </w:rPr>
              <w:t xml:space="preserve">. </w:t>
            </w:r>
            <w:r w:rsidR="002D7433">
              <w:rPr>
                <w:rFonts w:ascii="Times New Roman" w:eastAsiaTheme="minorEastAsia" w:hAnsi="Times New Roman" w:cs="Times New Roman"/>
                <w:bCs/>
                <w:sz w:val="18"/>
                <w:szCs w:val="18"/>
                <w:shd w:val="clear" w:color="auto" w:fill="FFFFFF"/>
                <w:lang w:val="en-AU" w:eastAsia="zh-CN"/>
              </w:rPr>
              <w:t>E</w:t>
            </w:r>
            <w:r w:rsidR="002D7433" w:rsidRPr="002D7433">
              <w:rPr>
                <w:rFonts w:ascii="Times New Roman" w:eastAsiaTheme="minorEastAsia" w:hAnsi="Times New Roman" w:cs="Times New Roman"/>
                <w:bCs/>
                <w:sz w:val="18"/>
                <w:szCs w:val="18"/>
                <w:shd w:val="clear" w:color="auto" w:fill="FFFFFF"/>
                <w:lang w:val="en-AU" w:eastAsia="zh-CN"/>
              </w:rPr>
              <w:t>ach contributing study obtained ethical approval from its respective institutional review board</w:t>
            </w:r>
            <w:r w:rsidRPr="00F156CC">
              <w:rPr>
                <w:rFonts w:ascii="Times New Roman" w:eastAsiaTheme="minorEastAsia" w:hAnsi="Times New Roman" w:cs="Times New Roman"/>
                <w:sz w:val="18"/>
                <w:szCs w:val="18"/>
                <w:shd w:val="clear" w:color="auto" w:fill="FFFFFF"/>
                <w:lang w:val="en-GB" w:eastAsia="zh-CN"/>
              </w:rPr>
              <w:t>, eliminating the need for additional ethical clearance for this study.</w:t>
            </w:r>
          </w:p>
        </w:tc>
        <w:tc>
          <w:tcPr>
            <w:tcW w:w="5528" w:type="dxa"/>
          </w:tcPr>
          <w:p w14:paraId="215314EF" w14:textId="77777777" w:rsidR="00942FD0" w:rsidRDefault="00076616" w:rsidP="00F75F09">
            <w:pPr>
              <w:spacing w:beforeLines="40" w:before="96" w:afterLines="40" w:after="96" w:line="24" w:lineRule="atLeast"/>
              <w:textAlignment w:val="baseline"/>
              <w:rPr>
                <w:rFonts w:ascii="Times New Roman" w:eastAsiaTheme="minorEastAsia" w:hAnsi="Times New Roman" w:cs="Times New Roman"/>
                <w:bCs/>
                <w:sz w:val="18"/>
                <w:szCs w:val="18"/>
                <w:shd w:val="clear" w:color="auto" w:fill="FFFFFF"/>
                <w:lang w:val="en-AU" w:eastAsia="zh-CN"/>
              </w:rPr>
            </w:pPr>
            <w:r>
              <w:rPr>
                <w:rFonts w:ascii="Times New Roman" w:eastAsiaTheme="minorEastAsia" w:hAnsi="Times New Roman" w:cs="Times New Roman"/>
                <w:bCs/>
                <w:sz w:val="18"/>
                <w:szCs w:val="18"/>
                <w:shd w:val="clear" w:color="auto" w:fill="FFFFFF"/>
                <w:lang w:val="en-AU" w:eastAsia="zh-CN"/>
              </w:rPr>
              <w:t>‘</w:t>
            </w:r>
            <w:r w:rsidR="00B84ED2" w:rsidRPr="00B84ED2">
              <w:rPr>
                <w:rFonts w:ascii="Times New Roman" w:eastAsiaTheme="minorEastAsia" w:hAnsi="Times New Roman" w:cs="Times New Roman"/>
                <w:bCs/>
                <w:sz w:val="18"/>
                <w:szCs w:val="18"/>
                <w:shd w:val="clear" w:color="auto" w:fill="FFFFFF"/>
                <w:lang w:val="en-AU" w:eastAsia="zh-CN"/>
              </w:rPr>
              <w:t>All included participants were of European ancestry, and each contributing study obtained ethical approval from its respective institutional review board.</w:t>
            </w:r>
            <w:r>
              <w:rPr>
                <w:rFonts w:ascii="Times New Roman" w:eastAsiaTheme="minorEastAsia" w:hAnsi="Times New Roman" w:cs="Times New Roman"/>
                <w:bCs/>
                <w:sz w:val="18"/>
                <w:szCs w:val="18"/>
                <w:shd w:val="clear" w:color="auto" w:fill="FFFFFF"/>
                <w:lang w:val="en-AU" w:eastAsia="zh-CN"/>
              </w:rPr>
              <w:t>’</w:t>
            </w:r>
          </w:p>
          <w:p w14:paraId="25A51F5F" w14:textId="56209AC3" w:rsidR="008B67B6" w:rsidRPr="008B67B6" w:rsidRDefault="008B67B6" w:rsidP="008B67B6">
            <w:pPr>
              <w:spacing w:line="240" w:lineRule="auto"/>
              <w:jc w:val="both"/>
              <w:rPr>
                <w:rFonts w:ascii="Times New Roman" w:hAnsi="Times New Roman" w:cs="Times New Roman"/>
                <w:sz w:val="18"/>
                <w:szCs w:val="18"/>
              </w:rPr>
            </w:pPr>
            <w:r w:rsidRPr="008B67B6">
              <w:rPr>
                <w:rFonts w:ascii="Times New Roman" w:eastAsiaTheme="minorEastAsia" w:hAnsi="Times New Roman" w:cs="Times New Roman"/>
                <w:sz w:val="18"/>
                <w:szCs w:val="18"/>
                <w:shd w:val="clear" w:color="auto" w:fill="FFFFFF"/>
                <w:lang w:val="en-GB" w:eastAsia="zh-CN"/>
              </w:rPr>
              <w:t>‘</w:t>
            </w:r>
            <w:r w:rsidR="00250182" w:rsidRPr="008B67B6">
              <w:rPr>
                <w:rFonts w:ascii="Times New Roman" w:eastAsiaTheme="minorEastAsia" w:hAnsi="Times New Roman" w:cs="Times New Roman"/>
                <w:sz w:val="18"/>
                <w:szCs w:val="18"/>
                <w:shd w:val="clear" w:color="auto" w:fill="FFFFFF"/>
                <w:lang w:val="en-GB" w:eastAsia="zh-CN"/>
              </w:rPr>
              <w:t>…</w:t>
            </w:r>
            <w:r w:rsidRPr="008B67B6">
              <w:rPr>
                <w:rFonts w:ascii="Times New Roman" w:eastAsiaTheme="minorEastAsia" w:hAnsi="Times New Roman" w:cs="Times New Roman"/>
                <w:sz w:val="18"/>
                <w:szCs w:val="18"/>
                <w:shd w:val="clear" w:color="auto" w:fill="FFFFFF"/>
                <w:lang w:val="en-GB" w:eastAsia="zh-CN"/>
              </w:rPr>
              <w:t xml:space="preserve"> </w:t>
            </w:r>
            <w:r w:rsidRPr="008B67B6">
              <w:rPr>
                <w:rFonts w:ascii="Times New Roman" w:hAnsi="Times New Roman" w:cs="Times New Roman"/>
                <w:sz w:val="18"/>
                <w:szCs w:val="18"/>
              </w:rPr>
              <w:t>no additional ethics approval or participant consent was required. The analyses complied with all relevant data-sharing and ethical guidelines for secondary use of genomic data.</w:t>
            </w:r>
            <w:r w:rsidRPr="008B67B6">
              <w:rPr>
                <w:rFonts w:ascii="Times New Roman" w:hAnsi="Times New Roman" w:cs="Times New Roman"/>
                <w:sz w:val="18"/>
                <w:szCs w:val="18"/>
              </w:rPr>
              <w:t>’</w:t>
            </w:r>
          </w:p>
          <w:p w14:paraId="7CE1A1AD" w14:textId="4AB15202" w:rsidR="00076616" w:rsidRPr="008B67B6" w:rsidRDefault="00076616" w:rsidP="00F75F09">
            <w:pPr>
              <w:spacing w:beforeLines="40" w:before="96" w:afterLines="40" w:after="96" w:line="24" w:lineRule="atLeast"/>
              <w:textAlignment w:val="baseline"/>
              <w:rPr>
                <w:rFonts w:ascii="Times New Roman" w:eastAsiaTheme="minorEastAsia" w:hAnsi="Times New Roman" w:cs="Times New Roman"/>
                <w:sz w:val="18"/>
                <w:szCs w:val="18"/>
                <w:shd w:val="clear" w:color="auto" w:fill="FFFFFF"/>
                <w:lang w:eastAsia="zh-CN"/>
              </w:rPr>
            </w:pPr>
          </w:p>
        </w:tc>
        <w:tc>
          <w:tcPr>
            <w:tcW w:w="710" w:type="dxa"/>
          </w:tcPr>
          <w:p w14:paraId="6067A95B" w14:textId="0BBAC512" w:rsidR="00942FD0" w:rsidRPr="00B430A0" w:rsidRDefault="009F51A3" w:rsidP="00F75F09">
            <w:pPr>
              <w:spacing w:beforeLines="40" w:before="96" w:afterLines="40" w:after="96" w:line="24" w:lineRule="atLeast"/>
              <w:textAlignment w:val="baseline"/>
              <w:rPr>
                <w:rFonts w:ascii="Times New Roman" w:eastAsiaTheme="minorEastAsia" w:hAnsi="Times New Roman" w:cs="Times New Roman"/>
                <w:sz w:val="18"/>
                <w:szCs w:val="18"/>
                <w:shd w:val="clear" w:color="auto" w:fill="FFFFFF"/>
                <w:lang w:val="en-GB" w:eastAsia="zh-CN"/>
              </w:rPr>
            </w:pPr>
            <w:r>
              <w:rPr>
                <w:rFonts w:ascii="Times New Roman" w:eastAsiaTheme="minorEastAsia" w:hAnsi="Times New Roman" w:cs="Times New Roman"/>
                <w:sz w:val="18"/>
                <w:szCs w:val="18"/>
                <w:shd w:val="clear" w:color="auto" w:fill="FFFFFF"/>
                <w:lang w:val="en-GB" w:eastAsia="zh-CN"/>
              </w:rPr>
              <w:t>31</w:t>
            </w:r>
            <w:r w:rsidR="008B67B6">
              <w:rPr>
                <w:rFonts w:ascii="Times New Roman" w:eastAsiaTheme="minorEastAsia" w:hAnsi="Times New Roman" w:cs="Times New Roman"/>
                <w:sz w:val="18"/>
                <w:szCs w:val="18"/>
                <w:shd w:val="clear" w:color="auto" w:fill="FFFFFF"/>
                <w:lang w:val="en-GB" w:eastAsia="zh-CN"/>
              </w:rPr>
              <w:t xml:space="preserve"> and 40</w:t>
            </w:r>
          </w:p>
        </w:tc>
      </w:tr>
      <w:tr w:rsidR="00942FD0" w:rsidRPr="00B430A0" w14:paraId="23EA53EC" w14:textId="1D3E4E77" w:rsidTr="00E940BD">
        <w:tc>
          <w:tcPr>
            <w:tcW w:w="587" w:type="dxa"/>
          </w:tcPr>
          <w:p w14:paraId="3E6E0D63" w14:textId="77777777" w:rsidR="00942FD0" w:rsidRPr="00B430A0" w:rsidRDefault="00942FD0" w:rsidP="00F75F09">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5</w:t>
            </w:r>
          </w:p>
        </w:tc>
        <w:tc>
          <w:tcPr>
            <w:tcW w:w="968" w:type="dxa"/>
          </w:tcPr>
          <w:p w14:paraId="1F0455B3" w14:textId="77777777" w:rsidR="00942FD0" w:rsidRPr="00B430A0" w:rsidRDefault="00942FD0" w:rsidP="00F75F09">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Assumptions</w:t>
            </w:r>
          </w:p>
          <w:p w14:paraId="0458797D" w14:textId="77777777" w:rsidR="00942FD0" w:rsidRPr="00B430A0" w:rsidRDefault="00942FD0" w:rsidP="00F75F09">
            <w:pPr>
              <w:spacing w:beforeLines="40" w:before="96" w:afterLines="40" w:after="96" w:line="24" w:lineRule="atLeast"/>
              <w:jc w:val="center"/>
              <w:rPr>
                <w:rFonts w:ascii="Times New Roman" w:eastAsia="Cambria" w:hAnsi="Times New Roman" w:cs="Times New Roman"/>
                <w:sz w:val="18"/>
                <w:szCs w:val="18"/>
                <w:lang w:val="en-GB" w:eastAsia="en-US"/>
              </w:rPr>
            </w:pPr>
          </w:p>
        </w:tc>
        <w:tc>
          <w:tcPr>
            <w:tcW w:w="2126" w:type="dxa"/>
          </w:tcPr>
          <w:p w14:paraId="5139727F" w14:textId="77777777" w:rsidR="00942FD0" w:rsidRPr="00B430A0" w:rsidRDefault="00942FD0" w:rsidP="00F75F09">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4678" w:type="dxa"/>
          </w:tcPr>
          <w:p w14:paraId="6A2AE76D" w14:textId="3C51E991" w:rsidR="00942FD0" w:rsidRPr="00B430A0" w:rsidRDefault="004B4807" w:rsidP="00F75F09">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 xml:space="preserve">We stated the three core </w:t>
            </w:r>
            <w:r w:rsidR="00CE2825">
              <w:rPr>
                <w:rFonts w:ascii="Times New Roman" w:eastAsiaTheme="minorEastAsia" w:hAnsi="Times New Roman" w:cs="Times New Roman"/>
                <w:sz w:val="18"/>
                <w:szCs w:val="18"/>
                <w:lang w:val="en-GB" w:eastAsia="zh-CN"/>
              </w:rPr>
              <w:t xml:space="preserve">IV </w:t>
            </w:r>
            <w:r>
              <w:rPr>
                <w:rFonts w:ascii="Times New Roman" w:eastAsiaTheme="minorEastAsia" w:hAnsi="Times New Roman" w:cs="Times New Roman"/>
                <w:sz w:val="18"/>
                <w:szCs w:val="18"/>
                <w:lang w:val="en-GB" w:eastAsia="zh-CN"/>
              </w:rPr>
              <w:t>assumption</w:t>
            </w:r>
            <w:r w:rsidR="00CA5AAC">
              <w:rPr>
                <w:rFonts w:ascii="Times New Roman" w:eastAsiaTheme="minorEastAsia" w:hAnsi="Times New Roman" w:cs="Times New Roman"/>
                <w:sz w:val="18"/>
                <w:szCs w:val="18"/>
                <w:lang w:val="en-GB" w:eastAsia="zh-CN"/>
              </w:rPr>
              <w:t xml:space="preserve">s and </w:t>
            </w:r>
            <w:r w:rsidR="00CE2825">
              <w:rPr>
                <w:rFonts w:ascii="Times New Roman" w:eastAsiaTheme="minorEastAsia" w:hAnsi="Times New Roman" w:cs="Times New Roman"/>
                <w:sz w:val="18"/>
                <w:szCs w:val="18"/>
                <w:lang w:val="en-GB" w:eastAsia="zh-CN"/>
              </w:rPr>
              <w:t>where relevant for the specific additional or sensitivity analyses.</w:t>
            </w:r>
          </w:p>
        </w:tc>
        <w:tc>
          <w:tcPr>
            <w:tcW w:w="5528" w:type="dxa"/>
          </w:tcPr>
          <w:p w14:paraId="1025F771" w14:textId="77777777" w:rsidR="00F05839" w:rsidRDefault="008F7CF0" w:rsidP="002D7433">
            <w:pPr>
              <w:spacing w:beforeLines="40" w:before="96" w:afterLines="40" w:after="96" w:line="24" w:lineRule="atLeast"/>
              <w:rPr>
                <w:rFonts w:ascii="Times New Roman" w:hAnsi="Times New Roman" w:cs="Times New Roman"/>
                <w:b/>
                <w:bCs/>
                <w:sz w:val="18"/>
                <w:szCs w:val="18"/>
                <w:lang w:val="en-AU"/>
              </w:rPr>
            </w:pPr>
            <w:r>
              <w:rPr>
                <w:rFonts w:ascii="Times New Roman" w:hAnsi="Times New Roman" w:cs="Times New Roman"/>
                <w:b/>
                <w:bCs/>
                <w:sz w:val="18"/>
                <w:szCs w:val="18"/>
                <w:lang w:val="en-AU"/>
              </w:rPr>
              <w:t>Figure 3</w:t>
            </w:r>
          </w:p>
          <w:p w14:paraId="6A067218" w14:textId="789A9024" w:rsidR="00942FD0" w:rsidRPr="0071619F" w:rsidRDefault="00F05839" w:rsidP="00F75F09">
            <w:pPr>
              <w:spacing w:beforeLines="40" w:before="96" w:afterLines="40" w:after="96" w:line="24" w:lineRule="atLeast"/>
              <w:rPr>
                <w:rFonts w:ascii="Times New Roman" w:hAnsi="Times New Roman" w:cs="Times New Roman"/>
                <w:bCs/>
                <w:sz w:val="18"/>
                <w:szCs w:val="18"/>
                <w:lang w:val="en-AU"/>
              </w:rPr>
            </w:pPr>
            <w:r>
              <w:rPr>
                <w:rFonts w:ascii="Times New Roman" w:hAnsi="Times New Roman" w:cs="Times New Roman"/>
                <w:bCs/>
                <w:sz w:val="18"/>
                <w:szCs w:val="18"/>
                <w:lang w:val="en-AU"/>
              </w:rPr>
              <w:t>‘</w:t>
            </w:r>
            <w:r w:rsidR="002D7433" w:rsidRPr="002D7433">
              <w:rPr>
                <w:rFonts w:ascii="Times New Roman" w:hAnsi="Times New Roman" w:cs="Times New Roman"/>
                <w:bCs/>
                <w:sz w:val="18"/>
                <w:szCs w:val="18"/>
                <w:lang w:val="en-AU"/>
              </w:rPr>
              <w:t>… The figure emphasises three main MR assumptions: (1) the genetic variants (SNPs) used as instrumental variables must be strongly associated with the exposure, (2) these SNPs should not be linked to confounding factors, and (3) they must affect the outcome solely through the exposure</w:t>
            </w:r>
            <w:r w:rsidR="00FD68FA">
              <w:rPr>
                <w:rFonts w:ascii="Times New Roman" w:hAnsi="Times New Roman" w:cs="Times New Roman"/>
                <w:bCs/>
                <w:sz w:val="18"/>
                <w:szCs w:val="18"/>
                <w:lang w:val="en-AU"/>
              </w:rPr>
              <w:t>…</w:t>
            </w:r>
            <w:r>
              <w:rPr>
                <w:rFonts w:ascii="Times New Roman" w:hAnsi="Times New Roman" w:cs="Times New Roman"/>
                <w:bCs/>
                <w:sz w:val="18"/>
                <w:szCs w:val="18"/>
                <w:lang w:val="en-AU"/>
              </w:rPr>
              <w:t>’</w:t>
            </w:r>
          </w:p>
        </w:tc>
        <w:tc>
          <w:tcPr>
            <w:tcW w:w="710" w:type="dxa"/>
          </w:tcPr>
          <w:p w14:paraId="7A54DE1B" w14:textId="38BA2C11" w:rsidR="00942FD0" w:rsidRPr="00B430A0" w:rsidRDefault="00F81DC5" w:rsidP="00F75F09">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13</w:t>
            </w:r>
          </w:p>
        </w:tc>
      </w:tr>
      <w:tr w:rsidR="00942FD0" w:rsidRPr="00B430A0" w14:paraId="6209F8C8" w14:textId="78A53B40" w:rsidTr="009F40F1">
        <w:tc>
          <w:tcPr>
            <w:tcW w:w="587" w:type="dxa"/>
          </w:tcPr>
          <w:p w14:paraId="6FA239C8" w14:textId="77777777" w:rsidR="00942FD0" w:rsidRPr="00B430A0" w:rsidRDefault="00942FD0" w:rsidP="00F75F09">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6</w:t>
            </w:r>
          </w:p>
        </w:tc>
        <w:tc>
          <w:tcPr>
            <w:tcW w:w="968" w:type="dxa"/>
          </w:tcPr>
          <w:p w14:paraId="3D8F9E93" w14:textId="77777777" w:rsidR="00942FD0" w:rsidRPr="00B430A0" w:rsidRDefault="00942FD0" w:rsidP="00F75F09">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b/>
                <w:bCs/>
                <w:sz w:val="18"/>
                <w:szCs w:val="18"/>
                <w:lang w:val="en-GB" w:eastAsia="en-GB"/>
              </w:rPr>
              <w:t>Statistical methods: main analysis</w:t>
            </w:r>
          </w:p>
        </w:tc>
        <w:tc>
          <w:tcPr>
            <w:tcW w:w="2126" w:type="dxa"/>
          </w:tcPr>
          <w:p w14:paraId="49C33D0D" w14:textId="77777777" w:rsidR="00942FD0" w:rsidRPr="00B430A0" w:rsidRDefault="00942FD0" w:rsidP="00F75F09">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Describe statistical methods and statistics used</w:t>
            </w:r>
          </w:p>
        </w:tc>
        <w:tc>
          <w:tcPr>
            <w:tcW w:w="4678" w:type="dxa"/>
          </w:tcPr>
          <w:p w14:paraId="0D1191BA" w14:textId="24E0EEFB" w:rsidR="00942FD0" w:rsidRPr="000921AF" w:rsidRDefault="003625C4" w:rsidP="00F75F09">
            <w:pPr>
              <w:spacing w:beforeLines="40" w:before="96" w:afterLines="40" w:after="96" w:line="24" w:lineRule="atLeast"/>
              <w:rPr>
                <w:rFonts w:ascii="Times New Roman" w:eastAsia="Times New Roman" w:hAnsi="Times New Roman" w:cs="Times New Roman"/>
                <w:sz w:val="18"/>
                <w:szCs w:val="18"/>
                <w:lang w:val="en-GB" w:eastAsia="en-GB"/>
              </w:rPr>
            </w:pPr>
            <w:r w:rsidRPr="000921AF">
              <w:rPr>
                <w:rFonts w:ascii="Times New Roman" w:eastAsia="Times New Roman" w:hAnsi="Times New Roman" w:cs="Times New Roman"/>
                <w:sz w:val="18"/>
                <w:szCs w:val="18"/>
                <w:lang w:val="en-GB" w:eastAsia="en-GB"/>
              </w:rPr>
              <w:t>We describe the statistical methods</w:t>
            </w:r>
            <w:r w:rsidR="00552519" w:rsidRPr="000921AF">
              <w:rPr>
                <w:rFonts w:ascii="Times New Roman" w:eastAsia="Times New Roman" w:hAnsi="Times New Roman" w:cs="Times New Roman"/>
                <w:sz w:val="18"/>
                <w:szCs w:val="18"/>
                <w:lang w:val="en-GB" w:eastAsia="en-GB"/>
              </w:rPr>
              <w:t xml:space="preserve"> and statistics</w:t>
            </w:r>
            <w:r w:rsidRPr="000921AF">
              <w:rPr>
                <w:rFonts w:ascii="Times New Roman" w:eastAsia="Times New Roman" w:hAnsi="Times New Roman" w:cs="Times New Roman"/>
                <w:sz w:val="18"/>
                <w:szCs w:val="18"/>
                <w:lang w:val="en-GB" w:eastAsia="en-GB"/>
              </w:rPr>
              <w:t xml:space="preserve"> used</w:t>
            </w:r>
          </w:p>
        </w:tc>
        <w:tc>
          <w:tcPr>
            <w:tcW w:w="5528" w:type="dxa"/>
          </w:tcPr>
          <w:p w14:paraId="18EA5FAB" w14:textId="6E3A600E" w:rsidR="00942FD0" w:rsidRPr="000921AF" w:rsidRDefault="003625C4" w:rsidP="00F75F09">
            <w:pPr>
              <w:spacing w:beforeLines="40" w:before="96" w:afterLines="40" w:after="96" w:line="24" w:lineRule="atLeast"/>
              <w:rPr>
                <w:rFonts w:ascii="Times New Roman" w:eastAsia="Times New Roman" w:hAnsi="Times New Roman" w:cs="Times New Roman"/>
                <w:sz w:val="18"/>
                <w:szCs w:val="18"/>
                <w:lang w:val="en-GB" w:eastAsia="en-GB"/>
              </w:rPr>
            </w:pPr>
            <w:r w:rsidRPr="000921AF">
              <w:rPr>
                <w:rFonts w:ascii="Times New Roman" w:eastAsia="Times New Roman" w:hAnsi="Times New Roman" w:cs="Times New Roman"/>
                <w:sz w:val="18"/>
                <w:szCs w:val="18"/>
                <w:lang w:val="en-GB" w:eastAsia="en-GB"/>
              </w:rPr>
              <w:t xml:space="preserve">See details </w:t>
            </w:r>
            <w:r w:rsidR="007B2F7D" w:rsidRPr="000921AF">
              <w:rPr>
                <w:rFonts w:ascii="Times New Roman" w:eastAsia="Times New Roman" w:hAnsi="Times New Roman" w:cs="Times New Roman"/>
                <w:sz w:val="18"/>
                <w:szCs w:val="18"/>
                <w:lang w:val="en-GB" w:eastAsia="en-GB"/>
              </w:rPr>
              <w:t>below</w:t>
            </w:r>
          </w:p>
        </w:tc>
        <w:tc>
          <w:tcPr>
            <w:tcW w:w="710" w:type="dxa"/>
          </w:tcPr>
          <w:p w14:paraId="75DF0C4B" w14:textId="16CEDC69" w:rsidR="00942FD0" w:rsidRPr="000921AF" w:rsidRDefault="00942FD0" w:rsidP="00F75F09">
            <w:pPr>
              <w:spacing w:beforeLines="40" w:before="96" w:afterLines="40" w:after="96" w:line="24" w:lineRule="atLeast"/>
              <w:rPr>
                <w:rFonts w:ascii="Times New Roman" w:eastAsia="Times New Roman" w:hAnsi="Times New Roman" w:cs="Times New Roman"/>
                <w:sz w:val="18"/>
                <w:szCs w:val="18"/>
                <w:lang w:val="en-GB" w:eastAsia="en-GB"/>
              </w:rPr>
            </w:pPr>
          </w:p>
        </w:tc>
      </w:tr>
      <w:tr w:rsidR="00942FD0" w:rsidRPr="00B430A0" w14:paraId="4346E621" w14:textId="11B8B572" w:rsidTr="000921AF">
        <w:tc>
          <w:tcPr>
            <w:tcW w:w="587" w:type="dxa"/>
          </w:tcPr>
          <w:p w14:paraId="339A016D"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3635743C"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a)</w:t>
            </w:r>
          </w:p>
        </w:tc>
        <w:tc>
          <w:tcPr>
            <w:tcW w:w="2126" w:type="dxa"/>
          </w:tcPr>
          <w:p w14:paraId="3BB90022" w14:textId="77777777" w:rsidR="00942FD0" w:rsidRPr="00B430A0" w:rsidRDefault="00942FD0" w:rsidP="00F75F09">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Describe how quantitative variables were handled in the analyses (i.e., scale, units, model)</w:t>
            </w:r>
          </w:p>
        </w:tc>
        <w:tc>
          <w:tcPr>
            <w:tcW w:w="4678" w:type="dxa"/>
          </w:tcPr>
          <w:p w14:paraId="22720A53" w14:textId="2B2BB22E" w:rsidR="00942FD0" w:rsidRPr="000921AF" w:rsidRDefault="001F219D" w:rsidP="00F75F09">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 xml:space="preserve">We </w:t>
            </w:r>
            <w:r w:rsidR="00A1010D">
              <w:rPr>
                <w:rFonts w:ascii="Times New Roman" w:eastAsiaTheme="minorEastAsia" w:hAnsi="Times New Roman" w:cs="Times New Roman"/>
                <w:sz w:val="18"/>
                <w:szCs w:val="18"/>
                <w:lang w:val="en-GB" w:eastAsia="zh-CN"/>
              </w:rPr>
              <w:t xml:space="preserve">do not have quantitative variables. We have described how </w:t>
            </w:r>
            <w:r w:rsidR="00AA2518">
              <w:rPr>
                <w:rFonts w:ascii="Times New Roman" w:eastAsiaTheme="minorEastAsia" w:hAnsi="Times New Roman" w:cs="Times New Roman"/>
                <w:sz w:val="18"/>
                <w:szCs w:val="18"/>
                <w:lang w:val="en-GB" w:eastAsia="zh-CN"/>
              </w:rPr>
              <w:t>binary traits were handled.</w:t>
            </w:r>
          </w:p>
        </w:tc>
        <w:tc>
          <w:tcPr>
            <w:tcW w:w="5528" w:type="dxa"/>
          </w:tcPr>
          <w:p w14:paraId="53D6624D" w14:textId="31B9A80E" w:rsidR="00942FD0" w:rsidRPr="00693EE2" w:rsidRDefault="00693EE2" w:rsidP="00EB2849">
            <w:pPr>
              <w:spacing w:beforeLines="40" w:before="96" w:afterLines="40" w:after="96" w:line="24" w:lineRule="atLeast"/>
              <w:rPr>
                <w:rFonts w:ascii="Times New Roman" w:eastAsia="Times New Roman" w:hAnsi="Times New Roman" w:cs="Times New Roman"/>
                <w:sz w:val="18"/>
                <w:szCs w:val="18"/>
                <w:lang w:val="en-AU" w:eastAsia="en-GB"/>
              </w:rPr>
            </w:pPr>
            <w:r>
              <w:rPr>
                <w:rFonts w:ascii="Times New Roman" w:eastAsia="Times New Roman" w:hAnsi="Times New Roman" w:cs="Times New Roman"/>
                <w:sz w:val="18"/>
                <w:szCs w:val="18"/>
                <w:lang w:val="en-GB" w:eastAsia="en-GB"/>
              </w:rPr>
              <w:t>‘</w:t>
            </w:r>
            <w:r w:rsidRPr="00693EE2">
              <w:rPr>
                <w:rFonts w:ascii="Times New Roman" w:eastAsia="Times New Roman" w:hAnsi="Times New Roman" w:cs="Times New Roman"/>
                <w:sz w:val="18"/>
                <w:szCs w:val="18"/>
                <w:lang w:eastAsia="en-GB"/>
              </w:rPr>
              <w:t xml:space="preserve">All SNP effect estimates were modelled on the log-odds scale for binary traits (AD and MG), with </w:t>
            </w:r>
            <w:proofErr w:type="spellStart"/>
            <w:r w:rsidRPr="00693EE2">
              <w:rPr>
                <w:rFonts w:ascii="Times New Roman" w:eastAsia="Times New Roman" w:hAnsi="Times New Roman" w:cs="Times New Roman"/>
                <w:sz w:val="18"/>
                <w:szCs w:val="18"/>
                <w:lang w:eastAsia="en-GB"/>
              </w:rPr>
              <w:t>harmonised</w:t>
            </w:r>
            <w:proofErr w:type="spellEnd"/>
            <w:r w:rsidRPr="00693EE2">
              <w:rPr>
                <w:rFonts w:ascii="Times New Roman" w:eastAsia="Times New Roman" w:hAnsi="Times New Roman" w:cs="Times New Roman"/>
                <w:sz w:val="18"/>
                <w:szCs w:val="18"/>
                <w:lang w:eastAsia="en-GB"/>
              </w:rPr>
              <w:t xml:space="preserve"> beta coefficients and standard errors used to derive Wald ratios and corresponding variance-weighted averages in MR analyses.</w:t>
            </w:r>
            <w:r>
              <w:rPr>
                <w:rFonts w:ascii="Times New Roman" w:eastAsia="Times New Roman" w:hAnsi="Times New Roman" w:cs="Times New Roman"/>
                <w:sz w:val="18"/>
                <w:szCs w:val="18"/>
                <w:lang w:eastAsia="en-GB"/>
              </w:rPr>
              <w:t>’</w:t>
            </w:r>
          </w:p>
        </w:tc>
        <w:tc>
          <w:tcPr>
            <w:tcW w:w="710" w:type="dxa"/>
          </w:tcPr>
          <w:p w14:paraId="76159846" w14:textId="0CB38122" w:rsidR="00942FD0" w:rsidRPr="000921AF" w:rsidRDefault="00A93AA7" w:rsidP="00577B8A">
            <w:pPr>
              <w:spacing w:beforeLines="40" w:before="96" w:afterLines="40" w:after="96" w:line="24" w:lineRule="atLeast"/>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35</w:t>
            </w:r>
          </w:p>
        </w:tc>
      </w:tr>
      <w:tr w:rsidR="00DE0C09" w:rsidRPr="00B430A0" w14:paraId="642A4D4B" w14:textId="4880F3BA" w:rsidTr="009F40F1">
        <w:tc>
          <w:tcPr>
            <w:tcW w:w="587" w:type="dxa"/>
          </w:tcPr>
          <w:p w14:paraId="11F7484C" w14:textId="77777777" w:rsidR="00DE0C09" w:rsidRPr="00B430A0" w:rsidRDefault="00DE0C09" w:rsidP="00DE0C09">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569D49F3" w14:textId="77777777" w:rsidR="00DE0C09" w:rsidRPr="00B430A0" w:rsidRDefault="00DE0C09" w:rsidP="00DE0C09">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b)</w:t>
            </w:r>
          </w:p>
        </w:tc>
        <w:tc>
          <w:tcPr>
            <w:tcW w:w="2126" w:type="dxa"/>
          </w:tcPr>
          <w:p w14:paraId="6B2ACDE9" w14:textId="77777777" w:rsidR="00DE0C09" w:rsidRPr="00B430A0" w:rsidRDefault="00DE0C09" w:rsidP="00DE0C09">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Describe how genetic variants were handled in the analyses and, if applicable, how their weights were selected</w:t>
            </w:r>
          </w:p>
        </w:tc>
        <w:tc>
          <w:tcPr>
            <w:tcW w:w="4678" w:type="dxa"/>
          </w:tcPr>
          <w:p w14:paraId="0DAE64B0" w14:textId="4137F700" w:rsidR="00DE0C09" w:rsidRPr="00B430A0" w:rsidRDefault="00D97514" w:rsidP="00DE0C09">
            <w:pPr>
              <w:spacing w:beforeLines="40" w:before="96" w:afterLines="40" w:after="96" w:line="24" w:lineRule="atLeast"/>
              <w:rPr>
                <w:rFonts w:ascii="Times New Roman" w:eastAsiaTheme="minorEastAsia" w:hAnsi="Times New Roman" w:cs="Times New Roman"/>
                <w:sz w:val="18"/>
                <w:szCs w:val="18"/>
                <w:lang w:val="en-GB" w:eastAsia="zh-CN"/>
              </w:rPr>
            </w:pPr>
            <w:r w:rsidRPr="00D97514">
              <w:rPr>
                <w:rFonts w:ascii="Times New Roman" w:eastAsia="Times New Roman" w:hAnsi="Times New Roman" w:cs="Times New Roman"/>
                <w:bCs/>
                <w:sz w:val="18"/>
                <w:szCs w:val="18"/>
                <w:lang w:eastAsia="en-GB"/>
              </w:rPr>
              <w:t xml:space="preserve">Genetic variants were handled through a series of stringent quality control and </w:t>
            </w:r>
            <w:proofErr w:type="spellStart"/>
            <w:r w:rsidRPr="00D97514">
              <w:rPr>
                <w:rFonts w:ascii="Times New Roman" w:eastAsia="Times New Roman" w:hAnsi="Times New Roman" w:cs="Times New Roman"/>
                <w:bCs/>
                <w:sz w:val="18"/>
                <w:szCs w:val="18"/>
                <w:lang w:eastAsia="en-GB"/>
              </w:rPr>
              <w:t>harmonisation</w:t>
            </w:r>
            <w:proofErr w:type="spellEnd"/>
            <w:r w:rsidRPr="00D97514">
              <w:rPr>
                <w:rFonts w:ascii="Times New Roman" w:eastAsia="Times New Roman" w:hAnsi="Times New Roman" w:cs="Times New Roman"/>
                <w:bCs/>
                <w:sz w:val="18"/>
                <w:szCs w:val="18"/>
                <w:lang w:eastAsia="en-GB"/>
              </w:rPr>
              <w:t xml:space="preserve"> steps. Independent SNPs associated with the exposure at genome-wide significance (p &lt; 5 × 10⁻⁸) were selected as instrumental variables, with linkage disequilibrium clumping (r² &lt; 0.001, 10,000 kb) applied to ensure independence. Variants with intermediate allele frequencies, ambiguous strands, or missing data in the </w:t>
            </w:r>
            <w:r w:rsidRPr="00D97514">
              <w:rPr>
                <w:rFonts w:ascii="Times New Roman" w:eastAsia="Times New Roman" w:hAnsi="Times New Roman" w:cs="Times New Roman"/>
                <w:bCs/>
                <w:sz w:val="18"/>
                <w:szCs w:val="18"/>
                <w:lang w:eastAsia="en-GB"/>
              </w:rPr>
              <w:lastRenderedPageBreak/>
              <w:t xml:space="preserve">outcome GWAS were excluded. Exposure and outcome datasets were </w:t>
            </w:r>
            <w:proofErr w:type="spellStart"/>
            <w:r w:rsidRPr="00D97514">
              <w:rPr>
                <w:rFonts w:ascii="Times New Roman" w:eastAsia="Times New Roman" w:hAnsi="Times New Roman" w:cs="Times New Roman"/>
                <w:bCs/>
                <w:sz w:val="18"/>
                <w:szCs w:val="18"/>
                <w:lang w:eastAsia="en-GB"/>
              </w:rPr>
              <w:t>harmonised</w:t>
            </w:r>
            <w:proofErr w:type="spellEnd"/>
            <w:r w:rsidRPr="00D97514">
              <w:rPr>
                <w:rFonts w:ascii="Times New Roman" w:eastAsia="Times New Roman" w:hAnsi="Times New Roman" w:cs="Times New Roman"/>
                <w:bCs/>
                <w:sz w:val="18"/>
                <w:szCs w:val="18"/>
                <w:lang w:eastAsia="en-GB"/>
              </w:rPr>
              <w:t xml:space="preserve"> by aligning effect alleles and ensuring consistent effect directions. In MR analyses, SNP weights were determined by the inverse variance of their association estimates (β/SE²), consistent with the IVW framework, while additional MR methods (weighted median, MR-Egger) applied their respective weighting schemes.</w:t>
            </w:r>
          </w:p>
        </w:tc>
        <w:tc>
          <w:tcPr>
            <w:tcW w:w="5528" w:type="dxa"/>
          </w:tcPr>
          <w:p w14:paraId="46D73DA7" w14:textId="501F0758" w:rsidR="00E25D3E" w:rsidRPr="00E25D3E" w:rsidRDefault="00C91C58" w:rsidP="00E25D3E">
            <w:pPr>
              <w:spacing w:beforeLines="40" w:before="96" w:afterLines="40" w:after="96" w:line="24" w:lineRule="atLeast"/>
              <w:rPr>
                <w:rFonts w:ascii="Times New Roman" w:eastAsia="Times New Roman" w:hAnsi="Times New Roman" w:cs="Times New Roman"/>
                <w:bCs/>
                <w:sz w:val="18"/>
                <w:szCs w:val="18"/>
                <w:lang w:val="en-AU" w:eastAsia="en-GB"/>
              </w:rPr>
            </w:pPr>
            <w:r>
              <w:rPr>
                <w:rFonts w:ascii="Times New Roman" w:eastAsia="Times New Roman" w:hAnsi="Times New Roman" w:cs="Times New Roman"/>
                <w:bCs/>
                <w:sz w:val="18"/>
                <w:szCs w:val="18"/>
                <w:lang w:val="en-GB" w:eastAsia="en-GB"/>
              </w:rPr>
              <w:lastRenderedPageBreak/>
              <w:t>‘</w:t>
            </w:r>
            <w:r w:rsidR="00E25D3E" w:rsidRPr="00E25D3E">
              <w:rPr>
                <w:rFonts w:ascii="Times New Roman" w:eastAsia="Times New Roman" w:hAnsi="Times New Roman" w:cs="Times New Roman"/>
                <w:bCs/>
                <w:sz w:val="18"/>
                <w:szCs w:val="18"/>
                <w:lang w:val="en-AU" w:eastAsia="en-GB"/>
              </w:rPr>
              <w:t>We identified IVs from relevant GWAS summary data, selecting those that reached GWS (p &lt; 5 × 10⁻⁸) to ensure a strong association with exposure variables and an F-statistic above 10. This approach minimised weak instrument bias and satisfied the first MR assumption.</w:t>
            </w:r>
            <w:r>
              <w:rPr>
                <w:rFonts w:ascii="Times New Roman" w:eastAsia="Times New Roman" w:hAnsi="Times New Roman" w:cs="Times New Roman"/>
                <w:bCs/>
                <w:sz w:val="18"/>
                <w:szCs w:val="18"/>
                <w:lang w:val="en-AU" w:eastAsia="en-GB"/>
              </w:rPr>
              <w:t>’</w:t>
            </w:r>
          </w:p>
          <w:p w14:paraId="4A64FECB" w14:textId="49EACF13" w:rsidR="00E25D3E" w:rsidRPr="00E25D3E" w:rsidRDefault="00C91C58" w:rsidP="00E25D3E">
            <w:pPr>
              <w:spacing w:beforeLines="40" w:before="96" w:afterLines="40" w:after="96" w:line="24" w:lineRule="atLeast"/>
              <w:rPr>
                <w:rFonts w:ascii="Times New Roman" w:eastAsia="Times New Roman" w:hAnsi="Times New Roman" w:cs="Times New Roman"/>
                <w:bCs/>
                <w:sz w:val="18"/>
                <w:szCs w:val="18"/>
                <w:lang w:val="en-AU" w:eastAsia="en-GB"/>
              </w:rPr>
            </w:pPr>
            <w:r>
              <w:rPr>
                <w:rFonts w:ascii="Times New Roman" w:eastAsia="Times New Roman" w:hAnsi="Times New Roman" w:cs="Times New Roman"/>
                <w:bCs/>
                <w:sz w:val="18"/>
                <w:szCs w:val="18"/>
                <w:lang w:val="en-AU" w:eastAsia="en-GB"/>
              </w:rPr>
              <w:lastRenderedPageBreak/>
              <w:t>‘</w:t>
            </w:r>
            <w:r w:rsidR="00E25D3E" w:rsidRPr="00E25D3E">
              <w:rPr>
                <w:rFonts w:ascii="Times New Roman" w:eastAsia="Times New Roman" w:hAnsi="Times New Roman" w:cs="Times New Roman"/>
                <w:bCs/>
                <w:sz w:val="18"/>
                <w:szCs w:val="18"/>
                <w:lang w:val="en-AU" w:eastAsia="en-GB"/>
              </w:rPr>
              <w:t>We rigorously assessed IVs and applied stringent linkage disequilibrium clumping (r² &lt; 0.001 and 10,000 kb) to maintain instrument independence.</w:t>
            </w:r>
            <w:r>
              <w:rPr>
                <w:rFonts w:ascii="Times New Roman" w:eastAsia="Times New Roman" w:hAnsi="Times New Roman" w:cs="Times New Roman"/>
                <w:bCs/>
                <w:sz w:val="18"/>
                <w:szCs w:val="18"/>
                <w:lang w:val="en-AU" w:eastAsia="en-GB"/>
              </w:rPr>
              <w:t>’</w:t>
            </w:r>
          </w:p>
          <w:p w14:paraId="1F8F8465" w14:textId="2AE5AEC3" w:rsidR="00E25D3E" w:rsidRPr="00E25D3E" w:rsidRDefault="00C91C58" w:rsidP="00E25D3E">
            <w:pPr>
              <w:spacing w:beforeLines="40" w:before="96" w:afterLines="40" w:after="96" w:line="24" w:lineRule="atLeast"/>
              <w:rPr>
                <w:rFonts w:ascii="Times New Roman" w:eastAsia="Times New Roman" w:hAnsi="Times New Roman" w:cs="Times New Roman"/>
                <w:bCs/>
                <w:sz w:val="18"/>
                <w:szCs w:val="18"/>
                <w:lang w:val="en-AU" w:eastAsia="en-GB"/>
              </w:rPr>
            </w:pPr>
            <w:r>
              <w:rPr>
                <w:rFonts w:ascii="Times New Roman" w:eastAsia="Times New Roman" w:hAnsi="Times New Roman" w:cs="Times New Roman"/>
                <w:bCs/>
                <w:sz w:val="18"/>
                <w:szCs w:val="18"/>
                <w:lang w:val="en-AU" w:eastAsia="en-GB"/>
              </w:rPr>
              <w:t>‘</w:t>
            </w:r>
            <w:r w:rsidR="00E25D3E" w:rsidRPr="00E25D3E">
              <w:rPr>
                <w:rFonts w:ascii="Times New Roman" w:eastAsia="Times New Roman" w:hAnsi="Times New Roman" w:cs="Times New Roman"/>
                <w:bCs/>
                <w:sz w:val="18"/>
                <w:szCs w:val="18"/>
                <w:lang w:val="en-AU" w:eastAsia="en-GB"/>
              </w:rPr>
              <w:t>To further improve data quality, we excluded genetic variants with intermediate allele frequencies to prevent strand alignment issues, removed variants absent in the reference dataset, and harmonised exposure and outcome data by aligning alleles and maintaining consistency in effect directions.</w:t>
            </w:r>
            <w:r>
              <w:rPr>
                <w:rFonts w:ascii="Times New Roman" w:eastAsia="Times New Roman" w:hAnsi="Times New Roman" w:cs="Times New Roman"/>
                <w:bCs/>
                <w:sz w:val="18"/>
                <w:szCs w:val="18"/>
                <w:lang w:val="en-AU" w:eastAsia="en-GB"/>
              </w:rPr>
              <w:t>’</w:t>
            </w:r>
          </w:p>
          <w:p w14:paraId="5E024768" w14:textId="461FB6AE" w:rsidR="00D0630C" w:rsidRPr="00E25D3E" w:rsidRDefault="00C91C58" w:rsidP="00C91C58">
            <w:pPr>
              <w:spacing w:beforeLines="40" w:before="96" w:afterLines="40" w:after="96" w:line="24" w:lineRule="atLeast"/>
              <w:rPr>
                <w:rFonts w:ascii="Times New Roman" w:eastAsia="Times New Roman" w:hAnsi="Times New Roman" w:cs="Times New Roman"/>
                <w:bCs/>
                <w:sz w:val="18"/>
                <w:szCs w:val="18"/>
                <w:lang w:val="en-AU" w:eastAsia="en-GB"/>
              </w:rPr>
            </w:pPr>
            <w:r>
              <w:rPr>
                <w:rFonts w:ascii="Times New Roman" w:eastAsia="Times New Roman" w:hAnsi="Times New Roman" w:cs="Times New Roman"/>
                <w:bCs/>
                <w:sz w:val="18"/>
                <w:szCs w:val="18"/>
                <w:lang w:val="en-AU" w:eastAsia="en-GB"/>
              </w:rPr>
              <w:t>‘</w:t>
            </w:r>
            <w:r w:rsidR="00E25D3E" w:rsidRPr="00E25D3E">
              <w:rPr>
                <w:rFonts w:ascii="Times New Roman" w:eastAsia="Times New Roman" w:hAnsi="Times New Roman" w:cs="Times New Roman"/>
                <w:bCs/>
                <w:sz w:val="18"/>
                <w:szCs w:val="18"/>
                <w:lang w:val="en-AU" w:eastAsia="en-GB"/>
              </w:rPr>
              <w:t>Additionally, we confirmed that there was no significant overlap of samples between AD and MG datasets, potentially ruling out likely biases arising from shared individuals in both GWAS cohorts.</w:t>
            </w:r>
            <w:r>
              <w:rPr>
                <w:rFonts w:ascii="Times New Roman" w:eastAsia="Times New Roman" w:hAnsi="Times New Roman" w:cs="Times New Roman"/>
                <w:bCs/>
                <w:sz w:val="18"/>
                <w:szCs w:val="18"/>
                <w:lang w:val="en-AU" w:eastAsia="en-GB"/>
              </w:rPr>
              <w:t>’</w:t>
            </w:r>
          </w:p>
        </w:tc>
        <w:tc>
          <w:tcPr>
            <w:tcW w:w="710" w:type="dxa"/>
          </w:tcPr>
          <w:p w14:paraId="1612F89F" w14:textId="6BE7B6CC" w:rsidR="00DE0C09" w:rsidRPr="00B430A0" w:rsidRDefault="000078B0" w:rsidP="00DE0C09">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lastRenderedPageBreak/>
              <w:t>3</w:t>
            </w:r>
            <w:r w:rsidR="00C91C58">
              <w:rPr>
                <w:rFonts w:ascii="Times New Roman" w:eastAsia="Times New Roman" w:hAnsi="Times New Roman" w:cs="Times New Roman"/>
                <w:sz w:val="18"/>
                <w:szCs w:val="18"/>
                <w:lang w:eastAsia="en-GB"/>
              </w:rPr>
              <w:t>5</w:t>
            </w:r>
          </w:p>
        </w:tc>
      </w:tr>
      <w:tr w:rsidR="00942FD0" w:rsidRPr="00B430A0" w14:paraId="70378831" w14:textId="0868B0A4" w:rsidTr="009F40F1">
        <w:tc>
          <w:tcPr>
            <w:tcW w:w="587" w:type="dxa"/>
          </w:tcPr>
          <w:p w14:paraId="45E41495"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59F665E7"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c)</w:t>
            </w:r>
          </w:p>
        </w:tc>
        <w:tc>
          <w:tcPr>
            <w:tcW w:w="2126" w:type="dxa"/>
          </w:tcPr>
          <w:p w14:paraId="5CB03D96" w14:textId="77777777" w:rsidR="00942FD0" w:rsidRPr="00B430A0" w:rsidRDefault="00942FD0" w:rsidP="00F75F09">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4678" w:type="dxa"/>
          </w:tcPr>
          <w:p w14:paraId="7B7E7C35" w14:textId="16EA5460" w:rsidR="00942FD0" w:rsidRPr="00C42373" w:rsidRDefault="00A2049A" w:rsidP="00F75F09">
            <w:pPr>
              <w:spacing w:beforeLines="40" w:before="96" w:afterLines="40" w:after="96" w:line="24" w:lineRule="atLeast"/>
              <w:rPr>
                <w:rFonts w:ascii="Times New Roman" w:eastAsiaTheme="minorEastAsia" w:hAnsi="Times New Roman" w:cs="Times New Roman"/>
                <w:sz w:val="18"/>
                <w:szCs w:val="18"/>
                <w:lang w:val="en-AU" w:eastAsia="zh-CN"/>
              </w:rPr>
            </w:pPr>
            <w:r w:rsidRPr="00A2049A">
              <w:rPr>
                <w:rFonts w:ascii="Times New Roman" w:eastAsiaTheme="minorEastAsia" w:hAnsi="Times New Roman" w:cs="Times New Roman"/>
                <w:sz w:val="18"/>
                <w:szCs w:val="18"/>
                <w:lang w:eastAsia="zh-CN"/>
              </w:rPr>
              <w:t xml:space="preserve">We used two-sample Mendelian </w:t>
            </w:r>
            <w:proofErr w:type="spellStart"/>
            <w:r w:rsidRPr="00A2049A">
              <w:rPr>
                <w:rFonts w:ascii="Times New Roman" w:eastAsiaTheme="minorEastAsia" w:hAnsi="Times New Roman" w:cs="Times New Roman"/>
                <w:sz w:val="18"/>
                <w:szCs w:val="18"/>
                <w:lang w:eastAsia="zh-CN"/>
              </w:rPr>
              <w:t>randomisation</w:t>
            </w:r>
            <w:proofErr w:type="spellEnd"/>
            <w:r w:rsidRPr="00A2049A">
              <w:rPr>
                <w:rFonts w:ascii="Times New Roman" w:eastAsiaTheme="minorEastAsia" w:hAnsi="Times New Roman" w:cs="Times New Roman"/>
                <w:sz w:val="18"/>
                <w:szCs w:val="18"/>
                <w:lang w:eastAsia="zh-CN"/>
              </w:rPr>
              <w:t xml:space="preserve"> (MR) to estimate the causal effects between Alzheimer’s disease (AD) and myasthenia gravis (MG). The primary MR estimator was the inverse-variance weighted (IVW) method under a multiplicative random-effects model, complemented by sensitivity analyses using MR-Egger, weighted median, and weighted mode approaches. For single-instrument analyses, we applied the Wald ratio. The analyses relied on GWAS summary statistics that were adjusted for key covariates, including age, sex, and ancestry principal components, in both exposure and outcome datasets, ensuring consistency across samples.</w:t>
            </w:r>
          </w:p>
        </w:tc>
        <w:tc>
          <w:tcPr>
            <w:tcW w:w="5528" w:type="dxa"/>
          </w:tcPr>
          <w:p w14:paraId="2343EED0" w14:textId="31815709" w:rsidR="0020153B" w:rsidRPr="0020153B" w:rsidRDefault="0020153B" w:rsidP="0020153B">
            <w:pPr>
              <w:spacing w:beforeLines="40" w:before="96" w:afterLines="40" w:after="96" w:line="24" w:lineRule="atLeast"/>
              <w:rPr>
                <w:rFonts w:ascii="Times New Roman" w:eastAsiaTheme="minorEastAsia" w:hAnsi="Times New Roman" w:cs="Times New Roman"/>
                <w:sz w:val="18"/>
                <w:szCs w:val="18"/>
                <w:lang w:val="en-AU" w:eastAsia="zh-CN"/>
              </w:rPr>
            </w:pPr>
            <w:r>
              <w:rPr>
                <w:rFonts w:ascii="Times New Roman" w:eastAsiaTheme="minorEastAsia" w:hAnsi="Times New Roman" w:cs="Times New Roman"/>
                <w:sz w:val="18"/>
                <w:szCs w:val="18"/>
                <w:lang w:val="en-AU" w:eastAsia="zh-CN"/>
              </w:rPr>
              <w:t>‘</w:t>
            </w:r>
            <w:r w:rsidRPr="0020153B">
              <w:rPr>
                <w:rFonts w:ascii="Times New Roman" w:eastAsiaTheme="minorEastAsia" w:hAnsi="Times New Roman" w:cs="Times New Roman"/>
                <w:sz w:val="18"/>
                <w:szCs w:val="18"/>
                <w:lang w:val="en-AU" w:eastAsia="zh-CN"/>
              </w:rPr>
              <w:t>In this study, we employed the inverse variance weighted (IVW) method as the primary MR approach. This technique aggregates the Wald ratios from individual genetic instruments into a single weighted average, with weights determined by the inverse variance of each ratio.</w:t>
            </w:r>
          </w:p>
          <w:p w14:paraId="002D56B1" w14:textId="7784A4F2" w:rsidR="0020153B" w:rsidRPr="0020153B" w:rsidRDefault="0020153B" w:rsidP="0020153B">
            <w:pPr>
              <w:spacing w:beforeLines="40" w:before="96" w:afterLines="40" w:after="96" w:line="24" w:lineRule="atLeast"/>
              <w:rPr>
                <w:rFonts w:ascii="Times New Roman" w:eastAsiaTheme="minorEastAsia" w:hAnsi="Times New Roman" w:cs="Times New Roman"/>
                <w:sz w:val="18"/>
                <w:szCs w:val="18"/>
                <w:lang w:val="en-AU" w:eastAsia="zh-CN"/>
              </w:rPr>
            </w:pPr>
            <w:r>
              <w:rPr>
                <w:rFonts w:ascii="Times New Roman" w:eastAsiaTheme="minorEastAsia" w:hAnsi="Times New Roman" w:cs="Times New Roman"/>
                <w:sz w:val="18"/>
                <w:szCs w:val="18"/>
                <w:lang w:val="en-AU" w:eastAsia="zh-CN"/>
              </w:rPr>
              <w:t>‘</w:t>
            </w:r>
            <w:r w:rsidRPr="0020153B">
              <w:rPr>
                <w:rFonts w:ascii="Times New Roman" w:eastAsiaTheme="minorEastAsia" w:hAnsi="Times New Roman" w:cs="Times New Roman"/>
                <w:sz w:val="18"/>
                <w:szCs w:val="18"/>
                <w:lang w:val="en-AU" w:eastAsia="zh-CN"/>
              </w:rPr>
              <w:t>To account for potential heterogeneity in causal estimates across variants, we applied the multiplicative random-effects version of the IVW model.</w:t>
            </w:r>
            <w:r>
              <w:rPr>
                <w:rFonts w:ascii="Times New Roman" w:eastAsiaTheme="minorEastAsia" w:hAnsi="Times New Roman" w:cs="Times New Roman"/>
                <w:sz w:val="18"/>
                <w:szCs w:val="18"/>
                <w:lang w:val="en-AU" w:eastAsia="zh-CN"/>
              </w:rPr>
              <w:t>’</w:t>
            </w:r>
          </w:p>
          <w:p w14:paraId="2AC990B5" w14:textId="0B3998D1" w:rsidR="002B0699" w:rsidRPr="0020153B" w:rsidRDefault="0020153B" w:rsidP="00F75F09">
            <w:pPr>
              <w:spacing w:beforeLines="40" w:before="96" w:afterLines="40" w:after="96" w:line="24" w:lineRule="atLeast"/>
              <w:rPr>
                <w:rFonts w:ascii="Times New Roman" w:eastAsiaTheme="minorEastAsia" w:hAnsi="Times New Roman" w:cs="Times New Roman"/>
                <w:sz w:val="18"/>
                <w:szCs w:val="18"/>
                <w:lang w:val="en-AU" w:eastAsia="zh-CN"/>
              </w:rPr>
            </w:pPr>
            <w:r>
              <w:rPr>
                <w:rFonts w:ascii="Times New Roman" w:eastAsiaTheme="minorEastAsia" w:hAnsi="Times New Roman" w:cs="Times New Roman"/>
                <w:sz w:val="18"/>
                <w:szCs w:val="18"/>
                <w:lang w:val="en-AU" w:eastAsia="zh-CN"/>
              </w:rPr>
              <w:t>‘</w:t>
            </w:r>
            <w:r w:rsidRPr="0020153B">
              <w:rPr>
                <w:rFonts w:ascii="Times New Roman" w:eastAsiaTheme="minorEastAsia" w:hAnsi="Times New Roman" w:cs="Times New Roman"/>
                <w:sz w:val="18"/>
                <w:szCs w:val="18"/>
                <w:lang w:val="en-AU" w:eastAsia="zh-CN"/>
              </w:rPr>
              <w:t>To supplement IVW estimates, we incorporated additional MR methods, including the weighted median approach, which provides valid estimates even if up to 50% of IVs are invalid, and MR-Egger regression, which adjusts for pleiotropy to produce unbiased estimates.</w:t>
            </w:r>
            <w:r>
              <w:rPr>
                <w:rFonts w:ascii="Times New Roman" w:eastAsiaTheme="minorEastAsia" w:hAnsi="Times New Roman" w:cs="Times New Roman"/>
                <w:sz w:val="18"/>
                <w:szCs w:val="18"/>
                <w:lang w:val="en-AU" w:eastAsia="zh-CN"/>
              </w:rPr>
              <w:t>’</w:t>
            </w:r>
          </w:p>
        </w:tc>
        <w:tc>
          <w:tcPr>
            <w:tcW w:w="710" w:type="dxa"/>
          </w:tcPr>
          <w:p w14:paraId="334D44EB" w14:textId="6EBBB6D0" w:rsidR="00942FD0" w:rsidRPr="00B430A0" w:rsidRDefault="0020153B" w:rsidP="00F75F09">
            <w:pPr>
              <w:spacing w:beforeLines="40" w:before="96" w:afterLines="40" w:after="96" w:line="24" w:lineRule="atLeast"/>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35</w:t>
            </w:r>
          </w:p>
        </w:tc>
      </w:tr>
      <w:tr w:rsidR="00942FD0" w:rsidRPr="00B430A0" w14:paraId="0D8F3A7E" w14:textId="14623463" w:rsidTr="009F40F1">
        <w:tc>
          <w:tcPr>
            <w:tcW w:w="587" w:type="dxa"/>
          </w:tcPr>
          <w:p w14:paraId="1D70C4CD"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0A3AAFD6"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d)</w:t>
            </w:r>
          </w:p>
        </w:tc>
        <w:tc>
          <w:tcPr>
            <w:tcW w:w="2126" w:type="dxa"/>
          </w:tcPr>
          <w:p w14:paraId="08786389" w14:textId="77777777" w:rsidR="00942FD0" w:rsidRPr="00B430A0" w:rsidRDefault="00942FD0" w:rsidP="00F75F09">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Explain how missing data were addressed</w:t>
            </w:r>
          </w:p>
        </w:tc>
        <w:tc>
          <w:tcPr>
            <w:tcW w:w="4678" w:type="dxa"/>
          </w:tcPr>
          <w:p w14:paraId="297C3632" w14:textId="3CA736DB" w:rsidR="00942FD0" w:rsidRPr="00B430A0" w:rsidRDefault="00C22FBB" w:rsidP="00F75F09">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imes New Roman" w:hAnsi="Times New Roman" w:cs="Times New Roman"/>
                <w:sz w:val="18"/>
                <w:szCs w:val="18"/>
                <w:lang w:val="en-GB" w:eastAsia="en-GB"/>
              </w:rPr>
              <w:t>We used the data described in the data source sub-section</w:t>
            </w:r>
            <w:r w:rsidR="008C2C75">
              <w:rPr>
                <w:rFonts w:ascii="Times New Roman" w:eastAsia="Times New Roman" w:hAnsi="Times New Roman" w:cs="Times New Roman"/>
                <w:sz w:val="18"/>
                <w:szCs w:val="18"/>
                <w:lang w:val="en-GB" w:eastAsia="en-GB"/>
              </w:rPr>
              <w:t>; missing</w:t>
            </w:r>
            <w:r>
              <w:rPr>
                <w:rFonts w:ascii="Times New Roman" w:eastAsia="Times New Roman" w:hAnsi="Times New Roman" w:cs="Times New Roman"/>
                <w:sz w:val="18"/>
                <w:szCs w:val="18"/>
                <w:lang w:val="en-GB" w:eastAsia="en-GB"/>
              </w:rPr>
              <w:t xml:space="preserve"> data does not apply </w:t>
            </w:r>
            <w:r w:rsidR="008C2C75">
              <w:rPr>
                <w:rFonts w:ascii="Times New Roman" w:eastAsia="Times New Roman" w:hAnsi="Times New Roman" w:cs="Times New Roman"/>
                <w:sz w:val="18"/>
                <w:szCs w:val="18"/>
                <w:lang w:val="en-GB" w:eastAsia="en-GB"/>
              </w:rPr>
              <w:t>to</w:t>
            </w:r>
            <w:r>
              <w:rPr>
                <w:rFonts w:ascii="Times New Roman" w:eastAsia="Times New Roman" w:hAnsi="Times New Roman" w:cs="Times New Roman"/>
                <w:sz w:val="18"/>
                <w:szCs w:val="18"/>
                <w:lang w:val="en-GB" w:eastAsia="en-GB"/>
              </w:rPr>
              <w:t xml:space="preserve"> our study.</w:t>
            </w:r>
          </w:p>
        </w:tc>
        <w:tc>
          <w:tcPr>
            <w:tcW w:w="5528" w:type="dxa"/>
          </w:tcPr>
          <w:p w14:paraId="1B213614" w14:textId="398D3FA7" w:rsidR="00942FD0" w:rsidRPr="00B430A0" w:rsidRDefault="00C22FBB" w:rsidP="00F75F09">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NA</w:t>
            </w:r>
          </w:p>
        </w:tc>
        <w:tc>
          <w:tcPr>
            <w:tcW w:w="710" w:type="dxa"/>
          </w:tcPr>
          <w:p w14:paraId="16808665" w14:textId="097436F7" w:rsidR="00942FD0" w:rsidRPr="00B430A0" w:rsidRDefault="00DC0181" w:rsidP="00F75F09">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NA</w:t>
            </w:r>
          </w:p>
        </w:tc>
      </w:tr>
      <w:tr w:rsidR="00942FD0" w:rsidRPr="00B430A0" w14:paraId="77F037B8" w14:textId="6696FA54" w:rsidTr="009F40F1">
        <w:tc>
          <w:tcPr>
            <w:tcW w:w="587" w:type="dxa"/>
          </w:tcPr>
          <w:p w14:paraId="4AC39E55"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4D9E0350" w14:textId="77777777" w:rsidR="00942FD0" w:rsidRPr="00B430A0" w:rsidRDefault="00942FD0" w:rsidP="00F75F09">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e)</w:t>
            </w:r>
          </w:p>
        </w:tc>
        <w:tc>
          <w:tcPr>
            <w:tcW w:w="2126" w:type="dxa"/>
          </w:tcPr>
          <w:p w14:paraId="41F1E523" w14:textId="77777777" w:rsidR="00942FD0" w:rsidRPr="00B430A0" w:rsidRDefault="00942FD0" w:rsidP="00F75F09">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If applicable, indicate how multiple testing was addressed</w:t>
            </w:r>
          </w:p>
        </w:tc>
        <w:tc>
          <w:tcPr>
            <w:tcW w:w="4678" w:type="dxa"/>
          </w:tcPr>
          <w:p w14:paraId="6B5C4982" w14:textId="17577A6B" w:rsidR="00942FD0" w:rsidRPr="00B430A0" w:rsidRDefault="00FC4D5B" w:rsidP="00F75F09">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We use the Bonferroni approach to account for multiple testing corrections in our study.</w:t>
            </w:r>
          </w:p>
        </w:tc>
        <w:tc>
          <w:tcPr>
            <w:tcW w:w="5528" w:type="dxa"/>
          </w:tcPr>
          <w:p w14:paraId="04038508" w14:textId="4D284411" w:rsidR="00942FD0" w:rsidRPr="00B430A0" w:rsidRDefault="003178FA" w:rsidP="00F75F09">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heme="minorEastAsia" w:hAnsi="Times New Roman" w:cs="Times New Roman"/>
                <w:sz w:val="18"/>
                <w:szCs w:val="18"/>
                <w:lang w:val="en-AU" w:eastAsia="zh-CN"/>
              </w:rPr>
              <w:t>‘</w:t>
            </w:r>
            <w:r w:rsidRPr="0020153B">
              <w:rPr>
                <w:rFonts w:ascii="Times New Roman" w:eastAsiaTheme="minorEastAsia" w:hAnsi="Times New Roman" w:cs="Times New Roman"/>
                <w:sz w:val="18"/>
                <w:szCs w:val="18"/>
                <w:lang w:val="en-AU" w:eastAsia="zh-CN"/>
              </w:rPr>
              <w:t>Results with p-values below 0.05 were considered nominally significant. To account for multiple comparisons, we consider our findings significant at P &lt; 0.025 (0.05/2, Bonferroni adjustment for assessing two traits).</w:t>
            </w:r>
            <w:r>
              <w:rPr>
                <w:rFonts w:ascii="Times New Roman" w:eastAsiaTheme="minorEastAsia" w:hAnsi="Times New Roman" w:cs="Times New Roman"/>
                <w:sz w:val="18"/>
                <w:szCs w:val="18"/>
                <w:lang w:val="en-AU" w:eastAsia="zh-CN"/>
              </w:rPr>
              <w:t>’</w:t>
            </w:r>
          </w:p>
        </w:tc>
        <w:tc>
          <w:tcPr>
            <w:tcW w:w="710" w:type="dxa"/>
          </w:tcPr>
          <w:p w14:paraId="490E44D4" w14:textId="7903229A" w:rsidR="00942FD0" w:rsidRPr="00B430A0" w:rsidRDefault="00DE29E5" w:rsidP="00F75F09">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35</w:t>
            </w:r>
          </w:p>
        </w:tc>
      </w:tr>
      <w:tr w:rsidR="00942FD0" w:rsidRPr="00B430A0" w14:paraId="585043CE" w14:textId="4922F612" w:rsidTr="009F40F1">
        <w:tc>
          <w:tcPr>
            <w:tcW w:w="587" w:type="dxa"/>
          </w:tcPr>
          <w:p w14:paraId="55967D09" w14:textId="77777777" w:rsidR="00942FD0" w:rsidRPr="00B430A0" w:rsidRDefault="00942FD0" w:rsidP="00F75F09">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7</w:t>
            </w:r>
          </w:p>
        </w:tc>
        <w:tc>
          <w:tcPr>
            <w:tcW w:w="968" w:type="dxa"/>
          </w:tcPr>
          <w:p w14:paraId="0947B164" w14:textId="77777777" w:rsidR="00942FD0" w:rsidRPr="00B430A0" w:rsidRDefault="00942FD0" w:rsidP="00F75F09">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b/>
                <w:bCs/>
                <w:sz w:val="18"/>
                <w:szCs w:val="18"/>
                <w:lang w:val="en-GB" w:eastAsia="en-GB"/>
              </w:rPr>
              <w:t>Assessment of assumptions</w:t>
            </w:r>
          </w:p>
        </w:tc>
        <w:tc>
          <w:tcPr>
            <w:tcW w:w="2126" w:type="dxa"/>
          </w:tcPr>
          <w:p w14:paraId="1E6D0B1E" w14:textId="77777777" w:rsidR="00942FD0" w:rsidRPr="00B430A0" w:rsidRDefault="00942FD0" w:rsidP="00F75F09">
            <w:pPr>
              <w:tabs>
                <w:tab w:val="left" w:pos="1620"/>
              </w:tabs>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Describe any methods or prior knowledge used to assess the assumptions or justify their validity</w:t>
            </w:r>
            <w:r w:rsidRPr="00B430A0">
              <w:rPr>
                <w:rFonts w:ascii="Times New Roman" w:eastAsia="Cambria" w:hAnsi="Times New Roman" w:cs="Times New Roman"/>
                <w:sz w:val="18"/>
                <w:szCs w:val="18"/>
                <w:lang w:val="en-GB" w:eastAsia="en-US"/>
              </w:rPr>
              <w:tab/>
            </w:r>
          </w:p>
        </w:tc>
        <w:tc>
          <w:tcPr>
            <w:tcW w:w="4678" w:type="dxa"/>
          </w:tcPr>
          <w:p w14:paraId="26DD8422" w14:textId="77777777" w:rsidR="009E2D14" w:rsidRPr="009E2D14" w:rsidRDefault="009E2D14" w:rsidP="009E2D14">
            <w:pPr>
              <w:tabs>
                <w:tab w:val="left" w:pos="1620"/>
              </w:tabs>
              <w:spacing w:beforeLines="40" w:before="96" w:afterLines="40" w:after="96" w:line="24" w:lineRule="atLeast"/>
              <w:rPr>
                <w:rFonts w:ascii="Times New Roman" w:eastAsiaTheme="minorEastAsia" w:hAnsi="Times New Roman" w:cs="Times New Roman"/>
                <w:sz w:val="18"/>
                <w:szCs w:val="18"/>
                <w:lang w:val="en-AU" w:eastAsia="zh-CN"/>
              </w:rPr>
            </w:pPr>
            <w:r w:rsidRPr="009E2D14">
              <w:rPr>
                <w:rFonts w:ascii="Times New Roman" w:eastAsiaTheme="minorEastAsia" w:hAnsi="Times New Roman" w:cs="Times New Roman"/>
                <w:sz w:val="18"/>
                <w:szCs w:val="18"/>
                <w:lang w:val="en-AU" w:eastAsia="zh-CN"/>
              </w:rPr>
              <w:t>To ensure the validity of the three core MR assumptions, we employed both prior knowledge and statistical methods to assess and justify their adherence.</w:t>
            </w:r>
          </w:p>
          <w:p w14:paraId="1B22C11B" w14:textId="77777777" w:rsidR="009E2D14" w:rsidRPr="009E2D14" w:rsidRDefault="009E2D14" w:rsidP="009E2D14">
            <w:pPr>
              <w:tabs>
                <w:tab w:val="left" w:pos="1620"/>
              </w:tabs>
              <w:spacing w:beforeLines="40" w:before="96" w:afterLines="40" w:after="96" w:line="24" w:lineRule="atLeast"/>
              <w:rPr>
                <w:rFonts w:ascii="Times New Roman" w:eastAsiaTheme="minorEastAsia" w:hAnsi="Times New Roman" w:cs="Times New Roman"/>
                <w:sz w:val="18"/>
                <w:szCs w:val="18"/>
                <w:lang w:val="en-AU" w:eastAsia="zh-CN"/>
              </w:rPr>
            </w:pPr>
            <w:r w:rsidRPr="009E2D14">
              <w:rPr>
                <w:rFonts w:ascii="Times New Roman" w:eastAsiaTheme="minorEastAsia" w:hAnsi="Times New Roman" w:cs="Times New Roman"/>
                <w:sz w:val="18"/>
                <w:szCs w:val="18"/>
                <w:lang w:val="en-AU" w:eastAsia="zh-CN"/>
              </w:rPr>
              <w:t xml:space="preserve">We selected instrumental variables (IVs) based on genome-wide significance thresholds (P &lt; 5 × 10⁻⁸) from the relevant GWAS summary data, ensuring strong associations with the exposure (assumption 1). For cases with limited genome-wide significant SNPs, we used genome-wide suggestive thresholds (P &lt; 1 × 10⁻⁵), acknowledging potential limitations.  </w:t>
            </w:r>
          </w:p>
          <w:p w14:paraId="61C50F74" w14:textId="39588481" w:rsidR="00942FD0" w:rsidRPr="00E46F7A" w:rsidRDefault="009E2D14" w:rsidP="009E2D14">
            <w:pPr>
              <w:tabs>
                <w:tab w:val="left" w:pos="1620"/>
              </w:tabs>
              <w:spacing w:beforeLines="40" w:before="96" w:afterLines="40" w:after="96" w:line="24" w:lineRule="atLeast"/>
              <w:rPr>
                <w:rFonts w:ascii="Times New Roman" w:eastAsiaTheme="minorEastAsia" w:hAnsi="Times New Roman" w:cs="Times New Roman"/>
                <w:sz w:val="18"/>
                <w:szCs w:val="18"/>
                <w:lang w:val="en-AU" w:eastAsia="zh-CN"/>
              </w:rPr>
            </w:pPr>
            <w:r w:rsidRPr="009E2D14">
              <w:rPr>
                <w:rFonts w:ascii="Times New Roman" w:eastAsiaTheme="minorEastAsia" w:hAnsi="Times New Roman" w:cs="Times New Roman"/>
                <w:sz w:val="18"/>
                <w:szCs w:val="18"/>
                <w:lang w:val="en-AU" w:eastAsia="zh-CN"/>
              </w:rPr>
              <w:t xml:space="preserve">To ensure independence from potential confounders (assumption 2), we applied linkage disequilibrium (LD) clumping (r² &lt; 0.001) to select independent SNPs. </w:t>
            </w:r>
            <w:r w:rsidRPr="009E2D14">
              <w:rPr>
                <w:rFonts w:ascii="Times New Roman" w:eastAsiaTheme="minorEastAsia" w:hAnsi="Times New Roman" w:cs="Times New Roman"/>
                <w:sz w:val="18"/>
                <w:szCs w:val="18"/>
                <w:lang w:val="en-AU" w:eastAsia="zh-CN"/>
              </w:rPr>
              <w:lastRenderedPageBreak/>
              <w:t xml:space="preserve">Additionally, we tested for associations between the selected instruments and known confounders when data </w:t>
            </w:r>
            <w:r w:rsidR="009504DC">
              <w:rPr>
                <w:rFonts w:ascii="Times New Roman" w:eastAsiaTheme="minorEastAsia" w:hAnsi="Times New Roman" w:cs="Times New Roman"/>
                <w:sz w:val="18"/>
                <w:szCs w:val="18"/>
                <w:lang w:val="en-AU" w:eastAsia="zh-CN"/>
              </w:rPr>
              <w:t>were</w:t>
            </w:r>
            <w:r w:rsidRPr="009E2D14">
              <w:rPr>
                <w:rFonts w:ascii="Times New Roman" w:eastAsiaTheme="minorEastAsia" w:hAnsi="Times New Roman" w:cs="Times New Roman"/>
                <w:sz w:val="18"/>
                <w:szCs w:val="18"/>
                <w:lang w:val="en-AU" w:eastAsia="zh-CN"/>
              </w:rPr>
              <w:t xml:space="preserve"> available. We ensured that the IVs were not associated with the outcome variables contributing to ensuring that the </w:t>
            </w:r>
            <w:r w:rsidR="00DE29E5">
              <w:rPr>
                <w:rFonts w:ascii="Times New Roman" w:eastAsiaTheme="minorEastAsia" w:hAnsi="Times New Roman" w:cs="Times New Roman"/>
                <w:sz w:val="18"/>
                <w:szCs w:val="18"/>
                <w:lang w:val="en-AU" w:eastAsia="zh-CN"/>
              </w:rPr>
              <w:t>IV-outcome</w:t>
            </w:r>
            <w:r w:rsidRPr="009E2D14">
              <w:rPr>
                <w:rFonts w:ascii="Times New Roman" w:eastAsiaTheme="minorEastAsia" w:hAnsi="Times New Roman" w:cs="Times New Roman"/>
                <w:sz w:val="18"/>
                <w:szCs w:val="18"/>
                <w:lang w:val="en-AU" w:eastAsia="zh-CN"/>
              </w:rPr>
              <w:t xml:space="preserve"> relationship is through the exposure (assumption 3).</w:t>
            </w:r>
          </w:p>
        </w:tc>
        <w:tc>
          <w:tcPr>
            <w:tcW w:w="5528" w:type="dxa"/>
          </w:tcPr>
          <w:p w14:paraId="5483C024" w14:textId="77777777" w:rsidR="008B19AF" w:rsidRPr="008B19AF" w:rsidRDefault="008B19AF" w:rsidP="008B19AF">
            <w:pPr>
              <w:tabs>
                <w:tab w:val="left" w:pos="1620"/>
              </w:tabs>
              <w:spacing w:beforeLines="40" w:before="96" w:afterLines="40" w:after="96" w:line="24" w:lineRule="atLeast"/>
              <w:rPr>
                <w:rFonts w:ascii="Times New Roman" w:eastAsia="Times New Roman" w:hAnsi="Times New Roman" w:cs="Times New Roman"/>
                <w:bCs/>
                <w:sz w:val="18"/>
                <w:szCs w:val="18"/>
                <w:lang w:val="en-AU" w:eastAsia="en-GB"/>
              </w:rPr>
            </w:pPr>
            <w:r w:rsidRPr="008B19AF">
              <w:rPr>
                <w:rFonts w:ascii="Times New Roman" w:eastAsia="Times New Roman" w:hAnsi="Times New Roman" w:cs="Times New Roman"/>
                <w:bCs/>
                <w:sz w:val="18"/>
                <w:szCs w:val="18"/>
                <w:lang w:val="en-AU" w:eastAsia="en-GB"/>
              </w:rPr>
              <w:lastRenderedPageBreak/>
              <w:t xml:space="preserve">We identified IVs from relevant GWAS summary data, selecting those that reached GWS (p &lt; 5 × 10⁻⁸) to ensure a strong association with exposure variables and an F-statistic above 10. This approach minimised weak instrument bias and satisfied the first MR assumption.  The second MR assumption, that IVs are unlinked to confounders, is more challenging to validate; however, we rigorously assessed IVs and applied stringent linkage disequilibrium clumping (r² &lt; 0.001, and 10000kb, Figure 1) to maintain instrument independence. To further improve data quality, we excluded genetic variants with intermediate allele frequencies to prevent strand alignment issues, removed variants absent in the reference dataset, and harmonised exposure and outcome data by aligning alleles and maintaining consistency in effect directions. </w:t>
            </w:r>
            <w:r w:rsidRPr="008B19AF">
              <w:rPr>
                <w:rFonts w:ascii="Times New Roman" w:eastAsia="Times New Roman" w:hAnsi="Times New Roman" w:cs="Times New Roman"/>
                <w:bCs/>
                <w:sz w:val="18"/>
                <w:szCs w:val="18"/>
                <w:lang w:val="en-AU" w:eastAsia="en-GB"/>
              </w:rPr>
              <w:lastRenderedPageBreak/>
              <w:t>Additional robustness checks were conducted, as outlined in the main MR and sensitivity analyses.</w:t>
            </w:r>
          </w:p>
          <w:p w14:paraId="1C3912C4" w14:textId="640092BA" w:rsidR="00942FD0" w:rsidRPr="00B430A0" w:rsidRDefault="00942FD0" w:rsidP="00EB2849">
            <w:pPr>
              <w:tabs>
                <w:tab w:val="left" w:pos="1620"/>
              </w:tabs>
              <w:spacing w:beforeLines="40" w:before="96" w:afterLines="40" w:after="96" w:line="24" w:lineRule="atLeast"/>
              <w:rPr>
                <w:rFonts w:ascii="Times New Roman" w:eastAsia="Times New Roman" w:hAnsi="Times New Roman" w:cs="Times New Roman"/>
                <w:sz w:val="18"/>
                <w:szCs w:val="18"/>
                <w:lang w:eastAsia="en-GB"/>
              </w:rPr>
            </w:pPr>
          </w:p>
        </w:tc>
        <w:tc>
          <w:tcPr>
            <w:tcW w:w="710" w:type="dxa"/>
          </w:tcPr>
          <w:p w14:paraId="5D46DB2B" w14:textId="5AA47F3D" w:rsidR="00942FD0" w:rsidRPr="00B430A0" w:rsidRDefault="00DE29E5" w:rsidP="00EB2849">
            <w:pPr>
              <w:tabs>
                <w:tab w:val="left" w:pos="1620"/>
              </w:tabs>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lastRenderedPageBreak/>
              <w:t>35</w:t>
            </w:r>
          </w:p>
        </w:tc>
      </w:tr>
      <w:tr w:rsidR="006E6274" w:rsidRPr="00B430A0" w14:paraId="383932D9" w14:textId="2C1AFE56" w:rsidTr="0007261A">
        <w:tc>
          <w:tcPr>
            <w:tcW w:w="587" w:type="dxa"/>
          </w:tcPr>
          <w:p w14:paraId="1A4621BC" w14:textId="77777777" w:rsidR="006E6274" w:rsidRPr="0007261A" w:rsidRDefault="006E6274" w:rsidP="006E6274">
            <w:pPr>
              <w:spacing w:beforeLines="40" w:before="96" w:afterLines="40" w:after="96" w:line="24" w:lineRule="atLeast"/>
              <w:rPr>
                <w:rFonts w:ascii="Times New Roman" w:eastAsia="Times New Roman" w:hAnsi="Times New Roman" w:cs="Times New Roman"/>
                <w:b/>
                <w:bCs/>
                <w:sz w:val="18"/>
                <w:szCs w:val="18"/>
                <w:lang w:val="en-GB" w:eastAsia="en-GB"/>
              </w:rPr>
            </w:pPr>
            <w:r w:rsidRPr="0007261A">
              <w:rPr>
                <w:rFonts w:ascii="Times New Roman" w:eastAsia="Times New Roman" w:hAnsi="Times New Roman" w:cs="Times New Roman"/>
                <w:sz w:val="18"/>
                <w:szCs w:val="18"/>
                <w:lang w:val="en-GB" w:eastAsia="en-GB"/>
              </w:rPr>
              <w:t>8</w:t>
            </w:r>
          </w:p>
        </w:tc>
        <w:tc>
          <w:tcPr>
            <w:tcW w:w="968" w:type="dxa"/>
          </w:tcPr>
          <w:p w14:paraId="0F88F25B" w14:textId="77777777" w:rsidR="006E6274" w:rsidRPr="0007261A" w:rsidRDefault="006E6274" w:rsidP="006E6274">
            <w:pPr>
              <w:spacing w:beforeLines="40" w:before="96" w:afterLines="40" w:after="96" w:line="24" w:lineRule="atLeast"/>
              <w:rPr>
                <w:rFonts w:ascii="Times New Roman" w:eastAsia="Cambria" w:hAnsi="Times New Roman" w:cs="Times New Roman"/>
                <w:sz w:val="18"/>
                <w:szCs w:val="18"/>
                <w:lang w:val="en-GB" w:eastAsia="en-US"/>
              </w:rPr>
            </w:pPr>
            <w:r w:rsidRPr="0007261A">
              <w:rPr>
                <w:rFonts w:ascii="Times New Roman" w:eastAsia="Times New Roman" w:hAnsi="Times New Roman" w:cs="Times New Roman"/>
                <w:b/>
                <w:bCs/>
                <w:sz w:val="18"/>
                <w:szCs w:val="18"/>
                <w:lang w:val="en-GB" w:eastAsia="en-GB"/>
              </w:rPr>
              <w:t>Sensitivity analyses and additional analyses</w:t>
            </w:r>
          </w:p>
        </w:tc>
        <w:tc>
          <w:tcPr>
            <w:tcW w:w="2126" w:type="dxa"/>
          </w:tcPr>
          <w:p w14:paraId="13C6445C" w14:textId="77777777" w:rsidR="006E6274" w:rsidRPr="0007261A" w:rsidRDefault="006E6274" w:rsidP="006E6274">
            <w:pPr>
              <w:spacing w:beforeLines="40" w:before="96" w:afterLines="40" w:after="96" w:line="24" w:lineRule="atLeast"/>
              <w:rPr>
                <w:rFonts w:ascii="Times New Roman" w:eastAsia="Cambria" w:hAnsi="Times New Roman" w:cs="Times New Roman"/>
                <w:sz w:val="18"/>
                <w:szCs w:val="18"/>
                <w:lang w:val="en-GB" w:eastAsia="en-US"/>
              </w:rPr>
            </w:pPr>
            <w:r w:rsidRPr="0007261A">
              <w:rPr>
                <w:rFonts w:ascii="Times New Roman" w:eastAsia="Times New Roman" w:hAnsi="Times New Roman" w:cs="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4678" w:type="dxa"/>
          </w:tcPr>
          <w:p w14:paraId="039E4D0E" w14:textId="7E28D413" w:rsidR="006E6274" w:rsidRPr="0007261A" w:rsidRDefault="006E6274" w:rsidP="006E6274">
            <w:pPr>
              <w:spacing w:beforeLines="40" w:before="96" w:afterLines="40" w:after="96" w:line="24" w:lineRule="atLeast"/>
              <w:rPr>
                <w:rFonts w:ascii="Times New Roman" w:eastAsiaTheme="minorEastAsia" w:hAnsi="Times New Roman" w:cs="Times New Roman"/>
                <w:sz w:val="18"/>
                <w:szCs w:val="18"/>
                <w:lang w:val="en-GB" w:eastAsia="zh-CN"/>
              </w:rPr>
            </w:pPr>
            <w:r w:rsidRPr="0007261A">
              <w:rPr>
                <w:rFonts w:ascii="Times New Roman" w:eastAsiaTheme="minorEastAsia" w:hAnsi="Times New Roman" w:cs="Times New Roman"/>
                <w:sz w:val="18"/>
                <w:szCs w:val="18"/>
                <w:lang w:val="en-GB" w:eastAsia="zh-CN"/>
              </w:rPr>
              <w:t>To ensure the robustness and reliability of our MR findings, we conducted several sensitivity and additional analyses aimed at addressing potential biases, validating instruments, and confirming the consistency of causal estimates</w:t>
            </w:r>
            <w:r w:rsidRPr="0007261A">
              <w:rPr>
                <w:rFonts w:ascii="Times New Roman" w:eastAsiaTheme="minorEastAsia" w:hAnsi="Times New Roman" w:cs="Times New Roman"/>
                <w:bCs/>
                <w:sz w:val="18"/>
                <w:szCs w:val="18"/>
                <w:lang w:val="en-AU" w:eastAsia="zh-CN"/>
              </w:rPr>
              <w:t xml:space="preserve">. </w:t>
            </w:r>
            <w:r w:rsidRPr="0007261A">
              <w:rPr>
                <w:rFonts w:ascii="Times New Roman" w:eastAsiaTheme="minorEastAsia" w:hAnsi="Times New Roman" w:cs="Times New Roman"/>
                <w:sz w:val="18"/>
                <w:szCs w:val="18"/>
                <w:lang w:val="en-GB" w:eastAsia="zh-CN"/>
              </w:rPr>
              <w:t xml:space="preserve">The primary analysis method was the IVW model, which assumes no horizontal pleiotropy </w:t>
            </w:r>
            <w:r w:rsidR="00656EF1" w:rsidRPr="0007261A">
              <w:rPr>
                <w:rFonts w:ascii="Times New Roman" w:eastAsiaTheme="minorEastAsia" w:hAnsi="Times New Roman" w:cs="Times New Roman"/>
                <w:bCs/>
                <w:sz w:val="18"/>
                <w:szCs w:val="18"/>
                <w:lang w:val="en-AU" w:eastAsia="zh-CN"/>
              </w:rPr>
              <w:t>and remains reliable as long as this assumption holds.</w:t>
            </w:r>
            <w:r w:rsidRPr="0007261A">
              <w:rPr>
                <w:rFonts w:ascii="Times New Roman" w:eastAsiaTheme="minorEastAsia" w:hAnsi="Times New Roman" w:cs="Times New Roman"/>
                <w:sz w:val="18"/>
                <w:szCs w:val="18"/>
                <w:lang w:val="en-GB" w:eastAsia="zh-CN"/>
              </w:rPr>
              <w:t xml:space="preserve"> </w:t>
            </w:r>
            <w:r w:rsidR="00656EF1" w:rsidRPr="0007261A">
              <w:rPr>
                <w:rFonts w:ascii="Times New Roman" w:eastAsiaTheme="minorEastAsia" w:hAnsi="Times New Roman" w:cs="Times New Roman"/>
                <w:sz w:val="18"/>
                <w:szCs w:val="18"/>
                <w:lang w:val="en-GB" w:eastAsia="zh-CN"/>
              </w:rPr>
              <w:t>W</w:t>
            </w:r>
            <w:proofErr w:type="spellStart"/>
            <w:r w:rsidRPr="0007261A">
              <w:rPr>
                <w:rFonts w:ascii="Times New Roman" w:eastAsiaTheme="minorEastAsia" w:hAnsi="Times New Roman" w:cs="Times New Roman"/>
                <w:bCs/>
                <w:sz w:val="18"/>
                <w:szCs w:val="18"/>
                <w:lang w:val="en-AU" w:eastAsia="zh-CN"/>
              </w:rPr>
              <w:t>e</w:t>
            </w:r>
            <w:proofErr w:type="spellEnd"/>
            <w:r w:rsidRPr="0007261A">
              <w:rPr>
                <w:rFonts w:ascii="Times New Roman" w:eastAsiaTheme="minorEastAsia" w:hAnsi="Times New Roman" w:cs="Times New Roman"/>
                <w:bCs/>
                <w:sz w:val="18"/>
                <w:szCs w:val="18"/>
                <w:lang w:val="en-AU" w:eastAsia="zh-CN"/>
              </w:rPr>
              <w:t xml:space="preserve"> applied the multiplicative random-effects version of the IVW model</w:t>
            </w:r>
            <w:r w:rsidR="00656EF1" w:rsidRPr="0007261A">
              <w:rPr>
                <w:rFonts w:ascii="Times New Roman" w:eastAsiaTheme="minorEastAsia" w:hAnsi="Times New Roman" w:cs="Times New Roman"/>
                <w:bCs/>
                <w:sz w:val="18"/>
                <w:szCs w:val="18"/>
                <w:lang w:val="en-AU" w:eastAsia="zh-CN"/>
              </w:rPr>
              <w:t xml:space="preserve"> to account for potential heterogeneity in causal estimates across variants</w:t>
            </w:r>
            <w:r w:rsidRPr="0007261A">
              <w:rPr>
                <w:rFonts w:ascii="Times New Roman" w:eastAsiaTheme="minorEastAsia" w:hAnsi="Times New Roman" w:cs="Times New Roman"/>
                <w:bCs/>
                <w:sz w:val="18"/>
                <w:szCs w:val="18"/>
                <w:lang w:val="en-AU" w:eastAsia="zh-CN"/>
              </w:rPr>
              <w:t xml:space="preserve">. </w:t>
            </w:r>
            <w:r w:rsidR="00656EF1" w:rsidRPr="0007261A">
              <w:rPr>
                <w:rFonts w:ascii="Times New Roman" w:eastAsiaTheme="minorEastAsia" w:hAnsi="Times New Roman" w:cs="Times New Roman"/>
                <w:sz w:val="18"/>
                <w:szCs w:val="18"/>
                <w:lang w:val="en-GB" w:eastAsia="zh-CN"/>
              </w:rPr>
              <w:t>W</w:t>
            </w:r>
            <w:r w:rsidRPr="0007261A">
              <w:rPr>
                <w:rFonts w:ascii="Times New Roman" w:eastAsiaTheme="minorEastAsia" w:hAnsi="Times New Roman" w:cs="Times New Roman"/>
                <w:sz w:val="18"/>
                <w:szCs w:val="18"/>
                <w:lang w:val="en-GB" w:eastAsia="zh-CN"/>
              </w:rPr>
              <w:t xml:space="preserve">e </w:t>
            </w:r>
            <w:r w:rsidR="00656EF1" w:rsidRPr="0007261A">
              <w:rPr>
                <w:rFonts w:ascii="Times New Roman" w:eastAsiaTheme="minorEastAsia" w:hAnsi="Times New Roman" w:cs="Times New Roman"/>
                <w:bCs/>
                <w:sz w:val="18"/>
                <w:szCs w:val="18"/>
                <w:lang w:val="en-AU" w:eastAsia="zh-CN"/>
              </w:rPr>
              <w:t>used</w:t>
            </w:r>
            <w:r w:rsidRPr="0007261A">
              <w:rPr>
                <w:rFonts w:ascii="Times New Roman" w:eastAsiaTheme="minorEastAsia" w:hAnsi="Times New Roman" w:cs="Times New Roman"/>
                <w:sz w:val="18"/>
                <w:szCs w:val="18"/>
                <w:lang w:val="en-GB" w:eastAsia="zh-CN"/>
              </w:rPr>
              <w:t xml:space="preserve"> </w:t>
            </w:r>
            <w:r w:rsidR="00FB1D07">
              <w:rPr>
                <w:rFonts w:ascii="Times New Roman" w:eastAsiaTheme="minorEastAsia" w:hAnsi="Times New Roman" w:cs="Times New Roman"/>
                <w:sz w:val="18"/>
                <w:szCs w:val="18"/>
                <w:lang w:val="en-GB" w:eastAsia="zh-CN"/>
              </w:rPr>
              <w:t xml:space="preserve">the </w:t>
            </w:r>
            <w:r w:rsidRPr="0007261A">
              <w:rPr>
                <w:rFonts w:ascii="Times New Roman" w:eastAsiaTheme="minorEastAsia" w:hAnsi="Times New Roman" w:cs="Times New Roman"/>
                <w:sz w:val="18"/>
                <w:szCs w:val="18"/>
                <w:lang w:val="en-GB" w:eastAsia="zh-CN"/>
              </w:rPr>
              <w:t xml:space="preserve">weighted median </w:t>
            </w:r>
            <w:r w:rsidR="00656EF1" w:rsidRPr="0007261A">
              <w:rPr>
                <w:rFonts w:ascii="Times New Roman" w:eastAsiaTheme="minorEastAsia" w:hAnsi="Times New Roman" w:cs="Times New Roman"/>
                <w:sz w:val="18"/>
                <w:szCs w:val="18"/>
                <w:lang w:val="en-GB" w:eastAsia="zh-CN"/>
              </w:rPr>
              <w:t>approach to obtain</w:t>
            </w:r>
            <w:r w:rsidR="00656EF1" w:rsidRPr="0007261A">
              <w:rPr>
                <w:rFonts w:ascii="Times New Roman" w:eastAsiaTheme="minorEastAsia" w:hAnsi="Times New Roman" w:cs="Times New Roman"/>
                <w:bCs/>
                <w:sz w:val="18"/>
                <w:szCs w:val="18"/>
                <w:lang w:val="en-AU" w:eastAsia="zh-CN"/>
              </w:rPr>
              <w:t xml:space="preserve"> valid estimates even if up to 50% of IVs are invalid</w:t>
            </w:r>
            <w:r w:rsidR="00FB1D07">
              <w:rPr>
                <w:rFonts w:ascii="Times New Roman" w:eastAsiaTheme="minorEastAsia" w:hAnsi="Times New Roman" w:cs="Times New Roman"/>
                <w:bCs/>
                <w:sz w:val="18"/>
                <w:szCs w:val="18"/>
                <w:lang w:val="en-AU" w:eastAsia="zh-CN"/>
              </w:rPr>
              <w:t>,</w:t>
            </w:r>
            <w:r w:rsidR="00656EF1" w:rsidRPr="0007261A">
              <w:rPr>
                <w:rFonts w:ascii="Times New Roman" w:eastAsiaTheme="minorEastAsia" w:hAnsi="Times New Roman" w:cs="Times New Roman"/>
                <w:bCs/>
                <w:sz w:val="18"/>
                <w:szCs w:val="18"/>
                <w:lang w:val="en-AU" w:eastAsia="zh-CN"/>
              </w:rPr>
              <w:t xml:space="preserve"> and we </w:t>
            </w:r>
            <w:r w:rsidR="00656EF1" w:rsidRPr="0007261A">
              <w:rPr>
                <w:rFonts w:ascii="Times New Roman" w:eastAsiaTheme="minorEastAsia" w:hAnsi="Times New Roman" w:cs="Times New Roman"/>
                <w:sz w:val="18"/>
                <w:szCs w:val="18"/>
                <w:lang w:val="en-GB" w:eastAsia="zh-CN"/>
              </w:rPr>
              <w:t xml:space="preserve">applied MR-Egger regression, which </w:t>
            </w:r>
            <w:r w:rsidR="00656EF1" w:rsidRPr="0007261A">
              <w:rPr>
                <w:rFonts w:ascii="Times New Roman" w:eastAsiaTheme="minorEastAsia" w:hAnsi="Times New Roman" w:cs="Times New Roman"/>
                <w:bCs/>
                <w:sz w:val="18"/>
                <w:szCs w:val="18"/>
                <w:lang w:val="en-AU" w:eastAsia="zh-CN"/>
              </w:rPr>
              <w:t>adjusts for pleiotropy to produce unbiased estimates</w:t>
            </w:r>
            <w:r w:rsidRPr="0007261A">
              <w:rPr>
                <w:rFonts w:ascii="Times New Roman" w:eastAsiaTheme="minorEastAsia" w:hAnsi="Times New Roman" w:cs="Times New Roman"/>
                <w:sz w:val="18"/>
                <w:szCs w:val="18"/>
                <w:lang w:val="en-GB" w:eastAsia="zh-CN"/>
              </w:rPr>
              <w:t xml:space="preserve">. </w:t>
            </w:r>
            <w:r w:rsidR="00656EF1" w:rsidRPr="0007261A">
              <w:rPr>
                <w:rFonts w:ascii="Times New Roman" w:eastAsiaTheme="minorEastAsia" w:hAnsi="Times New Roman" w:cs="Times New Roman"/>
                <w:sz w:val="18"/>
                <w:szCs w:val="18"/>
                <w:lang w:val="en-GB" w:eastAsia="zh-CN"/>
              </w:rPr>
              <w:t>W</w:t>
            </w:r>
            <w:proofErr w:type="spellStart"/>
            <w:r w:rsidR="00656EF1" w:rsidRPr="0007261A">
              <w:rPr>
                <w:rFonts w:ascii="Times New Roman" w:eastAsiaTheme="minorEastAsia" w:hAnsi="Times New Roman" w:cs="Times New Roman"/>
                <w:bCs/>
                <w:sz w:val="18"/>
                <w:szCs w:val="18"/>
                <w:lang w:val="en-AU" w:eastAsia="zh-CN"/>
              </w:rPr>
              <w:t>e</w:t>
            </w:r>
            <w:proofErr w:type="spellEnd"/>
            <w:r w:rsidR="00656EF1" w:rsidRPr="0007261A">
              <w:rPr>
                <w:rFonts w:ascii="Times New Roman" w:eastAsiaTheme="minorEastAsia" w:hAnsi="Times New Roman" w:cs="Times New Roman"/>
                <w:bCs/>
                <w:sz w:val="18"/>
                <w:szCs w:val="18"/>
                <w:lang w:val="en-AU" w:eastAsia="zh-CN"/>
              </w:rPr>
              <w:t xml:space="preserve"> also used the Benjamini–Hochberg FDR correction method to account for multiple comparisons.</w:t>
            </w:r>
            <w:r w:rsidRPr="0007261A">
              <w:rPr>
                <w:rFonts w:ascii="Times New Roman" w:eastAsiaTheme="minorEastAsia" w:hAnsi="Times New Roman" w:cs="Times New Roman"/>
                <w:sz w:val="18"/>
                <w:szCs w:val="18"/>
                <w:lang w:val="en-GB" w:eastAsia="zh-CN"/>
              </w:rPr>
              <w:t xml:space="preserve">  </w:t>
            </w:r>
          </w:p>
          <w:p w14:paraId="6F69EC8F" w14:textId="5D9257D9" w:rsidR="006E6274" w:rsidRDefault="00656EF1" w:rsidP="006E6274">
            <w:pPr>
              <w:spacing w:beforeLines="40" w:before="96" w:afterLines="40" w:after="96" w:line="24" w:lineRule="atLeast"/>
              <w:rPr>
                <w:rFonts w:ascii="Times New Roman" w:eastAsiaTheme="minorEastAsia" w:hAnsi="Times New Roman" w:cs="Times New Roman"/>
                <w:bCs/>
                <w:sz w:val="18"/>
                <w:szCs w:val="18"/>
                <w:lang w:val="en-AU" w:eastAsia="zh-CN"/>
              </w:rPr>
            </w:pPr>
            <w:r w:rsidRPr="0007261A">
              <w:rPr>
                <w:rFonts w:ascii="Times New Roman" w:eastAsiaTheme="minorEastAsia" w:hAnsi="Times New Roman" w:cs="Times New Roman"/>
                <w:sz w:val="18"/>
                <w:szCs w:val="18"/>
                <w:lang w:val="en-AU" w:eastAsia="zh-CN"/>
              </w:rPr>
              <w:t>We conducted a series of sensitivity analyses to ensure the reliability of our findings. These included Cochran’s Q statistic to detect heterogeneity among SNP-specific causal estimates. I</w:t>
            </w:r>
            <w:r w:rsidRPr="0007261A">
              <w:rPr>
                <w:rFonts w:ascii="Times New Roman" w:eastAsiaTheme="minorEastAsia" w:hAnsi="Times New Roman" w:cs="Times New Roman"/>
                <w:bCs/>
                <w:sz w:val="18"/>
                <w:szCs w:val="18"/>
                <w:lang w:val="en-AU" w:eastAsia="zh-CN"/>
              </w:rPr>
              <w:t xml:space="preserve">ndividual MR analyses were conducted to assess the consistency of causal estimates across different IVs. Leave-one-out analyses </w:t>
            </w:r>
            <w:r w:rsidR="00FB1D07">
              <w:rPr>
                <w:rFonts w:ascii="Times New Roman" w:eastAsiaTheme="minorEastAsia" w:hAnsi="Times New Roman" w:cs="Times New Roman"/>
                <w:bCs/>
                <w:sz w:val="18"/>
                <w:szCs w:val="18"/>
                <w:lang w:val="en-AU" w:eastAsia="zh-CN"/>
              </w:rPr>
              <w:t>were</w:t>
            </w:r>
            <w:r w:rsidRPr="0007261A">
              <w:rPr>
                <w:rFonts w:ascii="Times New Roman" w:eastAsiaTheme="minorEastAsia" w:hAnsi="Times New Roman" w:cs="Times New Roman"/>
                <w:bCs/>
                <w:sz w:val="18"/>
                <w:szCs w:val="18"/>
                <w:lang w:val="en-AU" w:eastAsia="zh-CN"/>
              </w:rPr>
              <w:t xml:space="preserve"> to assess whether any single IV disproportionately influenced the overall results, helping to identify potential outliers or pleiotropic variants.</w:t>
            </w:r>
          </w:p>
          <w:p w14:paraId="4B9B6FF5" w14:textId="57C2EECF" w:rsidR="00592435" w:rsidRPr="00592435" w:rsidRDefault="00592435" w:rsidP="006E6274">
            <w:pPr>
              <w:spacing w:beforeLines="40" w:before="96" w:afterLines="40" w:after="96" w:line="24" w:lineRule="atLeast"/>
              <w:rPr>
                <w:rFonts w:ascii="Times New Roman" w:eastAsiaTheme="minorEastAsia" w:hAnsi="Times New Roman" w:cs="Times New Roman"/>
                <w:b/>
                <w:bCs/>
                <w:sz w:val="18"/>
                <w:szCs w:val="18"/>
                <w:lang w:val="en-AU" w:eastAsia="zh-CN"/>
              </w:rPr>
            </w:pPr>
            <w:r w:rsidRPr="00592435">
              <w:rPr>
                <w:rFonts w:ascii="Times New Roman" w:eastAsiaTheme="minorEastAsia" w:hAnsi="Times New Roman" w:cs="Times New Roman"/>
                <w:sz w:val="18"/>
                <w:szCs w:val="18"/>
                <w:lang w:val="en-AU" w:eastAsia="zh-CN"/>
              </w:rPr>
              <w:t>In summary-data-based Mendelian randomisation</w:t>
            </w:r>
            <w:r>
              <w:rPr>
                <w:rFonts w:ascii="Times New Roman" w:eastAsiaTheme="minorEastAsia" w:hAnsi="Times New Roman" w:cs="Times New Roman"/>
                <w:b/>
                <w:bCs/>
                <w:sz w:val="18"/>
                <w:szCs w:val="18"/>
                <w:lang w:val="en-AU" w:eastAsia="zh-CN"/>
              </w:rPr>
              <w:t xml:space="preserve">, </w:t>
            </w:r>
            <w:r>
              <w:rPr>
                <w:rFonts w:ascii="Times New Roman" w:eastAsiaTheme="minorEastAsia" w:hAnsi="Times New Roman" w:cs="Times New Roman"/>
                <w:bCs/>
                <w:sz w:val="18"/>
                <w:szCs w:val="18"/>
                <w:lang w:val="en-AU" w:eastAsia="zh-CN"/>
              </w:rPr>
              <w:t>w</w:t>
            </w:r>
            <w:r w:rsidRPr="00592435">
              <w:rPr>
                <w:rFonts w:ascii="Times New Roman" w:eastAsiaTheme="minorEastAsia" w:hAnsi="Times New Roman" w:cs="Times New Roman"/>
                <w:bCs/>
                <w:sz w:val="18"/>
                <w:szCs w:val="18"/>
                <w:lang w:val="en-AU" w:eastAsia="zh-CN"/>
              </w:rPr>
              <w:t>e applied the HEIDI test</w:t>
            </w:r>
            <w:r>
              <w:rPr>
                <w:rFonts w:ascii="Times New Roman" w:eastAsiaTheme="minorEastAsia" w:hAnsi="Times New Roman" w:cs="Times New Roman"/>
                <w:bCs/>
                <w:sz w:val="18"/>
                <w:szCs w:val="18"/>
                <w:lang w:val="en-AU" w:eastAsia="zh-CN"/>
              </w:rPr>
              <w:t xml:space="preserve"> t</w:t>
            </w:r>
            <w:r w:rsidRPr="00592435">
              <w:rPr>
                <w:rFonts w:ascii="Times New Roman" w:eastAsiaTheme="minorEastAsia" w:hAnsi="Times New Roman" w:cs="Times New Roman"/>
                <w:bCs/>
                <w:sz w:val="18"/>
                <w:szCs w:val="18"/>
                <w:lang w:val="en-AU" w:eastAsia="zh-CN"/>
              </w:rPr>
              <w:t>o distinguish between true pleiotropy and linkage</w:t>
            </w:r>
          </w:p>
        </w:tc>
        <w:tc>
          <w:tcPr>
            <w:tcW w:w="5528" w:type="dxa"/>
          </w:tcPr>
          <w:p w14:paraId="222F89DD" w14:textId="2722206F" w:rsidR="00FB1D07" w:rsidRPr="00FB1D07" w:rsidRDefault="00FB1D07" w:rsidP="00FB1D07">
            <w:pPr>
              <w:spacing w:beforeLines="40" w:before="96" w:afterLines="40" w:after="96" w:line="24" w:lineRule="atLeast"/>
              <w:rPr>
                <w:rFonts w:ascii="Times New Roman" w:eastAsiaTheme="minorEastAsia" w:hAnsi="Times New Roman" w:cs="Times New Roman"/>
                <w:bCs/>
                <w:sz w:val="18"/>
                <w:szCs w:val="18"/>
                <w:lang w:val="en-AU" w:eastAsia="zh-CN"/>
              </w:rPr>
            </w:pPr>
            <w:r>
              <w:rPr>
                <w:rFonts w:ascii="Times New Roman" w:eastAsiaTheme="minorEastAsia" w:hAnsi="Times New Roman" w:cs="Times New Roman"/>
                <w:bCs/>
                <w:sz w:val="18"/>
                <w:szCs w:val="18"/>
                <w:lang w:val="en-AU" w:eastAsia="zh-CN"/>
              </w:rPr>
              <w:t>‘</w:t>
            </w:r>
            <w:r w:rsidRPr="00FB1D07">
              <w:rPr>
                <w:rFonts w:ascii="Times New Roman" w:eastAsiaTheme="minorEastAsia" w:hAnsi="Times New Roman" w:cs="Times New Roman"/>
                <w:bCs/>
                <w:sz w:val="18"/>
                <w:szCs w:val="18"/>
                <w:lang w:val="en-AU" w:eastAsia="zh-CN"/>
              </w:rPr>
              <w:t>To ensure the reliability of our MR analysis and align with best practices in the field, we conducted a series of sensitivity tests. These tests included Cochran’s Q statistic to evaluate heterogeneity in SNP effects.</w:t>
            </w:r>
            <w:r>
              <w:rPr>
                <w:rFonts w:ascii="Times New Roman" w:eastAsiaTheme="minorEastAsia" w:hAnsi="Times New Roman" w:cs="Times New Roman"/>
                <w:bCs/>
                <w:sz w:val="18"/>
                <w:szCs w:val="18"/>
                <w:lang w:val="en-AU" w:eastAsia="zh-CN"/>
              </w:rPr>
              <w:t>’</w:t>
            </w:r>
          </w:p>
          <w:p w14:paraId="14C8A932" w14:textId="3B654F56" w:rsidR="00FB1D07" w:rsidRPr="00FB1D07" w:rsidRDefault="00FB1D07" w:rsidP="00FB1D07">
            <w:pPr>
              <w:spacing w:beforeLines="40" w:before="96" w:afterLines="40" w:after="96" w:line="24" w:lineRule="atLeast"/>
              <w:rPr>
                <w:rFonts w:ascii="Times New Roman" w:eastAsiaTheme="minorEastAsia" w:hAnsi="Times New Roman" w:cs="Times New Roman"/>
                <w:bCs/>
                <w:sz w:val="18"/>
                <w:szCs w:val="18"/>
                <w:lang w:val="en-AU" w:eastAsia="zh-CN"/>
              </w:rPr>
            </w:pPr>
            <w:r>
              <w:rPr>
                <w:rFonts w:ascii="Times New Roman" w:eastAsiaTheme="minorEastAsia" w:hAnsi="Times New Roman" w:cs="Times New Roman"/>
                <w:bCs/>
                <w:sz w:val="18"/>
                <w:szCs w:val="18"/>
                <w:lang w:val="en-AU" w:eastAsia="zh-CN"/>
              </w:rPr>
              <w:t>‘</w:t>
            </w:r>
            <w:r w:rsidRPr="00FB1D07">
              <w:rPr>
                <w:rFonts w:ascii="Times New Roman" w:eastAsiaTheme="minorEastAsia" w:hAnsi="Times New Roman" w:cs="Times New Roman"/>
                <w:bCs/>
                <w:sz w:val="18"/>
                <w:szCs w:val="18"/>
                <w:lang w:val="en-AU" w:eastAsia="zh-CN"/>
              </w:rPr>
              <w:t>We conducted individual MR analyses to assess the consistency of causal estimates across different IVs, and leave-one-out analyses to assess whether any single IV disproportionately influenced the overall results, helping to identify potential outliers or pleiotropic variants.</w:t>
            </w:r>
            <w:r>
              <w:rPr>
                <w:rFonts w:ascii="Times New Roman" w:eastAsiaTheme="minorEastAsia" w:hAnsi="Times New Roman" w:cs="Times New Roman"/>
                <w:bCs/>
                <w:sz w:val="18"/>
                <w:szCs w:val="18"/>
                <w:lang w:val="en-AU" w:eastAsia="zh-CN"/>
              </w:rPr>
              <w:t>’</w:t>
            </w:r>
          </w:p>
          <w:p w14:paraId="710FA8B2" w14:textId="4616E201" w:rsidR="00FB1D07" w:rsidRPr="00FB1D07" w:rsidRDefault="00FB1D07" w:rsidP="00FB1D07">
            <w:pPr>
              <w:spacing w:beforeLines="40" w:before="96" w:afterLines="40" w:after="96" w:line="24" w:lineRule="atLeast"/>
              <w:rPr>
                <w:rFonts w:ascii="Times New Roman" w:eastAsiaTheme="minorEastAsia" w:hAnsi="Times New Roman" w:cs="Times New Roman"/>
                <w:bCs/>
                <w:sz w:val="18"/>
                <w:szCs w:val="18"/>
                <w:lang w:val="en-AU" w:eastAsia="zh-CN"/>
              </w:rPr>
            </w:pPr>
            <w:r>
              <w:rPr>
                <w:rFonts w:ascii="Times New Roman" w:eastAsiaTheme="minorEastAsia" w:hAnsi="Times New Roman" w:cs="Times New Roman"/>
                <w:bCs/>
                <w:sz w:val="18"/>
                <w:szCs w:val="18"/>
                <w:lang w:val="en-AU" w:eastAsia="zh-CN"/>
              </w:rPr>
              <w:t>‘</w:t>
            </w:r>
            <w:r w:rsidRPr="00FB1D07">
              <w:rPr>
                <w:rFonts w:ascii="Times New Roman" w:eastAsiaTheme="minorEastAsia" w:hAnsi="Times New Roman" w:cs="Times New Roman"/>
                <w:bCs/>
                <w:sz w:val="18"/>
                <w:szCs w:val="18"/>
                <w:lang w:val="en-AU" w:eastAsia="zh-CN"/>
              </w:rPr>
              <w:t>Additionally, we examined the funnel plot for symmetry to detect potential biases.</w:t>
            </w:r>
            <w:r>
              <w:rPr>
                <w:rFonts w:ascii="Times New Roman" w:eastAsiaTheme="minorEastAsia" w:hAnsi="Times New Roman" w:cs="Times New Roman"/>
                <w:bCs/>
                <w:sz w:val="18"/>
                <w:szCs w:val="18"/>
                <w:lang w:val="en-AU" w:eastAsia="zh-CN"/>
              </w:rPr>
              <w:t>’</w:t>
            </w:r>
          </w:p>
          <w:p w14:paraId="00C7A416" w14:textId="362B2DE1" w:rsidR="00FB1D07" w:rsidRPr="00FB1D07" w:rsidRDefault="00FB1D07" w:rsidP="00FB1D07">
            <w:pPr>
              <w:spacing w:beforeLines="40" w:before="96" w:afterLines="40" w:after="96" w:line="24" w:lineRule="atLeast"/>
              <w:rPr>
                <w:rFonts w:ascii="Times New Roman" w:eastAsiaTheme="minorEastAsia" w:hAnsi="Times New Roman" w:cs="Times New Roman"/>
                <w:bCs/>
                <w:sz w:val="18"/>
                <w:szCs w:val="18"/>
                <w:lang w:val="en-AU" w:eastAsia="zh-CN"/>
              </w:rPr>
            </w:pPr>
            <w:r>
              <w:rPr>
                <w:rFonts w:ascii="Times New Roman" w:eastAsiaTheme="minorEastAsia" w:hAnsi="Times New Roman" w:cs="Times New Roman"/>
                <w:bCs/>
                <w:sz w:val="18"/>
                <w:szCs w:val="18"/>
                <w:lang w:val="en-AU" w:eastAsia="zh-CN"/>
              </w:rPr>
              <w:t>‘</w:t>
            </w:r>
            <w:r w:rsidRPr="00FB1D07">
              <w:rPr>
                <w:rFonts w:ascii="Times New Roman" w:eastAsiaTheme="minorEastAsia" w:hAnsi="Times New Roman" w:cs="Times New Roman"/>
                <w:bCs/>
                <w:sz w:val="18"/>
                <w:szCs w:val="18"/>
                <w:lang w:val="en-AU" w:eastAsia="zh-CN"/>
              </w:rPr>
              <w:t>We applied the MR-Egger intercept test to evaluate deviations from the assumption of no directional pleiotropy, where a significant departure from zero would suggest a possible violation.</w:t>
            </w:r>
            <w:r>
              <w:rPr>
                <w:rFonts w:ascii="Times New Roman" w:eastAsiaTheme="minorEastAsia" w:hAnsi="Times New Roman" w:cs="Times New Roman"/>
                <w:bCs/>
                <w:sz w:val="18"/>
                <w:szCs w:val="18"/>
                <w:lang w:val="en-AU" w:eastAsia="zh-CN"/>
              </w:rPr>
              <w:t>’</w:t>
            </w:r>
          </w:p>
          <w:p w14:paraId="05EE975E" w14:textId="6E13BF95" w:rsidR="00FB1D07" w:rsidRPr="00FB1D07" w:rsidRDefault="00FB1D07" w:rsidP="00FB1D07">
            <w:pPr>
              <w:spacing w:beforeLines="40" w:before="96" w:afterLines="40" w:after="96" w:line="24" w:lineRule="atLeast"/>
              <w:rPr>
                <w:rFonts w:ascii="Times New Roman" w:eastAsiaTheme="minorEastAsia" w:hAnsi="Times New Roman" w:cs="Times New Roman"/>
                <w:bCs/>
                <w:sz w:val="18"/>
                <w:szCs w:val="18"/>
                <w:lang w:val="en-AU" w:eastAsia="zh-CN"/>
              </w:rPr>
            </w:pPr>
            <w:r>
              <w:rPr>
                <w:rFonts w:ascii="Times New Roman" w:eastAsiaTheme="minorEastAsia" w:hAnsi="Times New Roman" w:cs="Times New Roman"/>
                <w:bCs/>
                <w:sz w:val="18"/>
                <w:szCs w:val="18"/>
                <w:lang w:val="en-AU" w:eastAsia="zh-CN"/>
              </w:rPr>
              <w:t>‘</w:t>
            </w:r>
            <w:r w:rsidRPr="00FB1D07">
              <w:rPr>
                <w:rFonts w:ascii="Times New Roman" w:eastAsiaTheme="minorEastAsia" w:hAnsi="Times New Roman" w:cs="Times New Roman"/>
                <w:bCs/>
                <w:sz w:val="18"/>
                <w:szCs w:val="18"/>
                <w:lang w:val="en-AU" w:eastAsia="zh-CN"/>
              </w:rPr>
              <w:t>To further account for pleiotropy, we utilised the MR pleiotropy residual sum and outlier (MR-PRESSO) method, which identifies and removes outlier variants contributing to pleiotropic effects.</w:t>
            </w:r>
            <w:r>
              <w:rPr>
                <w:rFonts w:ascii="Times New Roman" w:eastAsiaTheme="minorEastAsia" w:hAnsi="Times New Roman" w:cs="Times New Roman"/>
                <w:bCs/>
                <w:sz w:val="18"/>
                <w:szCs w:val="18"/>
                <w:lang w:val="en-AU" w:eastAsia="zh-CN"/>
              </w:rPr>
              <w:t>’</w:t>
            </w:r>
          </w:p>
          <w:p w14:paraId="3D652531" w14:textId="0631B44F" w:rsidR="006E6274" w:rsidRPr="00FB1D07" w:rsidRDefault="00FB1D07" w:rsidP="006E6274">
            <w:pPr>
              <w:spacing w:beforeLines="40" w:before="96" w:afterLines="40" w:after="96" w:line="24" w:lineRule="atLeast"/>
              <w:rPr>
                <w:rFonts w:ascii="Times New Roman" w:eastAsiaTheme="minorEastAsia" w:hAnsi="Times New Roman" w:cs="Times New Roman"/>
                <w:bCs/>
                <w:sz w:val="18"/>
                <w:szCs w:val="18"/>
                <w:lang w:val="en-AU" w:eastAsia="zh-CN"/>
              </w:rPr>
            </w:pPr>
            <w:r>
              <w:rPr>
                <w:rFonts w:ascii="Times New Roman" w:eastAsiaTheme="minorEastAsia" w:hAnsi="Times New Roman" w:cs="Times New Roman"/>
                <w:bCs/>
                <w:sz w:val="18"/>
                <w:szCs w:val="18"/>
                <w:lang w:val="en-AU" w:eastAsia="zh-CN"/>
              </w:rPr>
              <w:t>‘</w:t>
            </w:r>
            <w:r w:rsidRPr="00FB1D07">
              <w:rPr>
                <w:rFonts w:ascii="Times New Roman" w:eastAsiaTheme="minorEastAsia" w:hAnsi="Times New Roman" w:cs="Times New Roman"/>
                <w:bCs/>
                <w:sz w:val="18"/>
                <w:szCs w:val="18"/>
                <w:lang w:val="en-AU" w:eastAsia="zh-CN"/>
              </w:rPr>
              <w:t>Further, we conducted bi-directional Generalised Summary-data-based Mendelian Randomisation (GSMR) analyses</w:t>
            </w:r>
            <w:r>
              <w:rPr>
                <w:rFonts w:ascii="Times New Roman" w:eastAsiaTheme="minorEastAsia" w:hAnsi="Times New Roman" w:cs="Times New Roman"/>
                <w:bCs/>
                <w:sz w:val="18"/>
                <w:szCs w:val="18"/>
                <w:lang w:val="en-AU" w:eastAsia="zh-CN"/>
              </w:rPr>
              <w:t>…</w:t>
            </w:r>
            <w:r w:rsidRPr="00FB1D07">
              <w:rPr>
                <w:rFonts w:ascii="Times New Roman" w:eastAsiaTheme="minorEastAsia" w:hAnsi="Times New Roman" w:cs="Times New Roman"/>
                <w:bCs/>
                <w:sz w:val="18"/>
                <w:szCs w:val="18"/>
                <w:lang w:val="en-AU" w:eastAsia="zh-CN"/>
              </w:rPr>
              <w:t>GSMR extends traditional MR methods by accounting for residual LD between SNPs and by implementing the HEIDI-outlier test to detect and remove variants with pleiotropic effects, enhancing the robustness of causal inference by reducing bias from invalid instruments.</w:t>
            </w:r>
            <w:r>
              <w:rPr>
                <w:rFonts w:ascii="Times New Roman" w:eastAsiaTheme="minorEastAsia" w:hAnsi="Times New Roman" w:cs="Times New Roman"/>
                <w:bCs/>
                <w:sz w:val="18"/>
                <w:szCs w:val="18"/>
                <w:lang w:val="en-AU" w:eastAsia="zh-CN"/>
              </w:rPr>
              <w:t>’</w:t>
            </w:r>
          </w:p>
        </w:tc>
        <w:tc>
          <w:tcPr>
            <w:tcW w:w="710" w:type="dxa"/>
          </w:tcPr>
          <w:p w14:paraId="229BFDFD" w14:textId="328B3FBD" w:rsidR="006E6274" w:rsidRPr="0007261A" w:rsidRDefault="00FB1D07" w:rsidP="006E6274">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heme="minorEastAsia" w:hAnsi="Times New Roman" w:cs="Times New Roman"/>
                <w:sz w:val="18"/>
                <w:szCs w:val="18"/>
                <w:lang w:eastAsia="zh-CN"/>
              </w:rPr>
              <w:t>35</w:t>
            </w:r>
          </w:p>
        </w:tc>
      </w:tr>
      <w:tr w:rsidR="009F40F1" w:rsidRPr="00B430A0" w14:paraId="55C7A410" w14:textId="0BAB653A" w:rsidTr="009F40F1">
        <w:tc>
          <w:tcPr>
            <w:tcW w:w="587" w:type="dxa"/>
          </w:tcPr>
          <w:p w14:paraId="056075DE" w14:textId="77777777" w:rsidR="009F40F1" w:rsidRPr="00B430A0" w:rsidRDefault="009F40F1" w:rsidP="009F40F1">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9</w:t>
            </w:r>
          </w:p>
        </w:tc>
        <w:tc>
          <w:tcPr>
            <w:tcW w:w="968" w:type="dxa"/>
          </w:tcPr>
          <w:p w14:paraId="6096809E"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b/>
                <w:bCs/>
                <w:sz w:val="18"/>
                <w:szCs w:val="18"/>
                <w:lang w:val="en-GB" w:eastAsia="en-GB"/>
              </w:rPr>
              <w:t>Software and pre-registration</w:t>
            </w:r>
          </w:p>
        </w:tc>
        <w:tc>
          <w:tcPr>
            <w:tcW w:w="2126" w:type="dxa"/>
          </w:tcPr>
          <w:p w14:paraId="08D1055E"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4678" w:type="dxa"/>
          </w:tcPr>
          <w:p w14:paraId="721E714E"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5528" w:type="dxa"/>
          </w:tcPr>
          <w:p w14:paraId="14D1768F"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710" w:type="dxa"/>
          </w:tcPr>
          <w:p w14:paraId="495710C0" w14:textId="480221A4"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r>
      <w:tr w:rsidR="003533B1" w:rsidRPr="00B430A0" w14:paraId="5EA9EBD1" w14:textId="4D05FA5B" w:rsidTr="009F40F1">
        <w:tc>
          <w:tcPr>
            <w:tcW w:w="587" w:type="dxa"/>
          </w:tcPr>
          <w:p w14:paraId="66EDED80" w14:textId="77777777" w:rsidR="003533B1" w:rsidRPr="00B430A0" w:rsidRDefault="003533B1" w:rsidP="003533B1">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50BD32B9" w14:textId="77777777" w:rsidR="003533B1" w:rsidRPr="00B430A0" w:rsidRDefault="003533B1" w:rsidP="003533B1">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a)</w:t>
            </w:r>
          </w:p>
        </w:tc>
        <w:tc>
          <w:tcPr>
            <w:tcW w:w="2126" w:type="dxa"/>
          </w:tcPr>
          <w:p w14:paraId="054FBA47" w14:textId="77777777" w:rsidR="003533B1" w:rsidRPr="00B430A0" w:rsidRDefault="003533B1" w:rsidP="003533B1">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Name statistical software and package(s), including version and settings used </w:t>
            </w:r>
          </w:p>
        </w:tc>
        <w:tc>
          <w:tcPr>
            <w:tcW w:w="4678" w:type="dxa"/>
          </w:tcPr>
          <w:p w14:paraId="305BB821" w14:textId="564C7754" w:rsidR="003533B1" w:rsidRPr="003533B1" w:rsidRDefault="003533B1" w:rsidP="003533B1">
            <w:pPr>
              <w:spacing w:beforeLines="40" w:before="96" w:afterLines="40" w:after="96" w:line="24" w:lineRule="atLeast"/>
              <w:rPr>
                <w:rFonts w:ascii="Times New Roman" w:eastAsiaTheme="minorEastAsia" w:hAnsi="Times New Roman" w:cs="Times New Roman"/>
                <w:sz w:val="18"/>
                <w:szCs w:val="18"/>
                <w:lang w:val="en-GB" w:eastAsia="zh-CN"/>
              </w:rPr>
            </w:pPr>
            <w:r w:rsidRPr="003533B1">
              <w:rPr>
                <w:rFonts w:ascii="Times New Roman" w:hAnsi="Times New Roman" w:cs="Times New Roman"/>
                <w:sz w:val="18"/>
                <w:szCs w:val="18"/>
              </w:rPr>
              <w:t>The analyses were conducted using RStudio, with the ‘</w:t>
            </w:r>
            <w:proofErr w:type="spellStart"/>
            <w:r w:rsidRPr="003533B1">
              <w:rPr>
                <w:rFonts w:ascii="Times New Roman" w:hAnsi="Times New Roman" w:cs="Times New Roman"/>
                <w:sz w:val="18"/>
                <w:szCs w:val="18"/>
              </w:rPr>
              <w:t>TwoSampleMR</w:t>
            </w:r>
            <w:proofErr w:type="spellEnd"/>
            <w:r w:rsidRPr="003533B1">
              <w:rPr>
                <w:rFonts w:ascii="Times New Roman" w:hAnsi="Times New Roman" w:cs="Times New Roman"/>
                <w:sz w:val="18"/>
                <w:szCs w:val="18"/>
              </w:rPr>
              <w:t>’ R package (version 0.5.6) employed for the analyses. We used the Unix platform for data manipulation and management.</w:t>
            </w:r>
          </w:p>
        </w:tc>
        <w:tc>
          <w:tcPr>
            <w:tcW w:w="5528" w:type="dxa"/>
          </w:tcPr>
          <w:p w14:paraId="1DC586D5" w14:textId="68D47B56" w:rsidR="003533B1" w:rsidRPr="003533B1" w:rsidRDefault="003533B1" w:rsidP="003533B1">
            <w:pPr>
              <w:spacing w:beforeLines="40" w:before="96" w:afterLines="40" w:after="96" w:line="24" w:lineRule="atLeast"/>
              <w:rPr>
                <w:rFonts w:ascii="Times New Roman" w:eastAsia="Times New Roman" w:hAnsi="Times New Roman" w:cs="Times New Roman"/>
                <w:sz w:val="18"/>
                <w:szCs w:val="18"/>
                <w:lang w:eastAsia="en-GB"/>
              </w:rPr>
            </w:pPr>
            <w:r w:rsidRPr="003533B1">
              <w:rPr>
                <w:rFonts w:ascii="Times New Roman" w:hAnsi="Times New Roman" w:cs="Times New Roman"/>
                <w:sz w:val="18"/>
                <w:szCs w:val="18"/>
              </w:rPr>
              <w:t xml:space="preserve">We </w:t>
            </w:r>
            <w:proofErr w:type="spellStart"/>
            <w:r w:rsidRPr="003533B1">
              <w:rPr>
                <w:rFonts w:ascii="Times New Roman" w:hAnsi="Times New Roman" w:cs="Times New Roman"/>
                <w:sz w:val="18"/>
                <w:szCs w:val="18"/>
              </w:rPr>
              <w:t>utilised</w:t>
            </w:r>
            <w:proofErr w:type="spellEnd"/>
            <w:r w:rsidRPr="003533B1">
              <w:rPr>
                <w:rFonts w:ascii="Times New Roman" w:hAnsi="Times New Roman" w:cs="Times New Roman"/>
                <w:sz w:val="18"/>
                <w:szCs w:val="18"/>
              </w:rPr>
              <w:t xml:space="preserve"> the R statistical packages and the Unix environment for data management and analyses</w:t>
            </w:r>
            <w:r w:rsidR="005E4B14">
              <w:rPr>
                <w:rFonts w:ascii="Times New Roman" w:hAnsi="Times New Roman" w:cs="Times New Roman"/>
                <w:sz w:val="18"/>
                <w:szCs w:val="18"/>
              </w:rPr>
              <w:t>,</w:t>
            </w:r>
            <w:r w:rsidRPr="003533B1">
              <w:rPr>
                <w:rFonts w:ascii="Times New Roman" w:hAnsi="Times New Roman" w:cs="Times New Roman"/>
                <w:sz w:val="18"/>
                <w:szCs w:val="18"/>
              </w:rPr>
              <w:t xml:space="preserve"> and used the 2SMR software (version 0.5.6), and MR-PRESSO for the MR analyses (implemented on the R packages [version 4.2.1]).</w:t>
            </w:r>
          </w:p>
        </w:tc>
        <w:tc>
          <w:tcPr>
            <w:tcW w:w="710" w:type="dxa"/>
          </w:tcPr>
          <w:p w14:paraId="79626260" w14:textId="41779488" w:rsidR="003533B1" w:rsidRPr="00B430A0" w:rsidRDefault="003533B1" w:rsidP="003533B1">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w:t>
            </w:r>
            <w:r w:rsidR="005E4B14">
              <w:rPr>
                <w:rFonts w:ascii="Times New Roman" w:eastAsia="Times New Roman" w:hAnsi="Times New Roman" w:cs="Times New Roman"/>
                <w:sz w:val="18"/>
                <w:szCs w:val="18"/>
                <w:lang w:eastAsia="en-GB"/>
              </w:rPr>
              <w:t>5</w:t>
            </w:r>
          </w:p>
        </w:tc>
      </w:tr>
      <w:tr w:rsidR="003533B1" w:rsidRPr="00B430A0" w14:paraId="6A631D93" w14:textId="2BD5AA8E" w:rsidTr="009F40F1">
        <w:tc>
          <w:tcPr>
            <w:tcW w:w="587" w:type="dxa"/>
          </w:tcPr>
          <w:p w14:paraId="37C88958" w14:textId="77777777" w:rsidR="003533B1" w:rsidRPr="00B430A0" w:rsidRDefault="003533B1" w:rsidP="003533B1">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2349B556" w14:textId="77777777" w:rsidR="003533B1" w:rsidRPr="00B430A0" w:rsidRDefault="003533B1" w:rsidP="003533B1">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b)</w:t>
            </w:r>
          </w:p>
        </w:tc>
        <w:tc>
          <w:tcPr>
            <w:tcW w:w="2126" w:type="dxa"/>
          </w:tcPr>
          <w:p w14:paraId="5DBE58D7" w14:textId="77777777" w:rsidR="003533B1" w:rsidRPr="00B430A0" w:rsidRDefault="003533B1" w:rsidP="003533B1">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State whether the study protocol and details were pre-registered (as well as when and where)</w:t>
            </w:r>
          </w:p>
        </w:tc>
        <w:tc>
          <w:tcPr>
            <w:tcW w:w="4678" w:type="dxa"/>
          </w:tcPr>
          <w:p w14:paraId="2325504F" w14:textId="4821BBDE" w:rsidR="003533B1" w:rsidRPr="003533B1" w:rsidRDefault="003533B1" w:rsidP="003533B1">
            <w:pPr>
              <w:spacing w:beforeLines="40" w:before="96" w:afterLines="40" w:after="96" w:line="24" w:lineRule="atLeast"/>
              <w:rPr>
                <w:rFonts w:ascii="Times New Roman" w:eastAsiaTheme="minorEastAsia" w:hAnsi="Times New Roman" w:cs="Times New Roman"/>
                <w:sz w:val="18"/>
                <w:szCs w:val="18"/>
                <w:lang w:val="en-GB" w:eastAsia="zh-CN"/>
              </w:rPr>
            </w:pPr>
            <w:r w:rsidRPr="003533B1">
              <w:rPr>
                <w:rFonts w:ascii="Times New Roman" w:hAnsi="Times New Roman" w:cs="Times New Roman"/>
                <w:sz w:val="18"/>
                <w:szCs w:val="18"/>
              </w:rPr>
              <w:t xml:space="preserve">There is no requirement for pre-registering our study protocol. </w:t>
            </w:r>
          </w:p>
        </w:tc>
        <w:tc>
          <w:tcPr>
            <w:tcW w:w="5528" w:type="dxa"/>
          </w:tcPr>
          <w:p w14:paraId="168564F8" w14:textId="6201C487" w:rsidR="003533B1" w:rsidRPr="003533B1" w:rsidRDefault="003533B1" w:rsidP="003533B1">
            <w:pPr>
              <w:spacing w:beforeLines="40" w:before="96" w:afterLines="40" w:after="96" w:line="24" w:lineRule="atLeast"/>
              <w:rPr>
                <w:rFonts w:ascii="Times New Roman" w:eastAsia="Times New Roman" w:hAnsi="Times New Roman" w:cs="Times New Roman"/>
                <w:sz w:val="18"/>
                <w:szCs w:val="18"/>
                <w:lang w:val="en-GB" w:eastAsia="en-GB"/>
              </w:rPr>
            </w:pPr>
            <w:r w:rsidRPr="003533B1">
              <w:rPr>
                <w:rFonts w:ascii="Times New Roman" w:hAnsi="Times New Roman" w:cs="Times New Roman"/>
                <w:sz w:val="18"/>
                <w:szCs w:val="18"/>
              </w:rPr>
              <w:t>NA</w:t>
            </w:r>
          </w:p>
        </w:tc>
        <w:tc>
          <w:tcPr>
            <w:tcW w:w="710" w:type="dxa"/>
          </w:tcPr>
          <w:p w14:paraId="3EFCD231" w14:textId="128F3F25" w:rsidR="003533B1" w:rsidRPr="00B430A0" w:rsidRDefault="003533B1" w:rsidP="003533B1">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NA</w:t>
            </w:r>
          </w:p>
        </w:tc>
      </w:tr>
      <w:tr w:rsidR="009F40F1" w:rsidRPr="00B430A0" w14:paraId="040F15E5" w14:textId="3B11C618" w:rsidTr="009F40F1">
        <w:tc>
          <w:tcPr>
            <w:tcW w:w="587" w:type="dxa"/>
          </w:tcPr>
          <w:p w14:paraId="777278B3" w14:textId="77777777" w:rsidR="009F40F1" w:rsidRPr="00B430A0" w:rsidRDefault="009F40F1" w:rsidP="009F40F1">
            <w:pPr>
              <w:spacing w:beforeLines="40" w:before="96" w:afterLines="40" w:after="96" w:line="24" w:lineRule="atLeast"/>
              <w:rPr>
                <w:rFonts w:ascii="Times New Roman" w:eastAsia="Times New Roman" w:hAnsi="Times New Roman" w:cs="Times New Roman"/>
                <w:b/>
                <w:bCs/>
                <w:sz w:val="18"/>
                <w:szCs w:val="18"/>
                <w:lang w:val="en-GB" w:eastAsia="en-GB"/>
              </w:rPr>
            </w:pPr>
          </w:p>
        </w:tc>
        <w:tc>
          <w:tcPr>
            <w:tcW w:w="968" w:type="dxa"/>
          </w:tcPr>
          <w:p w14:paraId="7D8D653B" w14:textId="77777777" w:rsidR="009F40F1" w:rsidRPr="00B430A0" w:rsidRDefault="009F40F1" w:rsidP="009F40F1">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RESULTS</w:t>
            </w:r>
          </w:p>
        </w:tc>
        <w:tc>
          <w:tcPr>
            <w:tcW w:w="2126" w:type="dxa"/>
          </w:tcPr>
          <w:p w14:paraId="34719287"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4678" w:type="dxa"/>
          </w:tcPr>
          <w:p w14:paraId="0E355A69"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5528" w:type="dxa"/>
          </w:tcPr>
          <w:p w14:paraId="710FE4AF"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710" w:type="dxa"/>
          </w:tcPr>
          <w:p w14:paraId="33E956D1" w14:textId="5A9A6B36"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r>
      <w:tr w:rsidR="009F40F1" w:rsidRPr="00B430A0" w14:paraId="67F47EED" w14:textId="4A481C08" w:rsidTr="009F40F1">
        <w:tc>
          <w:tcPr>
            <w:tcW w:w="587" w:type="dxa"/>
          </w:tcPr>
          <w:p w14:paraId="51C7A54B" w14:textId="77777777" w:rsidR="009F40F1" w:rsidRPr="00B430A0" w:rsidRDefault="009F40F1" w:rsidP="009F40F1">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10</w:t>
            </w:r>
          </w:p>
        </w:tc>
        <w:tc>
          <w:tcPr>
            <w:tcW w:w="968" w:type="dxa"/>
          </w:tcPr>
          <w:p w14:paraId="731D0370" w14:textId="77777777" w:rsidR="009F40F1" w:rsidRPr="00B430A0" w:rsidRDefault="009F40F1" w:rsidP="009F40F1">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Descriptive data</w:t>
            </w:r>
          </w:p>
        </w:tc>
        <w:tc>
          <w:tcPr>
            <w:tcW w:w="2126" w:type="dxa"/>
          </w:tcPr>
          <w:p w14:paraId="3B19CDAF"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4678" w:type="dxa"/>
          </w:tcPr>
          <w:p w14:paraId="1091FF57"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5528" w:type="dxa"/>
          </w:tcPr>
          <w:p w14:paraId="09DFB6DA"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710" w:type="dxa"/>
          </w:tcPr>
          <w:p w14:paraId="4B684E79" w14:textId="2D434CA2"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r>
      <w:tr w:rsidR="009F40F1" w:rsidRPr="00B430A0" w14:paraId="6CA228D1" w14:textId="316B6A36" w:rsidTr="009F40F1">
        <w:tc>
          <w:tcPr>
            <w:tcW w:w="587" w:type="dxa"/>
          </w:tcPr>
          <w:p w14:paraId="29B62776"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4C1499C8"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a)</w:t>
            </w:r>
          </w:p>
        </w:tc>
        <w:tc>
          <w:tcPr>
            <w:tcW w:w="2126" w:type="dxa"/>
          </w:tcPr>
          <w:p w14:paraId="4D5C652C" w14:textId="6B5065AC"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Report the numbers of individuals at each stage of included studies and reasons for exclusion. Consider use of a flow diagram</w:t>
            </w:r>
          </w:p>
        </w:tc>
        <w:tc>
          <w:tcPr>
            <w:tcW w:w="4678" w:type="dxa"/>
          </w:tcPr>
          <w:p w14:paraId="7AF8CC23" w14:textId="5EB553FE" w:rsidR="009F40F1" w:rsidRPr="00B430A0" w:rsidRDefault="009F40F1" w:rsidP="009F40F1">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 xml:space="preserve">We used the data comprising the full sample of individuals in each of the GWAS analysed in our study. </w:t>
            </w:r>
          </w:p>
        </w:tc>
        <w:tc>
          <w:tcPr>
            <w:tcW w:w="5528" w:type="dxa"/>
          </w:tcPr>
          <w:p w14:paraId="3686F36C" w14:textId="4E71C495" w:rsidR="009F40F1" w:rsidRPr="00B430A0" w:rsidRDefault="00136ED3" w:rsidP="009F40F1">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NA</w:t>
            </w:r>
          </w:p>
        </w:tc>
        <w:tc>
          <w:tcPr>
            <w:tcW w:w="710" w:type="dxa"/>
          </w:tcPr>
          <w:p w14:paraId="00D65497" w14:textId="65734892" w:rsidR="009F40F1" w:rsidRPr="00B430A0" w:rsidRDefault="009F40F1" w:rsidP="009F40F1">
            <w:pPr>
              <w:spacing w:beforeLines="40" w:before="96" w:afterLines="40" w:after="96" w:line="24" w:lineRule="atLeast"/>
              <w:rPr>
                <w:rFonts w:ascii="Times New Roman" w:eastAsia="Times New Roman" w:hAnsi="Times New Roman" w:cs="Times New Roman"/>
                <w:sz w:val="18"/>
                <w:szCs w:val="18"/>
                <w:lang w:eastAsia="en-GB"/>
              </w:rPr>
            </w:pPr>
          </w:p>
        </w:tc>
      </w:tr>
      <w:tr w:rsidR="009F40F1" w:rsidRPr="00B430A0" w14:paraId="0765C344" w14:textId="3B2EDCCF" w:rsidTr="009F40F1">
        <w:tc>
          <w:tcPr>
            <w:tcW w:w="587" w:type="dxa"/>
          </w:tcPr>
          <w:p w14:paraId="2404BFFB"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6545C2F1"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b)</w:t>
            </w:r>
          </w:p>
        </w:tc>
        <w:tc>
          <w:tcPr>
            <w:tcW w:w="2126" w:type="dxa"/>
          </w:tcPr>
          <w:p w14:paraId="405491AF" w14:textId="3F437E24" w:rsidR="009F40F1" w:rsidRPr="00B430A0" w:rsidRDefault="009F40F1" w:rsidP="009F40F1">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Report summary statistics for phenotypic exposure(s), outcome(s), and other relevant variables (e.g. means, SDs, proportions)</w:t>
            </w:r>
          </w:p>
        </w:tc>
        <w:tc>
          <w:tcPr>
            <w:tcW w:w="4678" w:type="dxa"/>
          </w:tcPr>
          <w:p w14:paraId="03BBA613" w14:textId="48905FDF" w:rsidR="009F40F1" w:rsidRPr="00B430A0" w:rsidRDefault="009F40F1" w:rsidP="009F40F1">
            <w:pPr>
              <w:spacing w:beforeLines="40" w:before="96" w:afterLines="40" w:after="96" w:line="24" w:lineRule="atLeast"/>
              <w:rPr>
                <w:rFonts w:ascii="Times New Roman" w:eastAsiaTheme="minorEastAsia" w:hAnsi="Times New Roman" w:cs="Times New Roman"/>
                <w:sz w:val="18"/>
                <w:szCs w:val="18"/>
                <w:lang w:val="en-GB" w:eastAsia="zh-CN"/>
              </w:rPr>
            </w:pPr>
            <w:r w:rsidRPr="00B430A0">
              <w:rPr>
                <w:rFonts w:ascii="Times New Roman" w:eastAsiaTheme="minorEastAsia" w:hAnsi="Times New Roman" w:cs="Times New Roman"/>
                <w:sz w:val="18"/>
                <w:szCs w:val="18"/>
                <w:lang w:val="en-GB" w:eastAsia="zh-CN"/>
              </w:rPr>
              <w:t>NA</w:t>
            </w:r>
          </w:p>
        </w:tc>
        <w:tc>
          <w:tcPr>
            <w:tcW w:w="5528" w:type="dxa"/>
          </w:tcPr>
          <w:p w14:paraId="0733A376" w14:textId="7E84D29A" w:rsidR="009F40F1" w:rsidRPr="00B430A0" w:rsidRDefault="00136ED3" w:rsidP="009F40F1">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NA</w:t>
            </w:r>
          </w:p>
        </w:tc>
        <w:tc>
          <w:tcPr>
            <w:tcW w:w="710" w:type="dxa"/>
          </w:tcPr>
          <w:p w14:paraId="0FD9D468" w14:textId="073E9701" w:rsidR="009F40F1" w:rsidRPr="00B430A0" w:rsidRDefault="009F40F1" w:rsidP="009F40F1">
            <w:pPr>
              <w:spacing w:beforeLines="40" w:before="96" w:afterLines="40" w:after="96" w:line="24" w:lineRule="atLeast"/>
              <w:rPr>
                <w:rFonts w:ascii="Times New Roman" w:eastAsia="Times New Roman" w:hAnsi="Times New Roman" w:cs="Times New Roman"/>
                <w:sz w:val="18"/>
                <w:szCs w:val="18"/>
                <w:lang w:val="en-GB" w:eastAsia="en-GB"/>
              </w:rPr>
            </w:pPr>
          </w:p>
        </w:tc>
      </w:tr>
      <w:tr w:rsidR="009F40F1" w:rsidRPr="00B430A0" w14:paraId="48F10342" w14:textId="398F2C24" w:rsidTr="009F40F1">
        <w:tc>
          <w:tcPr>
            <w:tcW w:w="587" w:type="dxa"/>
          </w:tcPr>
          <w:p w14:paraId="6600AF43"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435099F2"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c)</w:t>
            </w:r>
          </w:p>
        </w:tc>
        <w:tc>
          <w:tcPr>
            <w:tcW w:w="2126" w:type="dxa"/>
          </w:tcPr>
          <w:p w14:paraId="062EB561"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If the data sources include meta-analyses of previous studies, provide the assessments of heterogeneity across these studies</w:t>
            </w:r>
          </w:p>
        </w:tc>
        <w:tc>
          <w:tcPr>
            <w:tcW w:w="4678" w:type="dxa"/>
          </w:tcPr>
          <w:p w14:paraId="10F6EF39" w14:textId="30E3DC50" w:rsidR="009F40F1" w:rsidRPr="00B430A0" w:rsidRDefault="00B87F5F" w:rsidP="00597CC6">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 xml:space="preserve">For our MR analysis, we used </w:t>
            </w:r>
            <w:r w:rsidR="003D255F" w:rsidRPr="003D255F">
              <w:rPr>
                <w:rFonts w:ascii="Times New Roman" w:eastAsiaTheme="minorEastAsia" w:hAnsi="Times New Roman" w:cs="Times New Roman"/>
                <w:bCs/>
                <w:sz w:val="18"/>
                <w:szCs w:val="18"/>
                <w:lang w:val="en-AU" w:eastAsia="zh-CN"/>
              </w:rPr>
              <w:t>Cochran’s Q statistic to evaluate heterogeneity in SNP effects</w:t>
            </w:r>
            <w:r w:rsidR="003D255F">
              <w:rPr>
                <w:rFonts w:ascii="Times New Roman" w:eastAsiaTheme="minorEastAsia" w:hAnsi="Times New Roman" w:cs="Times New Roman"/>
                <w:bCs/>
                <w:sz w:val="18"/>
                <w:szCs w:val="18"/>
                <w:lang w:val="en-AU" w:eastAsia="zh-CN"/>
              </w:rPr>
              <w:t>.</w:t>
            </w:r>
            <w:r>
              <w:rPr>
                <w:rFonts w:ascii="Times New Roman" w:eastAsiaTheme="minorEastAsia" w:hAnsi="Times New Roman" w:cs="Times New Roman"/>
                <w:sz w:val="18"/>
                <w:szCs w:val="18"/>
                <w:lang w:val="en-GB" w:eastAsia="zh-CN"/>
              </w:rPr>
              <w:t xml:space="preserve"> </w:t>
            </w:r>
            <w:r w:rsidR="00BD46C9">
              <w:rPr>
                <w:rFonts w:ascii="Times New Roman" w:eastAsiaTheme="minorEastAsia" w:hAnsi="Times New Roman" w:cs="Times New Roman"/>
                <w:sz w:val="18"/>
                <w:szCs w:val="18"/>
                <w:lang w:val="en-GB" w:eastAsia="zh-CN"/>
              </w:rPr>
              <w:t xml:space="preserve">In this study, we detected no </w:t>
            </w:r>
            <w:r w:rsidR="00BD46C9" w:rsidRPr="003D255F">
              <w:rPr>
                <w:rFonts w:ascii="Times New Roman" w:eastAsia="Times New Roman" w:hAnsi="Times New Roman" w:cs="Times New Roman"/>
                <w:bCs/>
                <w:sz w:val="18"/>
                <w:szCs w:val="18"/>
                <w:lang w:val="en-AU" w:eastAsia="en-GB"/>
              </w:rPr>
              <w:t>significant heterogeneity</w:t>
            </w:r>
            <w:r w:rsidR="00BD46C9">
              <w:rPr>
                <w:rFonts w:ascii="Times New Roman" w:eastAsia="Times New Roman" w:hAnsi="Times New Roman" w:cs="Times New Roman"/>
                <w:bCs/>
                <w:sz w:val="18"/>
                <w:szCs w:val="18"/>
                <w:lang w:val="en-AU" w:eastAsia="en-GB"/>
              </w:rPr>
              <w:t>.</w:t>
            </w:r>
          </w:p>
        </w:tc>
        <w:tc>
          <w:tcPr>
            <w:tcW w:w="5528" w:type="dxa"/>
          </w:tcPr>
          <w:p w14:paraId="7BEA459D" w14:textId="2F49D458" w:rsidR="009F40F1" w:rsidRPr="00B430A0" w:rsidRDefault="00AC6B9E" w:rsidP="009F40F1">
            <w:pPr>
              <w:spacing w:beforeLines="40" w:before="96" w:afterLines="40" w:after="96" w:line="24" w:lineRule="atLeast"/>
              <w:rPr>
                <w:rFonts w:ascii="Times New Roman" w:eastAsia="Times New Roman" w:hAnsi="Times New Roman" w:cs="Times New Roman"/>
                <w:sz w:val="18"/>
                <w:szCs w:val="18"/>
                <w:lang w:val="en-GB" w:eastAsia="en-GB"/>
              </w:rPr>
            </w:pPr>
            <w:r w:rsidRPr="00AC6B9E">
              <w:rPr>
                <w:rFonts w:ascii="Times New Roman" w:eastAsia="Times New Roman" w:hAnsi="Times New Roman" w:cs="Times New Roman"/>
                <w:bCs/>
                <w:sz w:val="18"/>
                <w:szCs w:val="18"/>
                <w:lang w:val="en-AU" w:eastAsia="en-GB"/>
              </w:rPr>
              <w:t xml:space="preserve">The MR-Egger intercept test for this analysis revealed no evidence of horizontal pleiotropy, as the intercept remained close to zero with no significant deviation (Supplementary Table 7). Similarly, we did not detect any significant heterogeneity (Supplementary Table 7). </w:t>
            </w:r>
          </w:p>
        </w:tc>
        <w:tc>
          <w:tcPr>
            <w:tcW w:w="710" w:type="dxa"/>
          </w:tcPr>
          <w:p w14:paraId="449D40FD" w14:textId="23BA9D32" w:rsidR="009F40F1" w:rsidRPr="00B430A0" w:rsidRDefault="00F14EB0" w:rsidP="009F40F1">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1</w:t>
            </w:r>
            <w:r w:rsidR="00C7566E">
              <w:rPr>
                <w:rFonts w:ascii="Times New Roman" w:eastAsia="Times New Roman" w:hAnsi="Times New Roman" w:cs="Times New Roman"/>
                <w:sz w:val="18"/>
                <w:szCs w:val="18"/>
                <w:lang w:val="en-GB" w:eastAsia="en-GB"/>
              </w:rPr>
              <w:t>3</w:t>
            </w:r>
          </w:p>
        </w:tc>
      </w:tr>
      <w:tr w:rsidR="009F40F1" w:rsidRPr="00B430A0" w14:paraId="51930A8C" w14:textId="221D5A9E" w:rsidTr="009F40F1">
        <w:tc>
          <w:tcPr>
            <w:tcW w:w="587" w:type="dxa"/>
          </w:tcPr>
          <w:p w14:paraId="6116DD95"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453F7877"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d)</w:t>
            </w:r>
          </w:p>
        </w:tc>
        <w:tc>
          <w:tcPr>
            <w:tcW w:w="2126" w:type="dxa"/>
          </w:tcPr>
          <w:p w14:paraId="2EFD572E" w14:textId="5230C0F8" w:rsidR="009F40F1" w:rsidRPr="00B430A0" w:rsidRDefault="009F40F1" w:rsidP="009F40F1">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 xml:space="preserve">For </w:t>
            </w:r>
            <w:r w:rsidRPr="00B430A0">
              <w:rPr>
                <w:rFonts w:ascii="Times New Roman" w:eastAsia="Times New Roman" w:hAnsi="Times New Roman" w:cs="Times New Roman"/>
                <w:iCs/>
                <w:sz w:val="18"/>
                <w:szCs w:val="18"/>
                <w:lang w:val="en-GB" w:eastAsia="en-GB"/>
              </w:rPr>
              <w:t>two-sample</w:t>
            </w:r>
            <w:r w:rsidRPr="00B430A0">
              <w:rPr>
                <w:rFonts w:ascii="Times New Roman" w:eastAsia="Times New Roman" w:hAnsi="Times New Roman" w:cs="Times New Roman"/>
                <w:sz w:val="18"/>
                <w:szCs w:val="18"/>
                <w:lang w:val="en-GB" w:eastAsia="en-GB"/>
              </w:rPr>
              <w:t xml:space="preserve"> MR:</w:t>
            </w:r>
          </w:p>
          <w:p w14:paraId="48065368" w14:textId="77777777" w:rsidR="009F40F1" w:rsidRPr="00B430A0" w:rsidRDefault="009F40F1" w:rsidP="009F40F1">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 xml:space="preserve">   </w:t>
            </w:r>
            <w:proofErr w:type="spellStart"/>
            <w:r w:rsidRPr="00B430A0">
              <w:rPr>
                <w:rFonts w:ascii="Times New Roman" w:eastAsia="Times New Roman" w:hAnsi="Times New Roman" w:cs="Times New Roman"/>
                <w:sz w:val="18"/>
                <w:szCs w:val="18"/>
                <w:lang w:val="en-GB" w:eastAsia="en-GB"/>
              </w:rPr>
              <w:t>i</w:t>
            </w:r>
            <w:proofErr w:type="spellEnd"/>
            <w:r w:rsidRPr="00B430A0">
              <w:rPr>
                <w:rFonts w:ascii="Times New Roman" w:eastAsia="Times New Roman" w:hAnsi="Times New Roman" w:cs="Times New Roman"/>
                <w:sz w:val="18"/>
                <w:szCs w:val="18"/>
                <w:lang w:val="en-GB" w:eastAsia="en-GB"/>
              </w:rPr>
              <w:t>.  Provide justification of the similarity of the genetic variant-exposure associations between the exposure and outcome samples</w:t>
            </w:r>
          </w:p>
          <w:p w14:paraId="35BA9280"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 xml:space="preserve">   ii.  Provide information on the number of individuals who overlap between the exposure and outcome studies</w:t>
            </w:r>
          </w:p>
        </w:tc>
        <w:tc>
          <w:tcPr>
            <w:tcW w:w="4678" w:type="dxa"/>
          </w:tcPr>
          <w:p w14:paraId="50DBC21B" w14:textId="0A3AB702" w:rsidR="009F40F1" w:rsidRDefault="005B1065" w:rsidP="005B1065">
            <w:pPr>
              <w:pStyle w:val="ListParagraph"/>
              <w:numPr>
                <w:ilvl w:val="0"/>
                <w:numId w:val="1"/>
              </w:numPr>
              <w:spacing w:beforeLines="40" w:before="96" w:afterLines="40" w:after="96" w:line="24" w:lineRule="atLeast"/>
              <w:rPr>
                <w:rFonts w:ascii="Times New Roman" w:eastAsiaTheme="minorEastAsia" w:hAnsi="Times New Roman" w:cs="Times New Roman"/>
                <w:sz w:val="18"/>
                <w:szCs w:val="18"/>
                <w:lang w:val="en-GB" w:eastAsia="zh-CN"/>
              </w:rPr>
            </w:pPr>
            <w:r w:rsidRPr="005B1065">
              <w:rPr>
                <w:rFonts w:ascii="Times New Roman" w:eastAsiaTheme="minorEastAsia" w:hAnsi="Times New Roman" w:cs="Times New Roman"/>
                <w:sz w:val="18"/>
                <w:szCs w:val="18"/>
                <w:lang w:val="en-GB" w:eastAsia="zh-CN"/>
              </w:rPr>
              <w:t xml:space="preserve">In this two-sample MR study, we ensured consistency between the exposure and outcome datasets by using individuals of </w:t>
            </w:r>
            <w:r>
              <w:rPr>
                <w:rFonts w:ascii="Times New Roman" w:eastAsiaTheme="minorEastAsia" w:hAnsi="Times New Roman" w:cs="Times New Roman"/>
                <w:sz w:val="18"/>
                <w:szCs w:val="18"/>
                <w:lang w:val="en-GB" w:eastAsia="zh-CN"/>
              </w:rPr>
              <w:t>the same ancestry (</w:t>
            </w:r>
            <w:r w:rsidRPr="005B1065">
              <w:rPr>
                <w:rFonts w:ascii="Times New Roman" w:eastAsiaTheme="minorEastAsia" w:hAnsi="Times New Roman" w:cs="Times New Roman"/>
                <w:sz w:val="18"/>
                <w:szCs w:val="18"/>
                <w:lang w:val="en-GB" w:eastAsia="zh-CN"/>
              </w:rPr>
              <w:t xml:space="preserve">European </w:t>
            </w:r>
            <w:r w:rsidR="00B14FBF">
              <w:rPr>
                <w:rFonts w:ascii="Times New Roman" w:eastAsiaTheme="minorEastAsia" w:hAnsi="Times New Roman" w:cs="Times New Roman"/>
                <w:sz w:val="18"/>
                <w:szCs w:val="18"/>
                <w:lang w:val="en-GB" w:eastAsia="zh-CN"/>
              </w:rPr>
              <w:t>ancestry</w:t>
            </w:r>
            <w:r>
              <w:rPr>
                <w:rFonts w:ascii="Times New Roman" w:eastAsiaTheme="minorEastAsia" w:hAnsi="Times New Roman" w:cs="Times New Roman"/>
                <w:sz w:val="18"/>
                <w:szCs w:val="18"/>
                <w:lang w:val="en-GB" w:eastAsia="zh-CN"/>
              </w:rPr>
              <w:t>)</w:t>
            </w:r>
            <w:r w:rsidRPr="005B1065">
              <w:rPr>
                <w:rFonts w:ascii="Times New Roman" w:eastAsiaTheme="minorEastAsia" w:hAnsi="Times New Roman" w:cs="Times New Roman"/>
                <w:sz w:val="18"/>
                <w:szCs w:val="18"/>
                <w:lang w:val="en-GB" w:eastAsia="zh-CN"/>
              </w:rPr>
              <w:t xml:space="preserve">, </w:t>
            </w:r>
            <w:r w:rsidR="00B14FBF" w:rsidRPr="00554B61">
              <w:rPr>
                <w:rFonts w:ascii="Times New Roman" w:eastAsia="Times New Roman" w:hAnsi="Times New Roman" w:cs="Times New Roman"/>
                <w:bCs/>
                <w:sz w:val="18"/>
                <w:szCs w:val="18"/>
                <w:lang w:val="en-AU" w:eastAsia="en-GB"/>
              </w:rPr>
              <w:t>exclud</w:t>
            </w:r>
            <w:r w:rsidR="00B14FBF">
              <w:rPr>
                <w:rFonts w:ascii="Times New Roman" w:eastAsia="Times New Roman" w:hAnsi="Times New Roman" w:cs="Times New Roman"/>
                <w:bCs/>
                <w:sz w:val="18"/>
                <w:szCs w:val="18"/>
                <w:lang w:val="en-AU" w:eastAsia="en-GB"/>
              </w:rPr>
              <w:t>ing</w:t>
            </w:r>
            <w:r w:rsidR="00B14FBF" w:rsidRPr="00554B61">
              <w:rPr>
                <w:rFonts w:ascii="Times New Roman" w:eastAsia="Times New Roman" w:hAnsi="Times New Roman" w:cs="Times New Roman"/>
                <w:bCs/>
                <w:sz w:val="18"/>
                <w:szCs w:val="18"/>
                <w:lang w:val="en-AU" w:eastAsia="en-GB"/>
              </w:rPr>
              <w:t xml:space="preserve"> genetic variants with intermediate allele frequencies to prevent strand alignment issues, remov</w:t>
            </w:r>
            <w:r w:rsidR="00B14FBF">
              <w:rPr>
                <w:rFonts w:ascii="Times New Roman" w:eastAsia="Times New Roman" w:hAnsi="Times New Roman" w:cs="Times New Roman"/>
                <w:bCs/>
                <w:sz w:val="18"/>
                <w:szCs w:val="18"/>
                <w:lang w:val="en-AU" w:eastAsia="en-GB"/>
              </w:rPr>
              <w:t>ing</w:t>
            </w:r>
            <w:r w:rsidR="00B14FBF" w:rsidRPr="00554B61">
              <w:rPr>
                <w:rFonts w:ascii="Times New Roman" w:eastAsia="Times New Roman" w:hAnsi="Times New Roman" w:cs="Times New Roman"/>
                <w:bCs/>
                <w:sz w:val="18"/>
                <w:szCs w:val="18"/>
                <w:lang w:val="en-AU" w:eastAsia="en-GB"/>
              </w:rPr>
              <w:t xml:space="preserve"> variants absent in the reference dataset, and harmoni</w:t>
            </w:r>
            <w:r w:rsidR="00B14FBF">
              <w:rPr>
                <w:rFonts w:ascii="Times New Roman" w:eastAsia="Times New Roman" w:hAnsi="Times New Roman" w:cs="Times New Roman"/>
                <w:bCs/>
                <w:sz w:val="18"/>
                <w:szCs w:val="18"/>
                <w:lang w:val="en-AU" w:eastAsia="en-GB"/>
              </w:rPr>
              <w:t>sing</w:t>
            </w:r>
            <w:r w:rsidR="00B14FBF" w:rsidRPr="00554B61">
              <w:rPr>
                <w:rFonts w:ascii="Times New Roman" w:eastAsia="Times New Roman" w:hAnsi="Times New Roman" w:cs="Times New Roman"/>
                <w:bCs/>
                <w:sz w:val="18"/>
                <w:szCs w:val="18"/>
                <w:lang w:val="en-AU" w:eastAsia="en-GB"/>
              </w:rPr>
              <w:t xml:space="preserve"> exposure and outcome data by aligning alleles and maintaining consistency in effect directions</w:t>
            </w:r>
            <w:r w:rsidRPr="005B1065">
              <w:rPr>
                <w:rFonts w:ascii="Times New Roman" w:eastAsiaTheme="minorEastAsia" w:hAnsi="Times New Roman" w:cs="Times New Roman"/>
                <w:sz w:val="18"/>
                <w:szCs w:val="18"/>
                <w:lang w:val="en-GB" w:eastAsia="zh-CN"/>
              </w:rPr>
              <w:t>.</w:t>
            </w:r>
          </w:p>
          <w:p w14:paraId="4948EE3D" w14:textId="4B36E038" w:rsidR="00872F3F" w:rsidRPr="005B1065" w:rsidRDefault="00872F3F" w:rsidP="005B1065">
            <w:pPr>
              <w:pStyle w:val="ListParagraph"/>
              <w:numPr>
                <w:ilvl w:val="0"/>
                <w:numId w:val="1"/>
              </w:num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 xml:space="preserve">We assessed </w:t>
            </w:r>
            <w:r w:rsidR="004C7E17">
              <w:rPr>
                <w:rFonts w:ascii="Times New Roman" w:eastAsiaTheme="minorEastAsia" w:hAnsi="Times New Roman" w:cs="Times New Roman"/>
                <w:sz w:val="18"/>
                <w:szCs w:val="18"/>
                <w:lang w:val="en-GB" w:eastAsia="zh-CN"/>
              </w:rPr>
              <w:t xml:space="preserve">the proportion of </w:t>
            </w:r>
            <w:r>
              <w:rPr>
                <w:rFonts w:ascii="Times New Roman" w:eastAsiaTheme="minorEastAsia" w:hAnsi="Times New Roman" w:cs="Times New Roman"/>
                <w:sz w:val="18"/>
                <w:szCs w:val="18"/>
                <w:lang w:val="en-GB" w:eastAsia="zh-CN"/>
              </w:rPr>
              <w:t>potential overlap of sample</w:t>
            </w:r>
            <w:r w:rsidR="004C7E17">
              <w:rPr>
                <w:rFonts w:ascii="Times New Roman" w:eastAsiaTheme="minorEastAsia" w:hAnsi="Times New Roman" w:cs="Times New Roman"/>
                <w:sz w:val="18"/>
                <w:szCs w:val="18"/>
                <w:lang w:val="en-GB" w:eastAsia="zh-CN"/>
              </w:rPr>
              <w:t>s in our study</w:t>
            </w:r>
            <w:r>
              <w:rPr>
                <w:rFonts w:ascii="Times New Roman" w:eastAsiaTheme="minorEastAsia" w:hAnsi="Times New Roman" w:cs="Times New Roman"/>
                <w:sz w:val="18"/>
                <w:szCs w:val="18"/>
                <w:lang w:val="en-GB" w:eastAsia="zh-CN"/>
              </w:rPr>
              <w:t xml:space="preserve"> using </w:t>
            </w:r>
            <w:r w:rsidR="008E021A" w:rsidRPr="00B14FBF">
              <w:rPr>
                <w:rFonts w:ascii="Times New Roman" w:eastAsia="Times New Roman" w:hAnsi="Times New Roman" w:cs="Times New Roman"/>
                <w:bCs/>
                <w:sz w:val="18"/>
                <w:szCs w:val="18"/>
                <w:lang w:val="en-AU" w:eastAsia="en-GB"/>
              </w:rPr>
              <w:t>an unconstrained genetic covariance intercept</w:t>
            </w:r>
            <w:r w:rsidR="004C7E17">
              <w:rPr>
                <w:rFonts w:ascii="Times New Roman" w:eastAsiaTheme="minorEastAsia" w:hAnsi="Times New Roman" w:cs="Times New Roman"/>
                <w:sz w:val="18"/>
                <w:szCs w:val="18"/>
                <w:lang w:val="en-GB" w:eastAsia="zh-CN"/>
              </w:rPr>
              <w:t>. Based on our findings there was no evidence for significant sample overlap between</w:t>
            </w:r>
            <w:r w:rsidR="008E021A">
              <w:rPr>
                <w:rFonts w:ascii="Times New Roman" w:eastAsiaTheme="minorEastAsia" w:hAnsi="Times New Roman" w:cs="Times New Roman"/>
                <w:sz w:val="18"/>
                <w:szCs w:val="18"/>
                <w:lang w:val="en-GB" w:eastAsia="zh-CN"/>
              </w:rPr>
              <w:t xml:space="preserve"> </w:t>
            </w:r>
            <w:r w:rsidR="008E021A" w:rsidRPr="00B14FBF">
              <w:rPr>
                <w:rFonts w:ascii="Times New Roman" w:eastAsia="Times New Roman" w:hAnsi="Times New Roman" w:cs="Times New Roman"/>
                <w:bCs/>
                <w:sz w:val="18"/>
                <w:szCs w:val="18"/>
                <w:lang w:val="en-AU" w:eastAsia="en-GB"/>
              </w:rPr>
              <w:t>AD and MG</w:t>
            </w:r>
            <w:r w:rsidR="008E021A">
              <w:rPr>
                <w:rFonts w:ascii="Times New Roman" w:eastAsia="Times New Roman" w:hAnsi="Times New Roman" w:cs="Times New Roman"/>
                <w:bCs/>
                <w:sz w:val="18"/>
                <w:szCs w:val="18"/>
                <w:lang w:val="en-AU" w:eastAsia="en-GB"/>
              </w:rPr>
              <w:t>.</w:t>
            </w:r>
          </w:p>
        </w:tc>
        <w:tc>
          <w:tcPr>
            <w:tcW w:w="5528" w:type="dxa"/>
          </w:tcPr>
          <w:p w14:paraId="5981C451" w14:textId="50866687" w:rsidR="00713BA2" w:rsidRPr="00713BA2" w:rsidRDefault="00713BA2" w:rsidP="00713BA2">
            <w:pPr>
              <w:pStyle w:val="ListParagraph"/>
              <w:numPr>
                <w:ilvl w:val="0"/>
                <w:numId w:val="2"/>
              </w:num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t>
            </w:r>
            <w:r w:rsidRPr="00713BA2">
              <w:rPr>
                <w:rFonts w:ascii="Times New Roman" w:eastAsia="Times New Roman" w:hAnsi="Times New Roman" w:cs="Times New Roman"/>
                <w:sz w:val="18"/>
                <w:szCs w:val="18"/>
                <w:lang w:val="en-GB" w:eastAsia="en-GB"/>
              </w:rPr>
              <w:t>All GWAS summary statistics used in the MR analysis were previously adjusted for relevant covariates, including age, sex, and ancestry principal components, ensuring consistency across exposure and outcome datasets.</w:t>
            </w:r>
            <w:r>
              <w:rPr>
                <w:rFonts w:ascii="Times New Roman" w:eastAsia="Times New Roman" w:hAnsi="Times New Roman" w:cs="Times New Roman"/>
                <w:sz w:val="18"/>
                <w:szCs w:val="18"/>
                <w:lang w:val="en-GB" w:eastAsia="en-GB"/>
              </w:rPr>
              <w:t>’</w:t>
            </w:r>
          </w:p>
          <w:p w14:paraId="6255421F" w14:textId="77777777" w:rsidR="00713BA2" w:rsidRPr="00713BA2" w:rsidRDefault="00713BA2" w:rsidP="00713BA2">
            <w:pPr>
              <w:pStyle w:val="ListParagraph"/>
              <w:spacing w:beforeLines="40" w:before="96" w:afterLines="40" w:after="96" w:line="24" w:lineRule="atLeast"/>
              <w:ind w:left="1080"/>
              <w:rPr>
                <w:rFonts w:ascii="Times New Roman" w:eastAsia="Times New Roman" w:hAnsi="Times New Roman" w:cs="Times New Roman"/>
                <w:sz w:val="18"/>
                <w:szCs w:val="18"/>
                <w:lang w:val="en-GB" w:eastAsia="en-GB"/>
              </w:rPr>
            </w:pPr>
          </w:p>
          <w:p w14:paraId="384302D7" w14:textId="42EAB214" w:rsidR="00C4309A" w:rsidRDefault="00713BA2" w:rsidP="00713BA2">
            <w:pPr>
              <w:pStyle w:val="ListParagraph"/>
              <w:spacing w:beforeLines="40" w:before="96" w:afterLines="40" w:after="96" w:line="24" w:lineRule="atLeast"/>
              <w:ind w:left="1080"/>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t>
            </w:r>
            <w:r w:rsidRPr="00713BA2">
              <w:rPr>
                <w:rFonts w:ascii="Times New Roman" w:eastAsia="Times New Roman" w:hAnsi="Times New Roman" w:cs="Times New Roman"/>
                <w:sz w:val="18"/>
                <w:szCs w:val="18"/>
                <w:lang w:val="en-GB" w:eastAsia="en-GB"/>
              </w:rPr>
              <w:t>Exposure and outcome data were harmonised by aligning alleles and maintaining consistency in effect directions, reducing bias from strand mismatches or differences in reference alleles.</w:t>
            </w:r>
            <w:r>
              <w:rPr>
                <w:rFonts w:ascii="Times New Roman" w:eastAsia="Times New Roman" w:hAnsi="Times New Roman" w:cs="Times New Roman"/>
                <w:sz w:val="18"/>
                <w:szCs w:val="18"/>
                <w:lang w:val="en-GB" w:eastAsia="en-GB"/>
              </w:rPr>
              <w:t>’</w:t>
            </w:r>
          </w:p>
          <w:p w14:paraId="7BF08724" w14:textId="77777777" w:rsidR="00713BA2" w:rsidRDefault="00713BA2" w:rsidP="00713BA2">
            <w:pPr>
              <w:pStyle w:val="ListParagraph"/>
              <w:spacing w:beforeLines="40" w:before="96" w:afterLines="40" w:after="96" w:line="24" w:lineRule="atLeast"/>
              <w:ind w:left="1080"/>
              <w:rPr>
                <w:rFonts w:ascii="Times New Roman" w:eastAsia="Times New Roman" w:hAnsi="Times New Roman" w:cs="Times New Roman"/>
                <w:bCs/>
                <w:sz w:val="18"/>
                <w:szCs w:val="18"/>
                <w:lang w:val="en-AU" w:eastAsia="en-GB"/>
              </w:rPr>
            </w:pPr>
          </w:p>
          <w:p w14:paraId="4AE57A59" w14:textId="788D54A1" w:rsidR="00C4309A" w:rsidRPr="00C4309A" w:rsidRDefault="00C4309A" w:rsidP="00C4309A">
            <w:pPr>
              <w:pStyle w:val="ListParagraph"/>
              <w:numPr>
                <w:ilvl w:val="0"/>
                <w:numId w:val="2"/>
              </w:numPr>
              <w:spacing w:beforeLines="40" w:before="96" w:afterLines="40" w:after="96" w:line="24" w:lineRule="atLeast"/>
              <w:rPr>
                <w:rFonts w:ascii="Times New Roman" w:eastAsia="Times New Roman" w:hAnsi="Times New Roman" w:cs="Times New Roman"/>
                <w:bCs/>
                <w:sz w:val="18"/>
                <w:szCs w:val="18"/>
                <w:lang w:val="en-AU" w:eastAsia="en-GB"/>
              </w:rPr>
            </w:pPr>
            <w:r>
              <w:rPr>
                <w:rFonts w:ascii="Times New Roman" w:eastAsia="Times New Roman" w:hAnsi="Times New Roman" w:cs="Times New Roman"/>
                <w:bCs/>
                <w:sz w:val="18"/>
                <w:szCs w:val="18"/>
                <w:lang w:val="en-AU" w:eastAsia="en-GB"/>
              </w:rPr>
              <w:t xml:space="preserve">… </w:t>
            </w:r>
            <w:r w:rsidR="00B14FBF" w:rsidRPr="00B14FBF">
              <w:rPr>
                <w:rFonts w:ascii="Times New Roman" w:eastAsia="Times New Roman" w:hAnsi="Times New Roman" w:cs="Times New Roman"/>
                <w:bCs/>
                <w:sz w:val="18"/>
                <w:szCs w:val="18"/>
                <w:lang w:val="en-AU" w:eastAsia="en-GB"/>
              </w:rPr>
              <w:t>We initially performed analyses with an unconstrained genetic covariance intercept to assess the proportion of potential sample overlap between AD and MG. The genetic covariance intercept was not significantly different from zero, indicating no evidence of significant sample overlap.</w:t>
            </w:r>
            <w:r w:rsidR="00B14FBF">
              <w:rPr>
                <w:rFonts w:ascii="Times New Roman" w:eastAsia="Times New Roman" w:hAnsi="Times New Roman" w:cs="Times New Roman"/>
                <w:bCs/>
                <w:sz w:val="18"/>
                <w:szCs w:val="18"/>
                <w:lang w:val="en-AU" w:eastAsia="en-GB"/>
              </w:rPr>
              <w:t>.</w:t>
            </w:r>
            <w:r w:rsidRPr="00C4309A">
              <w:rPr>
                <w:rFonts w:ascii="Times New Roman" w:eastAsia="Times New Roman" w:hAnsi="Times New Roman" w:cs="Times New Roman"/>
                <w:bCs/>
                <w:sz w:val="18"/>
                <w:szCs w:val="18"/>
                <w:lang w:val="en-AU" w:eastAsia="en-GB"/>
              </w:rPr>
              <w:t>.</w:t>
            </w:r>
          </w:p>
          <w:p w14:paraId="46407A53" w14:textId="3046A074" w:rsidR="002E16DC" w:rsidRPr="00B430A0" w:rsidRDefault="002E16DC" w:rsidP="009F40F1">
            <w:pPr>
              <w:spacing w:beforeLines="40" w:before="96" w:afterLines="40" w:after="96" w:line="24" w:lineRule="atLeast"/>
              <w:rPr>
                <w:rFonts w:ascii="Times New Roman" w:eastAsia="Times New Roman" w:hAnsi="Times New Roman" w:cs="Times New Roman"/>
                <w:sz w:val="18"/>
                <w:szCs w:val="18"/>
                <w:lang w:val="en-GB" w:eastAsia="en-GB"/>
              </w:rPr>
            </w:pPr>
          </w:p>
        </w:tc>
        <w:tc>
          <w:tcPr>
            <w:tcW w:w="710" w:type="dxa"/>
          </w:tcPr>
          <w:p w14:paraId="31FBD837" w14:textId="25A12FDF" w:rsidR="00C4309A" w:rsidRDefault="00B40450" w:rsidP="009F40F1">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35</w:t>
            </w:r>
          </w:p>
          <w:p w14:paraId="64B42827" w14:textId="77777777" w:rsidR="00C509B4" w:rsidRDefault="00C509B4" w:rsidP="009F40F1">
            <w:pPr>
              <w:spacing w:beforeLines="40" w:before="96" w:afterLines="40" w:after="96" w:line="24" w:lineRule="atLeast"/>
              <w:rPr>
                <w:rFonts w:ascii="Times New Roman" w:eastAsia="Times New Roman" w:hAnsi="Times New Roman" w:cs="Times New Roman"/>
                <w:sz w:val="18"/>
                <w:szCs w:val="18"/>
                <w:lang w:eastAsia="en-GB"/>
              </w:rPr>
            </w:pPr>
          </w:p>
          <w:p w14:paraId="273B76FB" w14:textId="77777777" w:rsidR="00C509B4" w:rsidRDefault="00C509B4" w:rsidP="009F40F1">
            <w:pPr>
              <w:spacing w:beforeLines="40" w:before="96" w:afterLines="40" w:after="96" w:line="24" w:lineRule="atLeast"/>
              <w:rPr>
                <w:rFonts w:ascii="Times New Roman" w:eastAsia="Times New Roman" w:hAnsi="Times New Roman" w:cs="Times New Roman"/>
                <w:sz w:val="18"/>
                <w:szCs w:val="18"/>
                <w:lang w:eastAsia="en-GB"/>
              </w:rPr>
            </w:pPr>
          </w:p>
          <w:p w14:paraId="33CFC769" w14:textId="77777777" w:rsidR="00C509B4" w:rsidRDefault="00C509B4" w:rsidP="009F40F1">
            <w:pPr>
              <w:spacing w:beforeLines="40" w:before="96" w:afterLines="40" w:after="96" w:line="24" w:lineRule="atLeast"/>
              <w:rPr>
                <w:rFonts w:ascii="Times New Roman" w:eastAsia="Times New Roman" w:hAnsi="Times New Roman" w:cs="Times New Roman"/>
                <w:sz w:val="18"/>
                <w:szCs w:val="18"/>
                <w:lang w:eastAsia="en-GB"/>
              </w:rPr>
            </w:pPr>
          </w:p>
          <w:p w14:paraId="3DCCCBB9" w14:textId="77777777" w:rsidR="00C509B4" w:rsidRDefault="00C509B4" w:rsidP="009F40F1">
            <w:pPr>
              <w:spacing w:beforeLines="40" w:before="96" w:afterLines="40" w:after="96" w:line="24" w:lineRule="atLeast"/>
              <w:rPr>
                <w:rFonts w:ascii="Times New Roman" w:eastAsia="Times New Roman" w:hAnsi="Times New Roman" w:cs="Times New Roman"/>
                <w:sz w:val="18"/>
                <w:szCs w:val="18"/>
                <w:lang w:eastAsia="en-GB"/>
              </w:rPr>
            </w:pPr>
          </w:p>
          <w:p w14:paraId="2970FD3E" w14:textId="77777777" w:rsidR="00C509B4" w:rsidRDefault="00C509B4" w:rsidP="009F40F1">
            <w:pPr>
              <w:spacing w:beforeLines="40" w:before="96" w:afterLines="40" w:after="96" w:line="24" w:lineRule="atLeast"/>
              <w:rPr>
                <w:rFonts w:ascii="Times New Roman" w:eastAsia="Times New Roman" w:hAnsi="Times New Roman" w:cs="Times New Roman"/>
                <w:sz w:val="18"/>
                <w:szCs w:val="18"/>
                <w:lang w:eastAsia="en-GB"/>
              </w:rPr>
            </w:pPr>
          </w:p>
          <w:p w14:paraId="6A794CC7" w14:textId="77777777" w:rsidR="00C509B4" w:rsidRDefault="00C509B4" w:rsidP="009F40F1">
            <w:pPr>
              <w:spacing w:beforeLines="40" w:before="96" w:afterLines="40" w:after="96" w:line="24" w:lineRule="atLeast"/>
              <w:rPr>
                <w:rFonts w:ascii="Times New Roman" w:eastAsia="Times New Roman" w:hAnsi="Times New Roman" w:cs="Times New Roman"/>
                <w:sz w:val="18"/>
                <w:szCs w:val="18"/>
                <w:lang w:eastAsia="en-GB"/>
              </w:rPr>
            </w:pPr>
          </w:p>
          <w:p w14:paraId="1CCD3600" w14:textId="77777777" w:rsidR="00B14FBF" w:rsidRDefault="00B14FBF" w:rsidP="00B14FBF">
            <w:pPr>
              <w:rPr>
                <w:rFonts w:ascii="Times New Roman" w:eastAsia="Times New Roman" w:hAnsi="Times New Roman" w:cs="Times New Roman"/>
                <w:sz w:val="18"/>
                <w:szCs w:val="18"/>
                <w:lang w:eastAsia="en-GB"/>
              </w:rPr>
            </w:pPr>
          </w:p>
          <w:p w14:paraId="5B2A1A71" w14:textId="01C2A0C9" w:rsidR="00B14FBF" w:rsidRPr="00B14FBF" w:rsidRDefault="00F2362C" w:rsidP="00B14FBF">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32</w:t>
            </w:r>
          </w:p>
        </w:tc>
      </w:tr>
      <w:tr w:rsidR="009F40F1" w:rsidRPr="00B430A0" w14:paraId="52CFCA59" w14:textId="5AC9CE3E" w:rsidTr="009F40F1">
        <w:tc>
          <w:tcPr>
            <w:tcW w:w="587" w:type="dxa"/>
          </w:tcPr>
          <w:p w14:paraId="110872BB" w14:textId="77777777" w:rsidR="009F40F1" w:rsidRPr="00B430A0" w:rsidRDefault="009F40F1" w:rsidP="009F40F1">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11</w:t>
            </w:r>
          </w:p>
        </w:tc>
        <w:tc>
          <w:tcPr>
            <w:tcW w:w="968" w:type="dxa"/>
          </w:tcPr>
          <w:p w14:paraId="0C26298F"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b/>
                <w:bCs/>
                <w:sz w:val="18"/>
                <w:szCs w:val="18"/>
                <w:lang w:val="en-GB" w:eastAsia="en-GB"/>
              </w:rPr>
              <w:t>Main results</w:t>
            </w:r>
          </w:p>
        </w:tc>
        <w:tc>
          <w:tcPr>
            <w:tcW w:w="2126" w:type="dxa"/>
          </w:tcPr>
          <w:p w14:paraId="2F14FA37"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4678" w:type="dxa"/>
          </w:tcPr>
          <w:p w14:paraId="035B3367"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5528" w:type="dxa"/>
          </w:tcPr>
          <w:p w14:paraId="05A8C71B"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710" w:type="dxa"/>
          </w:tcPr>
          <w:p w14:paraId="0AFA0083" w14:textId="74914FA1"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r>
      <w:tr w:rsidR="009F40F1" w:rsidRPr="00B430A0" w14:paraId="56845A2A" w14:textId="1DC0780C" w:rsidTr="009F40F1">
        <w:tc>
          <w:tcPr>
            <w:tcW w:w="587" w:type="dxa"/>
          </w:tcPr>
          <w:p w14:paraId="0892A548"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7CDB72AD"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a)</w:t>
            </w:r>
          </w:p>
        </w:tc>
        <w:tc>
          <w:tcPr>
            <w:tcW w:w="2126" w:type="dxa"/>
          </w:tcPr>
          <w:p w14:paraId="09CB478B"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Report the associations between genetic variant and exposure, and between genetic variant and outcome, preferably on an interpretable scale</w:t>
            </w:r>
          </w:p>
        </w:tc>
        <w:tc>
          <w:tcPr>
            <w:tcW w:w="4678" w:type="dxa"/>
          </w:tcPr>
          <w:p w14:paraId="7F1B8B69" w14:textId="7FBDCCE7" w:rsidR="009F40F1" w:rsidRPr="00B430A0" w:rsidRDefault="000F7CBA" w:rsidP="009F40F1">
            <w:pPr>
              <w:spacing w:beforeLines="40" w:before="96" w:afterLines="40" w:after="96" w:line="24" w:lineRule="atLeast"/>
              <w:rPr>
                <w:rFonts w:ascii="Times New Roman" w:eastAsiaTheme="minorEastAsia" w:hAnsi="Times New Roman" w:cs="Times New Roman"/>
                <w:sz w:val="18"/>
                <w:szCs w:val="18"/>
                <w:lang w:val="en-GB" w:eastAsia="zh-CN"/>
              </w:rPr>
            </w:pPr>
            <w:r w:rsidRPr="000F7CBA">
              <w:rPr>
                <w:rFonts w:ascii="Times New Roman" w:eastAsiaTheme="minorEastAsia" w:hAnsi="Times New Roman" w:cs="Times New Roman"/>
                <w:sz w:val="18"/>
                <w:szCs w:val="18"/>
                <w:lang w:eastAsia="zh-CN"/>
              </w:rPr>
              <w:t xml:space="preserve">We report the associations between genetic variants and the exposure (AD or MG) using the beta coefficients and standard errors from the original GWAS summary statistics. For MR analyses, these effect estimates were </w:t>
            </w:r>
            <w:proofErr w:type="spellStart"/>
            <w:r w:rsidRPr="000F7CBA">
              <w:rPr>
                <w:rFonts w:ascii="Times New Roman" w:eastAsiaTheme="minorEastAsia" w:hAnsi="Times New Roman" w:cs="Times New Roman"/>
                <w:sz w:val="18"/>
                <w:szCs w:val="18"/>
                <w:lang w:eastAsia="zh-CN"/>
              </w:rPr>
              <w:t>harmonised</w:t>
            </w:r>
            <w:proofErr w:type="spellEnd"/>
            <w:r w:rsidRPr="000F7CBA">
              <w:rPr>
                <w:rFonts w:ascii="Times New Roman" w:eastAsiaTheme="minorEastAsia" w:hAnsi="Times New Roman" w:cs="Times New Roman"/>
                <w:sz w:val="18"/>
                <w:szCs w:val="18"/>
                <w:lang w:eastAsia="zh-CN"/>
              </w:rPr>
              <w:t xml:space="preserve"> and expressed on the log-odds scale, ensuring interpretability for binary outcomes. Outcome associations for the same variants were similarly extracted from the relevant GWAS, </w:t>
            </w:r>
            <w:proofErr w:type="spellStart"/>
            <w:r w:rsidRPr="000F7CBA">
              <w:rPr>
                <w:rFonts w:ascii="Times New Roman" w:eastAsiaTheme="minorEastAsia" w:hAnsi="Times New Roman" w:cs="Times New Roman"/>
                <w:sz w:val="18"/>
                <w:szCs w:val="18"/>
                <w:lang w:eastAsia="zh-CN"/>
              </w:rPr>
              <w:t>harmonised</w:t>
            </w:r>
            <w:proofErr w:type="spellEnd"/>
            <w:r w:rsidRPr="000F7CBA">
              <w:rPr>
                <w:rFonts w:ascii="Times New Roman" w:eastAsiaTheme="minorEastAsia" w:hAnsi="Times New Roman" w:cs="Times New Roman"/>
                <w:sz w:val="18"/>
                <w:szCs w:val="18"/>
                <w:lang w:eastAsia="zh-CN"/>
              </w:rPr>
              <w:t xml:space="preserve"> for allele alignment, and used to calculate Wald ratios and IVW estimates. This approach allows clear interpretation of the effect of each variant on exposure and outcome </w:t>
            </w:r>
            <w:proofErr w:type="gramStart"/>
            <w:r w:rsidRPr="000F7CBA">
              <w:rPr>
                <w:rFonts w:ascii="Times New Roman" w:eastAsiaTheme="minorEastAsia" w:hAnsi="Times New Roman" w:cs="Times New Roman"/>
                <w:sz w:val="18"/>
                <w:szCs w:val="18"/>
                <w:lang w:eastAsia="zh-CN"/>
              </w:rPr>
              <w:t>in</w:t>
            </w:r>
            <w:proofErr w:type="gramEnd"/>
            <w:r w:rsidRPr="000F7CBA">
              <w:rPr>
                <w:rFonts w:ascii="Times New Roman" w:eastAsiaTheme="minorEastAsia" w:hAnsi="Times New Roman" w:cs="Times New Roman"/>
                <w:sz w:val="18"/>
                <w:szCs w:val="18"/>
                <w:lang w:eastAsia="zh-CN"/>
              </w:rPr>
              <w:t xml:space="preserve"> a consistent and comparable scale</w:t>
            </w:r>
            <w:r w:rsidR="00CF7F5B">
              <w:rPr>
                <w:rFonts w:ascii="Times New Roman" w:eastAsiaTheme="minorEastAsia" w:hAnsi="Times New Roman" w:cs="Times New Roman"/>
                <w:sz w:val="18"/>
                <w:szCs w:val="18"/>
                <w:lang w:eastAsia="zh-CN"/>
              </w:rPr>
              <w:t>.</w:t>
            </w:r>
          </w:p>
        </w:tc>
        <w:tc>
          <w:tcPr>
            <w:tcW w:w="5528" w:type="dxa"/>
          </w:tcPr>
          <w:p w14:paraId="59508A3D" w14:textId="68B00FB1" w:rsidR="00A17AAA" w:rsidRPr="00A17AAA" w:rsidRDefault="00A17AAA" w:rsidP="00A17AAA">
            <w:pPr>
              <w:spacing w:beforeLines="40" w:before="96" w:afterLines="40" w:after="96" w:line="24" w:lineRule="atLeast"/>
              <w:rPr>
                <w:rFonts w:ascii="Times New Roman" w:eastAsia="Times New Roman" w:hAnsi="Times New Roman" w:cs="Times New Roman"/>
                <w:sz w:val="18"/>
                <w:szCs w:val="18"/>
                <w:lang w:val="en-GB" w:eastAsia="en-GB"/>
              </w:rPr>
            </w:pPr>
            <w:r w:rsidRPr="00A17AAA">
              <w:rPr>
                <w:rFonts w:ascii="Times New Roman" w:eastAsia="Times New Roman" w:hAnsi="Times New Roman" w:cs="Times New Roman"/>
                <w:sz w:val="18"/>
                <w:szCs w:val="18"/>
                <w:lang w:val="en-GB" w:eastAsia="en-GB"/>
              </w:rPr>
              <w:t>SNP–exposure association and scale:</w:t>
            </w:r>
          </w:p>
          <w:p w14:paraId="01D4265F" w14:textId="0F6C6AE7" w:rsidR="00A17AAA" w:rsidRPr="00A17AAA" w:rsidRDefault="009737DA" w:rsidP="00A17AAA">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t>
            </w:r>
            <w:r w:rsidR="00A17AAA" w:rsidRPr="00A17AAA">
              <w:rPr>
                <w:rFonts w:ascii="Times New Roman" w:eastAsia="Times New Roman" w:hAnsi="Times New Roman" w:cs="Times New Roman"/>
                <w:sz w:val="18"/>
                <w:szCs w:val="18"/>
                <w:lang w:val="en-GB" w:eastAsia="en-GB"/>
              </w:rPr>
              <w:t>We identified IVs from relevant GWAS summary data, selecting those that reached GWS (p &lt; 5 × 10⁻⁸) to ensure a strong association with exposure variables and an F-statistic above 10.</w:t>
            </w:r>
            <w:r>
              <w:rPr>
                <w:rFonts w:ascii="Times New Roman" w:eastAsia="Times New Roman" w:hAnsi="Times New Roman" w:cs="Times New Roman"/>
                <w:sz w:val="18"/>
                <w:szCs w:val="18"/>
                <w:lang w:val="en-GB" w:eastAsia="en-GB"/>
              </w:rPr>
              <w:t>’</w:t>
            </w:r>
          </w:p>
          <w:p w14:paraId="42D0C6AE" w14:textId="77777777" w:rsidR="00A17AAA" w:rsidRPr="00A17AAA" w:rsidRDefault="00A17AAA" w:rsidP="00A17AAA">
            <w:pPr>
              <w:spacing w:beforeLines="40" w:before="96" w:afterLines="40" w:after="96" w:line="24" w:lineRule="atLeast"/>
              <w:rPr>
                <w:rFonts w:ascii="Times New Roman" w:eastAsia="Times New Roman" w:hAnsi="Times New Roman" w:cs="Times New Roman"/>
                <w:sz w:val="18"/>
                <w:szCs w:val="18"/>
                <w:lang w:val="en-GB" w:eastAsia="en-GB"/>
              </w:rPr>
            </w:pPr>
          </w:p>
          <w:p w14:paraId="5E62D595" w14:textId="77777777" w:rsidR="00A17AAA" w:rsidRPr="00A17AAA" w:rsidRDefault="00A17AAA" w:rsidP="00A17AAA">
            <w:pPr>
              <w:spacing w:beforeLines="40" w:before="96" w:afterLines="40" w:after="96" w:line="24" w:lineRule="atLeast"/>
              <w:rPr>
                <w:rFonts w:ascii="Times New Roman" w:eastAsia="Times New Roman" w:hAnsi="Times New Roman" w:cs="Times New Roman"/>
                <w:sz w:val="18"/>
                <w:szCs w:val="18"/>
                <w:lang w:val="en-GB" w:eastAsia="en-GB"/>
              </w:rPr>
            </w:pPr>
            <w:r w:rsidRPr="00A17AAA">
              <w:rPr>
                <w:rFonts w:ascii="Times New Roman" w:eastAsia="Times New Roman" w:hAnsi="Times New Roman" w:cs="Times New Roman"/>
                <w:sz w:val="18"/>
                <w:szCs w:val="18"/>
                <w:lang w:val="en-GB" w:eastAsia="en-GB"/>
              </w:rPr>
              <w:t>SNP–outcome association and harmonisation:</w:t>
            </w:r>
          </w:p>
          <w:p w14:paraId="2E3C695C" w14:textId="0409EB3A" w:rsidR="00A17AAA" w:rsidRPr="00A17AAA" w:rsidRDefault="009737DA" w:rsidP="00A17AAA">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t>
            </w:r>
            <w:r w:rsidR="00A17AAA" w:rsidRPr="00A17AAA">
              <w:rPr>
                <w:rFonts w:ascii="Times New Roman" w:eastAsia="Times New Roman" w:hAnsi="Times New Roman" w:cs="Times New Roman"/>
                <w:sz w:val="18"/>
                <w:szCs w:val="18"/>
                <w:lang w:val="en-GB" w:eastAsia="en-GB"/>
              </w:rPr>
              <w:t>To further improve data quality, we excluded genetic variants with intermediate allele frequencies to prevent strand alignment issues, removed variants absent in the reference dataset, and harmonised exposure and outcome data by aligning alleles and maintaining consistency in effect directions.</w:t>
            </w:r>
            <w:r>
              <w:rPr>
                <w:rFonts w:ascii="Times New Roman" w:eastAsia="Times New Roman" w:hAnsi="Times New Roman" w:cs="Times New Roman"/>
                <w:sz w:val="18"/>
                <w:szCs w:val="18"/>
                <w:lang w:val="en-GB" w:eastAsia="en-GB"/>
              </w:rPr>
              <w:t>’</w:t>
            </w:r>
          </w:p>
          <w:p w14:paraId="25F223A0" w14:textId="1AA0E8BF" w:rsidR="00A17AAA" w:rsidRPr="00A17AAA" w:rsidRDefault="009737DA" w:rsidP="00A17AAA">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Interpretability/scale</w:t>
            </w:r>
            <w:r w:rsidR="00A17AAA" w:rsidRPr="00A17AAA">
              <w:rPr>
                <w:rFonts w:ascii="Times New Roman" w:eastAsia="Times New Roman" w:hAnsi="Times New Roman" w:cs="Times New Roman"/>
                <w:sz w:val="18"/>
                <w:szCs w:val="18"/>
                <w:lang w:val="en-GB" w:eastAsia="en-GB"/>
              </w:rPr>
              <w:t xml:space="preserve"> in MR:</w:t>
            </w:r>
          </w:p>
          <w:p w14:paraId="3CB4537D" w14:textId="0BDFB330" w:rsidR="009F40F1" w:rsidRPr="00B430A0" w:rsidRDefault="009737DA" w:rsidP="009737DA">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t>
            </w:r>
            <w:r w:rsidR="00A17AAA" w:rsidRPr="00A17AAA">
              <w:rPr>
                <w:rFonts w:ascii="Times New Roman" w:eastAsia="Times New Roman" w:hAnsi="Times New Roman" w:cs="Times New Roman"/>
                <w:sz w:val="18"/>
                <w:szCs w:val="18"/>
                <w:lang w:val="en-GB" w:eastAsia="en-GB"/>
              </w:rPr>
              <w:t>All SNP effect estimates were modelled on the log-odds scale for binary traits (AD and MG), with harmonised beta coefficients and standard errors used to derive Wald ratios and variance-weighted averages in MR analyses.</w:t>
            </w:r>
            <w:r>
              <w:rPr>
                <w:rFonts w:ascii="Times New Roman" w:eastAsia="Times New Roman" w:hAnsi="Times New Roman" w:cs="Times New Roman"/>
                <w:sz w:val="18"/>
                <w:szCs w:val="18"/>
                <w:lang w:val="en-GB" w:eastAsia="en-GB"/>
              </w:rPr>
              <w:t>’</w:t>
            </w:r>
          </w:p>
        </w:tc>
        <w:tc>
          <w:tcPr>
            <w:tcW w:w="710" w:type="dxa"/>
          </w:tcPr>
          <w:p w14:paraId="7BCA1C07" w14:textId="1BB13591" w:rsidR="009F40F1" w:rsidRPr="00B430A0" w:rsidRDefault="00C23724" w:rsidP="009F40F1">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35</w:t>
            </w:r>
          </w:p>
        </w:tc>
      </w:tr>
      <w:tr w:rsidR="009F40F1" w:rsidRPr="00B430A0" w14:paraId="2FAEFE68" w14:textId="09D82DE1" w:rsidTr="000510D5">
        <w:tc>
          <w:tcPr>
            <w:tcW w:w="587" w:type="dxa"/>
          </w:tcPr>
          <w:p w14:paraId="2E83DFB7"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142A3CE2"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b)</w:t>
            </w:r>
          </w:p>
        </w:tc>
        <w:tc>
          <w:tcPr>
            <w:tcW w:w="2126" w:type="dxa"/>
          </w:tcPr>
          <w:p w14:paraId="336E75EE" w14:textId="144F95EC"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Report MR estimates of the relationship between exposure and outcome, and the measures of uncertainty from the MR analysis, on an interpretable scale, such as odds ratio or relative risk per SD difference</w:t>
            </w:r>
          </w:p>
        </w:tc>
        <w:tc>
          <w:tcPr>
            <w:tcW w:w="4678" w:type="dxa"/>
          </w:tcPr>
          <w:p w14:paraId="1E1B567F" w14:textId="52FB6462" w:rsidR="009F40F1" w:rsidRPr="00B430A0" w:rsidRDefault="00B4165B" w:rsidP="009F40F1">
            <w:pPr>
              <w:spacing w:beforeLines="40" w:before="96" w:afterLines="40" w:after="96" w:line="24" w:lineRule="atLeast"/>
              <w:rPr>
                <w:rFonts w:ascii="Times New Roman" w:eastAsiaTheme="minorEastAsia" w:hAnsi="Times New Roman" w:cs="Times New Roman"/>
                <w:sz w:val="18"/>
                <w:szCs w:val="18"/>
                <w:lang w:val="en-GB" w:eastAsia="zh-CN"/>
              </w:rPr>
            </w:pPr>
            <w:r w:rsidRPr="00B4165B">
              <w:rPr>
                <w:rFonts w:ascii="Times New Roman" w:eastAsiaTheme="minorEastAsia" w:hAnsi="Times New Roman" w:cs="Times New Roman"/>
                <w:sz w:val="18"/>
                <w:szCs w:val="18"/>
                <w:lang w:eastAsia="zh-CN"/>
              </w:rPr>
              <w:t xml:space="preserve">MR estimates of the causal effect of MG on AD (and vice versa) were calculated using the inverse-variance weighted (IVW) method as the primary estimator, with complementary estimates from MR-Egger and weighted median approaches. Effect sizes were expressed on the log-odds scale and transformed into odds ratios for interpretability. Standard errors and 95% confidence intervals were reported to quantify uncertainty, and </w:t>
            </w:r>
            <w:r w:rsidR="00F506D1">
              <w:rPr>
                <w:rFonts w:ascii="Times New Roman" w:eastAsiaTheme="minorEastAsia" w:hAnsi="Times New Roman" w:cs="Times New Roman"/>
                <w:sz w:val="18"/>
                <w:szCs w:val="18"/>
                <w:lang w:eastAsia="zh-CN"/>
              </w:rPr>
              <w:t xml:space="preserve">a </w:t>
            </w:r>
            <w:r w:rsidRPr="00B4165B">
              <w:rPr>
                <w:rFonts w:ascii="Times New Roman" w:eastAsiaTheme="minorEastAsia" w:hAnsi="Times New Roman" w:cs="Times New Roman"/>
                <w:sz w:val="18"/>
                <w:szCs w:val="18"/>
                <w:lang w:eastAsia="zh-CN"/>
              </w:rPr>
              <w:t>Bonferroni correction was applied to account for multiple comparisons. Wald ratios were calculated for individual SNPs where applicable, ensuring consistent scaling across instruments.</w:t>
            </w:r>
          </w:p>
        </w:tc>
        <w:tc>
          <w:tcPr>
            <w:tcW w:w="5528" w:type="dxa"/>
          </w:tcPr>
          <w:p w14:paraId="64E7432F" w14:textId="77777777" w:rsidR="00B4413D" w:rsidRPr="00B4413D" w:rsidRDefault="00B4413D" w:rsidP="00B4413D">
            <w:pPr>
              <w:spacing w:beforeLines="40" w:before="96" w:afterLines="40" w:after="96" w:line="24" w:lineRule="atLeast"/>
              <w:rPr>
                <w:rFonts w:ascii="Times New Roman" w:eastAsiaTheme="minorEastAsia" w:hAnsi="Times New Roman" w:cs="Times New Roman"/>
                <w:sz w:val="18"/>
                <w:szCs w:val="18"/>
                <w:lang w:val="en-AU" w:eastAsia="zh-CN"/>
              </w:rPr>
            </w:pPr>
            <w:r w:rsidRPr="00B4413D">
              <w:rPr>
                <w:rFonts w:ascii="Times New Roman" w:eastAsiaTheme="minorEastAsia" w:hAnsi="Times New Roman" w:cs="Times New Roman"/>
                <w:sz w:val="18"/>
                <w:szCs w:val="18"/>
                <w:lang w:val="en-AU" w:eastAsia="zh-CN"/>
              </w:rPr>
              <w:t>Primary MR estimate and weighting:</w:t>
            </w:r>
          </w:p>
          <w:p w14:paraId="5D84F58B" w14:textId="08966310" w:rsidR="00B4413D" w:rsidRPr="00B4413D" w:rsidRDefault="002D553C" w:rsidP="00B4413D">
            <w:pPr>
              <w:spacing w:beforeLines="40" w:before="96" w:afterLines="40" w:after="96" w:line="24" w:lineRule="atLeast"/>
              <w:rPr>
                <w:rFonts w:ascii="Times New Roman" w:eastAsiaTheme="minorEastAsia" w:hAnsi="Times New Roman" w:cs="Times New Roman"/>
                <w:sz w:val="18"/>
                <w:szCs w:val="18"/>
                <w:lang w:val="en-AU" w:eastAsia="zh-CN"/>
              </w:rPr>
            </w:pPr>
            <w:r>
              <w:rPr>
                <w:rFonts w:ascii="Times New Roman" w:eastAsiaTheme="minorEastAsia" w:hAnsi="Times New Roman" w:cs="Times New Roman"/>
                <w:sz w:val="18"/>
                <w:szCs w:val="18"/>
                <w:lang w:val="en-AU" w:eastAsia="zh-CN"/>
              </w:rPr>
              <w:t>‘</w:t>
            </w:r>
            <w:r w:rsidR="00B4413D" w:rsidRPr="00B4413D">
              <w:rPr>
                <w:rFonts w:ascii="Times New Roman" w:eastAsiaTheme="minorEastAsia" w:hAnsi="Times New Roman" w:cs="Times New Roman"/>
                <w:sz w:val="18"/>
                <w:szCs w:val="18"/>
                <w:lang w:val="en-AU" w:eastAsia="zh-CN"/>
              </w:rPr>
              <w:t>In this study, we employed the IVW method as the primary MR approach. This technique aggregates the Wald ratios from individual genetic instruments into a single weighted average, with weights determined by the inverse variance of each ratio.</w:t>
            </w:r>
            <w:r>
              <w:rPr>
                <w:rFonts w:ascii="Times New Roman" w:eastAsiaTheme="minorEastAsia" w:hAnsi="Times New Roman" w:cs="Times New Roman"/>
                <w:sz w:val="18"/>
                <w:szCs w:val="18"/>
                <w:lang w:val="en-AU" w:eastAsia="zh-CN"/>
              </w:rPr>
              <w:t>’</w:t>
            </w:r>
          </w:p>
          <w:p w14:paraId="5DA866D8" w14:textId="77777777" w:rsidR="00B4413D" w:rsidRPr="00B4413D" w:rsidRDefault="00B4413D" w:rsidP="00B4413D">
            <w:pPr>
              <w:spacing w:beforeLines="40" w:before="96" w:afterLines="40" w:after="96" w:line="24" w:lineRule="atLeast"/>
              <w:rPr>
                <w:rFonts w:ascii="Times New Roman" w:eastAsiaTheme="minorEastAsia" w:hAnsi="Times New Roman" w:cs="Times New Roman"/>
                <w:sz w:val="18"/>
                <w:szCs w:val="18"/>
                <w:lang w:val="en-AU" w:eastAsia="zh-CN"/>
              </w:rPr>
            </w:pPr>
            <w:r w:rsidRPr="00B4413D">
              <w:rPr>
                <w:rFonts w:ascii="Times New Roman" w:eastAsiaTheme="minorEastAsia" w:hAnsi="Times New Roman" w:cs="Times New Roman"/>
                <w:sz w:val="18"/>
                <w:szCs w:val="18"/>
                <w:lang w:val="en-AU" w:eastAsia="zh-CN"/>
              </w:rPr>
              <w:t>Effect scale and uncertainty:</w:t>
            </w:r>
          </w:p>
          <w:p w14:paraId="27FFEF00" w14:textId="512553FE" w:rsidR="00B4413D" w:rsidRPr="00B4413D" w:rsidRDefault="002D553C" w:rsidP="00B4413D">
            <w:pPr>
              <w:spacing w:beforeLines="40" w:before="96" w:afterLines="40" w:after="96" w:line="24" w:lineRule="atLeast"/>
              <w:rPr>
                <w:rFonts w:ascii="Times New Roman" w:eastAsiaTheme="minorEastAsia" w:hAnsi="Times New Roman" w:cs="Times New Roman"/>
                <w:sz w:val="18"/>
                <w:szCs w:val="18"/>
                <w:lang w:val="en-AU" w:eastAsia="zh-CN"/>
              </w:rPr>
            </w:pPr>
            <w:r>
              <w:rPr>
                <w:rFonts w:ascii="Times New Roman" w:eastAsiaTheme="minorEastAsia" w:hAnsi="Times New Roman" w:cs="Times New Roman"/>
                <w:sz w:val="18"/>
                <w:szCs w:val="18"/>
                <w:lang w:val="en-AU" w:eastAsia="zh-CN"/>
              </w:rPr>
              <w:t>‘</w:t>
            </w:r>
            <w:r w:rsidR="00B4413D" w:rsidRPr="00B4413D">
              <w:rPr>
                <w:rFonts w:ascii="Times New Roman" w:eastAsiaTheme="minorEastAsia" w:hAnsi="Times New Roman" w:cs="Times New Roman"/>
                <w:sz w:val="18"/>
                <w:szCs w:val="18"/>
                <w:lang w:val="en-AU" w:eastAsia="zh-CN"/>
              </w:rPr>
              <w:t>All SNP effect estimates were modelled on the log-odds scale for binary traits (AD and MG), with harmonised beta coefficients and standard errors used to derive Wald ratios and variance-weighted averages in MR analyses.</w:t>
            </w:r>
            <w:r>
              <w:rPr>
                <w:rFonts w:ascii="Times New Roman" w:eastAsiaTheme="minorEastAsia" w:hAnsi="Times New Roman" w:cs="Times New Roman"/>
                <w:sz w:val="18"/>
                <w:szCs w:val="18"/>
                <w:lang w:val="en-AU" w:eastAsia="zh-CN"/>
              </w:rPr>
              <w:t>’</w:t>
            </w:r>
          </w:p>
          <w:p w14:paraId="02AD2EB4" w14:textId="3F7260C1" w:rsidR="00B4413D" w:rsidRPr="00B4413D" w:rsidRDefault="00B4413D" w:rsidP="00B4413D">
            <w:pPr>
              <w:spacing w:beforeLines="40" w:before="96" w:afterLines="40" w:after="96" w:line="24" w:lineRule="atLeast"/>
              <w:rPr>
                <w:rFonts w:ascii="Times New Roman" w:eastAsiaTheme="minorEastAsia" w:hAnsi="Times New Roman" w:cs="Times New Roman"/>
                <w:sz w:val="18"/>
                <w:szCs w:val="18"/>
                <w:lang w:val="en-AU" w:eastAsia="zh-CN"/>
              </w:rPr>
            </w:pPr>
            <w:r w:rsidRPr="00B4413D">
              <w:rPr>
                <w:rFonts w:ascii="Times New Roman" w:eastAsiaTheme="minorEastAsia" w:hAnsi="Times New Roman" w:cs="Times New Roman"/>
                <w:sz w:val="18"/>
                <w:szCs w:val="18"/>
                <w:lang w:val="en-AU" w:eastAsia="zh-CN"/>
              </w:rPr>
              <w:t xml:space="preserve">Multiple </w:t>
            </w:r>
            <w:r w:rsidR="002D553C">
              <w:rPr>
                <w:rFonts w:ascii="Times New Roman" w:eastAsiaTheme="minorEastAsia" w:hAnsi="Times New Roman" w:cs="Times New Roman"/>
                <w:sz w:val="18"/>
                <w:szCs w:val="18"/>
                <w:lang w:val="en-AU" w:eastAsia="zh-CN"/>
              </w:rPr>
              <w:t>testing/significance</w:t>
            </w:r>
            <w:r w:rsidRPr="00B4413D">
              <w:rPr>
                <w:rFonts w:ascii="Times New Roman" w:eastAsiaTheme="minorEastAsia" w:hAnsi="Times New Roman" w:cs="Times New Roman"/>
                <w:sz w:val="18"/>
                <w:szCs w:val="18"/>
                <w:lang w:val="en-AU" w:eastAsia="zh-CN"/>
              </w:rPr>
              <w:t>:</w:t>
            </w:r>
          </w:p>
          <w:p w14:paraId="4C1AD4DE" w14:textId="15026961" w:rsidR="00F45547" w:rsidRPr="00F45547" w:rsidRDefault="002D553C" w:rsidP="00B4413D">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heme="minorEastAsia" w:hAnsi="Times New Roman" w:cs="Times New Roman"/>
                <w:sz w:val="18"/>
                <w:szCs w:val="18"/>
                <w:lang w:val="en-AU" w:eastAsia="zh-CN"/>
              </w:rPr>
              <w:t>‘</w:t>
            </w:r>
            <w:r w:rsidR="00B4413D" w:rsidRPr="00B4413D">
              <w:rPr>
                <w:rFonts w:ascii="Times New Roman" w:eastAsiaTheme="minorEastAsia" w:hAnsi="Times New Roman" w:cs="Times New Roman"/>
                <w:sz w:val="18"/>
                <w:szCs w:val="18"/>
                <w:lang w:val="en-AU" w:eastAsia="zh-CN"/>
              </w:rPr>
              <w:t>Results with p-values below 0.05 were considered nominally significant. To account for multiple comparisons, we consider our findings significant at P &lt; 0.025 (0.05/2, Bonferroni adjustment for assessing two traits).</w:t>
            </w:r>
            <w:r>
              <w:rPr>
                <w:rFonts w:ascii="Times New Roman" w:eastAsiaTheme="minorEastAsia" w:hAnsi="Times New Roman" w:cs="Times New Roman"/>
                <w:sz w:val="18"/>
                <w:szCs w:val="18"/>
                <w:lang w:val="en-AU" w:eastAsia="zh-CN"/>
              </w:rPr>
              <w:t>’</w:t>
            </w:r>
          </w:p>
        </w:tc>
        <w:tc>
          <w:tcPr>
            <w:tcW w:w="710" w:type="dxa"/>
          </w:tcPr>
          <w:p w14:paraId="4564CEDB" w14:textId="7417E00E" w:rsidR="009F40F1" w:rsidRPr="00B430A0" w:rsidRDefault="00F506D1" w:rsidP="009F40F1">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35</w:t>
            </w:r>
          </w:p>
        </w:tc>
      </w:tr>
      <w:tr w:rsidR="009F40F1" w:rsidRPr="00B430A0" w14:paraId="1FAC379E" w14:textId="0C198578" w:rsidTr="009F40F1">
        <w:tc>
          <w:tcPr>
            <w:tcW w:w="587" w:type="dxa"/>
          </w:tcPr>
          <w:p w14:paraId="6762B88A"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514E8164"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c)</w:t>
            </w:r>
          </w:p>
        </w:tc>
        <w:tc>
          <w:tcPr>
            <w:tcW w:w="2126" w:type="dxa"/>
          </w:tcPr>
          <w:p w14:paraId="4BC6AB73"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 xml:space="preserve">If relevant, consider translating estimates of relative risk into absolute risk for a meaningful </w:t>
            </w:r>
            <w:proofErr w:type="gramStart"/>
            <w:r w:rsidRPr="00B430A0">
              <w:rPr>
                <w:rFonts w:ascii="Times New Roman" w:eastAsia="Times New Roman" w:hAnsi="Times New Roman" w:cs="Times New Roman"/>
                <w:sz w:val="18"/>
                <w:szCs w:val="18"/>
                <w:lang w:val="en-GB" w:eastAsia="en-GB"/>
              </w:rPr>
              <w:t>time period</w:t>
            </w:r>
            <w:proofErr w:type="gramEnd"/>
          </w:p>
        </w:tc>
        <w:tc>
          <w:tcPr>
            <w:tcW w:w="4678" w:type="dxa"/>
          </w:tcPr>
          <w:p w14:paraId="326BA5CA" w14:textId="01906D0B" w:rsidR="009F40F1" w:rsidRPr="00B430A0" w:rsidRDefault="004101BD" w:rsidP="009F40F1">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Not relevant</w:t>
            </w:r>
          </w:p>
        </w:tc>
        <w:tc>
          <w:tcPr>
            <w:tcW w:w="5528" w:type="dxa"/>
          </w:tcPr>
          <w:p w14:paraId="1742CC07" w14:textId="76A079E8" w:rsidR="009F40F1" w:rsidRPr="00B430A0" w:rsidRDefault="004101BD" w:rsidP="009F40F1">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NA</w:t>
            </w:r>
          </w:p>
        </w:tc>
        <w:tc>
          <w:tcPr>
            <w:tcW w:w="710" w:type="dxa"/>
          </w:tcPr>
          <w:p w14:paraId="4A2216FF" w14:textId="09EAFEEF" w:rsidR="009F40F1" w:rsidRPr="00B430A0" w:rsidRDefault="009F40F1" w:rsidP="009F40F1">
            <w:pPr>
              <w:spacing w:beforeLines="40" w:before="96" w:afterLines="40" w:after="96" w:line="24" w:lineRule="atLeast"/>
              <w:rPr>
                <w:rFonts w:ascii="Times New Roman" w:eastAsia="Times New Roman" w:hAnsi="Times New Roman" w:cs="Times New Roman"/>
                <w:sz w:val="18"/>
                <w:szCs w:val="18"/>
                <w:lang w:val="en-GB" w:eastAsia="en-GB"/>
              </w:rPr>
            </w:pPr>
          </w:p>
        </w:tc>
      </w:tr>
      <w:tr w:rsidR="009F40F1" w:rsidRPr="00B430A0" w14:paraId="00F87C74" w14:textId="30F32A00" w:rsidTr="009F40F1">
        <w:tc>
          <w:tcPr>
            <w:tcW w:w="587" w:type="dxa"/>
          </w:tcPr>
          <w:p w14:paraId="2CDE5DE6"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69C50E8E"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d)</w:t>
            </w:r>
          </w:p>
        </w:tc>
        <w:tc>
          <w:tcPr>
            <w:tcW w:w="2126" w:type="dxa"/>
          </w:tcPr>
          <w:p w14:paraId="47CC3ACC"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 xml:space="preserve">Consider plots to visualize results (e.g. forest plot, scatterplot of </w:t>
            </w:r>
            <w:r w:rsidRPr="00B430A0">
              <w:rPr>
                <w:rFonts w:ascii="Times New Roman" w:eastAsia="Times New Roman" w:hAnsi="Times New Roman" w:cs="Times New Roman"/>
                <w:sz w:val="18"/>
                <w:szCs w:val="18"/>
                <w:lang w:val="en-GB" w:eastAsia="en-GB"/>
              </w:rPr>
              <w:lastRenderedPageBreak/>
              <w:t>associations between genetic variants and outcome versus between genetic variants and exposure)</w:t>
            </w:r>
          </w:p>
        </w:tc>
        <w:tc>
          <w:tcPr>
            <w:tcW w:w="4678" w:type="dxa"/>
          </w:tcPr>
          <w:p w14:paraId="777DAC23" w14:textId="4DD9DD34" w:rsidR="009F40F1" w:rsidRPr="00B430A0" w:rsidRDefault="003869B8" w:rsidP="009F40F1">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lastRenderedPageBreak/>
              <w:t>We used</w:t>
            </w:r>
            <w:r w:rsidR="0013216C">
              <w:rPr>
                <w:rFonts w:ascii="Times New Roman" w:eastAsiaTheme="minorEastAsia" w:hAnsi="Times New Roman" w:cs="Times New Roman"/>
                <w:sz w:val="18"/>
                <w:szCs w:val="18"/>
                <w:lang w:val="en-GB" w:eastAsia="zh-CN"/>
              </w:rPr>
              <w:t xml:space="preserve"> </w:t>
            </w:r>
            <w:r w:rsidR="00827E38">
              <w:rPr>
                <w:rFonts w:ascii="Times New Roman" w:eastAsiaTheme="minorEastAsia" w:hAnsi="Times New Roman" w:cs="Times New Roman"/>
                <w:sz w:val="18"/>
                <w:szCs w:val="18"/>
                <w:lang w:val="en-GB" w:eastAsia="zh-CN"/>
              </w:rPr>
              <w:t xml:space="preserve">the </w:t>
            </w:r>
            <w:r w:rsidR="0013216C">
              <w:rPr>
                <w:rFonts w:ascii="Times New Roman" w:eastAsiaTheme="minorEastAsia" w:hAnsi="Times New Roman" w:cs="Times New Roman"/>
                <w:sz w:val="18"/>
                <w:szCs w:val="18"/>
                <w:lang w:val="en-GB" w:eastAsia="zh-CN"/>
              </w:rPr>
              <w:t xml:space="preserve">funnel </w:t>
            </w:r>
            <w:r w:rsidR="00827E38">
              <w:rPr>
                <w:rFonts w:ascii="Times New Roman" w:eastAsiaTheme="minorEastAsia" w:hAnsi="Times New Roman" w:cs="Times New Roman"/>
                <w:sz w:val="18"/>
                <w:szCs w:val="18"/>
                <w:lang w:val="en-GB" w:eastAsia="zh-CN"/>
              </w:rPr>
              <w:t xml:space="preserve">plots </w:t>
            </w:r>
            <w:r w:rsidR="0013216C">
              <w:rPr>
                <w:rFonts w:ascii="Times New Roman" w:eastAsiaTheme="minorEastAsia" w:hAnsi="Times New Roman" w:cs="Times New Roman"/>
                <w:sz w:val="18"/>
                <w:szCs w:val="18"/>
                <w:lang w:val="en-GB" w:eastAsia="zh-CN"/>
              </w:rPr>
              <w:t>to visually inspect the symmetry o</w:t>
            </w:r>
            <w:r w:rsidR="00827E38">
              <w:rPr>
                <w:rFonts w:ascii="Times New Roman" w:eastAsiaTheme="minorEastAsia" w:hAnsi="Times New Roman" w:cs="Times New Roman"/>
                <w:sz w:val="18"/>
                <w:szCs w:val="18"/>
                <w:lang w:val="en-GB" w:eastAsia="zh-CN"/>
              </w:rPr>
              <w:t>f</w:t>
            </w:r>
            <w:r w:rsidR="0013216C">
              <w:rPr>
                <w:rFonts w:ascii="Times New Roman" w:eastAsiaTheme="minorEastAsia" w:hAnsi="Times New Roman" w:cs="Times New Roman"/>
                <w:sz w:val="18"/>
                <w:szCs w:val="18"/>
                <w:lang w:val="en-GB" w:eastAsia="zh-CN"/>
              </w:rPr>
              <w:t xml:space="preserve"> distribution</w:t>
            </w:r>
            <w:r w:rsidR="007D1B46">
              <w:rPr>
                <w:rFonts w:ascii="Times New Roman" w:eastAsiaTheme="minorEastAsia" w:hAnsi="Times New Roman" w:cs="Times New Roman"/>
                <w:sz w:val="18"/>
                <w:szCs w:val="18"/>
                <w:lang w:val="en-GB" w:eastAsia="zh-CN"/>
              </w:rPr>
              <w:t xml:space="preserve"> (exposure vs outcome variables)</w:t>
            </w:r>
            <w:r w:rsidR="0013216C">
              <w:rPr>
                <w:rFonts w:ascii="Times New Roman" w:eastAsiaTheme="minorEastAsia" w:hAnsi="Times New Roman" w:cs="Times New Roman"/>
                <w:sz w:val="18"/>
                <w:szCs w:val="18"/>
                <w:lang w:val="en-GB" w:eastAsia="zh-CN"/>
              </w:rPr>
              <w:t>, towards assessing outlier SNPs</w:t>
            </w:r>
            <w:r w:rsidR="00827E38">
              <w:rPr>
                <w:rFonts w:ascii="Times New Roman" w:eastAsiaTheme="minorEastAsia" w:hAnsi="Times New Roman" w:cs="Times New Roman"/>
                <w:sz w:val="18"/>
                <w:szCs w:val="18"/>
                <w:lang w:val="en-GB" w:eastAsia="zh-CN"/>
              </w:rPr>
              <w:t xml:space="preserve"> and validating </w:t>
            </w:r>
            <w:r w:rsidR="001F72CE">
              <w:rPr>
                <w:rFonts w:ascii="Times New Roman" w:eastAsiaTheme="minorEastAsia" w:hAnsi="Times New Roman" w:cs="Times New Roman"/>
                <w:sz w:val="18"/>
                <w:szCs w:val="18"/>
                <w:lang w:val="en-GB" w:eastAsia="zh-CN"/>
              </w:rPr>
              <w:t xml:space="preserve">the </w:t>
            </w:r>
            <w:r w:rsidR="00827E38">
              <w:rPr>
                <w:rFonts w:ascii="Times New Roman" w:eastAsiaTheme="minorEastAsia" w:hAnsi="Times New Roman" w:cs="Times New Roman"/>
                <w:sz w:val="18"/>
                <w:szCs w:val="18"/>
                <w:lang w:val="en-GB" w:eastAsia="zh-CN"/>
              </w:rPr>
              <w:t>MR assumption.</w:t>
            </w:r>
          </w:p>
        </w:tc>
        <w:tc>
          <w:tcPr>
            <w:tcW w:w="5528" w:type="dxa"/>
          </w:tcPr>
          <w:p w14:paraId="3DD3CC0C" w14:textId="3AD9A154" w:rsidR="009F40F1" w:rsidRPr="001F72CE" w:rsidRDefault="00837C01" w:rsidP="009F40F1">
            <w:pPr>
              <w:spacing w:beforeLines="40" w:before="96" w:afterLines="40" w:after="96" w:line="24" w:lineRule="atLeast"/>
              <w:rPr>
                <w:rFonts w:ascii="Times New Roman" w:eastAsia="Times New Roman" w:hAnsi="Times New Roman" w:cs="Times New Roman"/>
                <w:sz w:val="18"/>
                <w:szCs w:val="18"/>
                <w:lang w:eastAsia="en-GB"/>
              </w:rPr>
            </w:pPr>
            <w:r w:rsidRPr="001F72CE">
              <w:rPr>
                <w:rFonts w:ascii="Times New Roman" w:eastAsia="Times New Roman" w:hAnsi="Times New Roman" w:cs="Times New Roman"/>
                <w:sz w:val="18"/>
                <w:szCs w:val="18"/>
                <w:lang w:eastAsia="en-GB"/>
              </w:rPr>
              <w:t xml:space="preserve">… </w:t>
            </w:r>
            <w:r w:rsidR="000510D5" w:rsidRPr="001F72CE">
              <w:rPr>
                <w:rFonts w:ascii="Times New Roman" w:hAnsi="Times New Roman" w:cs="Times New Roman"/>
                <w:bCs/>
                <w:sz w:val="18"/>
                <w:szCs w:val="18"/>
                <w:lang w:val="en-AU"/>
              </w:rPr>
              <w:t>we examined the funnel plot for symmetry…</w:t>
            </w:r>
          </w:p>
        </w:tc>
        <w:tc>
          <w:tcPr>
            <w:tcW w:w="710" w:type="dxa"/>
          </w:tcPr>
          <w:p w14:paraId="7B9F0A4D" w14:textId="2ADF83A8" w:rsidR="009F40F1" w:rsidRPr="00B430A0" w:rsidRDefault="00E234F5" w:rsidP="009F40F1">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35</w:t>
            </w:r>
          </w:p>
        </w:tc>
      </w:tr>
      <w:tr w:rsidR="009F40F1" w:rsidRPr="00B430A0" w14:paraId="62E6DFEA" w14:textId="107C6F5B" w:rsidTr="009F40F1">
        <w:tc>
          <w:tcPr>
            <w:tcW w:w="587" w:type="dxa"/>
          </w:tcPr>
          <w:p w14:paraId="57CB2789" w14:textId="77777777" w:rsidR="009F40F1" w:rsidRPr="00B430A0" w:rsidRDefault="009F40F1" w:rsidP="009F40F1">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12</w:t>
            </w:r>
          </w:p>
        </w:tc>
        <w:tc>
          <w:tcPr>
            <w:tcW w:w="968" w:type="dxa"/>
          </w:tcPr>
          <w:p w14:paraId="27B891DB"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b/>
                <w:bCs/>
                <w:sz w:val="18"/>
                <w:szCs w:val="18"/>
                <w:lang w:val="en-GB" w:eastAsia="en-GB"/>
              </w:rPr>
              <w:t>Assessment of assumptions</w:t>
            </w:r>
          </w:p>
        </w:tc>
        <w:tc>
          <w:tcPr>
            <w:tcW w:w="2126" w:type="dxa"/>
          </w:tcPr>
          <w:p w14:paraId="6EC050C1"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4678" w:type="dxa"/>
          </w:tcPr>
          <w:p w14:paraId="3871A389"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5528" w:type="dxa"/>
          </w:tcPr>
          <w:p w14:paraId="41DAA7AA"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710" w:type="dxa"/>
          </w:tcPr>
          <w:p w14:paraId="10C8ADE2" w14:textId="18C111F5"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r>
      <w:tr w:rsidR="009F40F1" w:rsidRPr="00B430A0" w14:paraId="48EE0AFA" w14:textId="55C0BF1C" w:rsidTr="00567EC0">
        <w:tc>
          <w:tcPr>
            <w:tcW w:w="587" w:type="dxa"/>
          </w:tcPr>
          <w:p w14:paraId="4E29121D"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18A8B0EA"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a)</w:t>
            </w:r>
          </w:p>
        </w:tc>
        <w:tc>
          <w:tcPr>
            <w:tcW w:w="2126" w:type="dxa"/>
          </w:tcPr>
          <w:p w14:paraId="1A97B456"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Report the assessment of the validity of the assumptions</w:t>
            </w:r>
          </w:p>
        </w:tc>
        <w:tc>
          <w:tcPr>
            <w:tcW w:w="4678" w:type="dxa"/>
          </w:tcPr>
          <w:p w14:paraId="56D6F954" w14:textId="0DEBD847" w:rsidR="00523BC5" w:rsidRDefault="00523BC5" w:rsidP="00523BC5">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 xml:space="preserve">We carried out various tests including horizontal pleiotropy and heterogeneity assessment. Additional details are provided in Supplementary Table </w:t>
            </w:r>
            <w:r w:rsidR="00417F67">
              <w:rPr>
                <w:rFonts w:ascii="Times New Roman" w:eastAsiaTheme="minorEastAsia" w:hAnsi="Times New Roman" w:cs="Times New Roman"/>
                <w:sz w:val="18"/>
                <w:szCs w:val="18"/>
                <w:lang w:val="en-GB" w:eastAsia="zh-CN"/>
              </w:rPr>
              <w:t>7</w:t>
            </w:r>
          </w:p>
          <w:p w14:paraId="1027E3DC" w14:textId="77777777" w:rsidR="00523BC5" w:rsidRDefault="00523BC5" w:rsidP="00523BC5">
            <w:pPr>
              <w:spacing w:beforeLines="40" w:before="96" w:afterLines="40" w:after="96" w:line="24" w:lineRule="atLeast"/>
              <w:rPr>
                <w:rFonts w:ascii="Times New Roman" w:eastAsiaTheme="minorEastAsia" w:hAnsi="Times New Roman" w:cs="Times New Roman"/>
                <w:sz w:val="18"/>
                <w:szCs w:val="18"/>
                <w:lang w:val="en-GB" w:eastAsia="zh-CN"/>
              </w:rPr>
            </w:pPr>
          </w:p>
          <w:p w14:paraId="6E2D56F0" w14:textId="655D2851" w:rsidR="00482A9D" w:rsidRPr="00B430A0" w:rsidRDefault="00523BC5" w:rsidP="00523BC5">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We used other methods of MR analysis including MR-PRESSO</w:t>
            </w:r>
          </w:p>
        </w:tc>
        <w:tc>
          <w:tcPr>
            <w:tcW w:w="5528" w:type="dxa"/>
          </w:tcPr>
          <w:p w14:paraId="23550EB1" w14:textId="00DAECA3" w:rsidR="0094543F" w:rsidRPr="0094543F" w:rsidRDefault="0091499F" w:rsidP="009F40F1">
            <w:pPr>
              <w:spacing w:beforeLines="40" w:before="96" w:afterLines="40" w:after="96" w:line="24" w:lineRule="atLeast"/>
              <w:rPr>
                <w:rFonts w:ascii="Times New Roman" w:eastAsiaTheme="minorEastAsia" w:hAnsi="Times New Roman" w:cs="Times New Roman"/>
                <w:b/>
                <w:bCs/>
                <w:sz w:val="18"/>
                <w:szCs w:val="18"/>
                <w:lang w:val="en-AU" w:eastAsia="zh-CN"/>
              </w:rPr>
            </w:pPr>
            <w:r w:rsidRPr="00AC6B9E">
              <w:rPr>
                <w:rFonts w:ascii="Times New Roman" w:eastAsia="Times New Roman" w:hAnsi="Times New Roman" w:cs="Times New Roman"/>
                <w:bCs/>
                <w:sz w:val="18"/>
                <w:szCs w:val="18"/>
                <w:lang w:val="en-AU" w:eastAsia="en-GB"/>
              </w:rPr>
              <w:t xml:space="preserve">The MR-Egger intercept test for this analysis revealed no evidence of horizontal pleiotropy, as the intercept remained close to zero with no significant deviation (Supplementary Table 7). Similarly, we did not detect any significant heterogeneity (Supplementary Table 7). </w:t>
            </w:r>
          </w:p>
        </w:tc>
        <w:tc>
          <w:tcPr>
            <w:tcW w:w="710" w:type="dxa"/>
          </w:tcPr>
          <w:p w14:paraId="5E7081D1" w14:textId="58BDDB69" w:rsidR="009F40F1" w:rsidRPr="00B430A0" w:rsidRDefault="00502E2B" w:rsidP="009F40F1">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GB" w:eastAsia="en-GB"/>
              </w:rPr>
              <w:t>1</w:t>
            </w:r>
            <w:r w:rsidR="0091499F">
              <w:rPr>
                <w:rFonts w:ascii="Times New Roman" w:eastAsia="Times New Roman" w:hAnsi="Times New Roman" w:cs="Times New Roman"/>
                <w:sz w:val="18"/>
                <w:szCs w:val="18"/>
                <w:lang w:val="en-GB" w:eastAsia="en-GB"/>
              </w:rPr>
              <w:t>3</w:t>
            </w:r>
          </w:p>
        </w:tc>
      </w:tr>
      <w:tr w:rsidR="009F40F1" w:rsidRPr="00B430A0" w14:paraId="7BDA55CD" w14:textId="6465618D" w:rsidTr="009F40F1">
        <w:tc>
          <w:tcPr>
            <w:tcW w:w="587" w:type="dxa"/>
          </w:tcPr>
          <w:p w14:paraId="6F27FA73"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6BC0019D" w14:textId="77777777" w:rsidR="009F40F1" w:rsidRPr="00B430A0" w:rsidRDefault="009F40F1" w:rsidP="009F40F1">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b)</w:t>
            </w:r>
          </w:p>
        </w:tc>
        <w:tc>
          <w:tcPr>
            <w:tcW w:w="2126" w:type="dxa"/>
          </w:tcPr>
          <w:p w14:paraId="400ADD58"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 xml:space="preserve">Report any additional statistics (e.g., assessments of heterogeneity </w:t>
            </w:r>
            <w:r w:rsidRPr="00B430A0">
              <w:rPr>
                <w:rFonts w:ascii="Times New Roman" w:eastAsia="Times New Roman" w:hAnsi="Times New Roman" w:cs="Times New Roman"/>
                <w:sz w:val="18"/>
                <w:szCs w:val="18"/>
                <w:lang w:eastAsia="en-GB"/>
              </w:rPr>
              <w:t>across genetic variants</w:t>
            </w:r>
            <w:r w:rsidRPr="00B430A0">
              <w:rPr>
                <w:rFonts w:ascii="Times New Roman" w:eastAsia="Times New Roman" w:hAnsi="Times New Roman" w:cs="Times New Roman"/>
                <w:sz w:val="18"/>
                <w:szCs w:val="18"/>
                <w:lang w:val="en-GB" w:eastAsia="en-GB"/>
              </w:rPr>
              <w:t xml:space="preserve">, such as </w:t>
            </w:r>
            <w:r w:rsidRPr="00B430A0">
              <w:rPr>
                <w:rFonts w:ascii="Times New Roman" w:eastAsia="Times New Roman" w:hAnsi="Times New Roman" w:cs="Times New Roman"/>
                <w:i/>
                <w:sz w:val="18"/>
                <w:szCs w:val="18"/>
                <w:lang w:val="en-GB" w:eastAsia="en-GB"/>
              </w:rPr>
              <w:t>I</w:t>
            </w:r>
            <w:r w:rsidRPr="00B430A0">
              <w:rPr>
                <w:rFonts w:ascii="Times New Roman" w:eastAsia="Times New Roman" w:hAnsi="Times New Roman" w:cs="Times New Roman"/>
                <w:i/>
                <w:sz w:val="18"/>
                <w:szCs w:val="18"/>
                <w:vertAlign w:val="superscript"/>
                <w:lang w:val="en-GB" w:eastAsia="en-GB"/>
              </w:rPr>
              <w:t>2</w:t>
            </w:r>
            <w:r w:rsidRPr="00B430A0">
              <w:rPr>
                <w:rFonts w:ascii="Times New Roman" w:eastAsia="Times New Roman" w:hAnsi="Times New Roman" w:cs="Times New Roman"/>
                <w:sz w:val="18"/>
                <w:szCs w:val="18"/>
                <w:lang w:val="en-GB" w:eastAsia="en-GB"/>
              </w:rPr>
              <w:t>, Q statistic or E-value)</w:t>
            </w:r>
          </w:p>
        </w:tc>
        <w:tc>
          <w:tcPr>
            <w:tcW w:w="4678" w:type="dxa"/>
          </w:tcPr>
          <w:p w14:paraId="2D6E39C6" w14:textId="398E6335" w:rsidR="009F40F1" w:rsidRPr="00B430A0" w:rsidRDefault="00E5079E" w:rsidP="009F40F1">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We assessed heterogeneity</w:t>
            </w:r>
            <w:r w:rsidR="00E50673">
              <w:rPr>
                <w:rFonts w:ascii="Times New Roman" w:eastAsiaTheme="minorEastAsia" w:hAnsi="Times New Roman" w:cs="Times New Roman"/>
                <w:sz w:val="18"/>
                <w:szCs w:val="18"/>
                <w:lang w:val="en-GB" w:eastAsia="zh-CN"/>
              </w:rPr>
              <w:t xml:space="preserve"> and </w:t>
            </w:r>
            <w:r w:rsidR="00E50673" w:rsidRPr="00E50673">
              <w:rPr>
                <w:rFonts w:ascii="Times New Roman" w:eastAsia="Times New Roman" w:hAnsi="Times New Roman" w:cs="Times New Roman"/>
                <w:bCs/>
                <w:sz w:val="18"/>
                <w:szCs w:val="18"/>
                <w:lang w:val="en-AU" w:eastAsia="en-GB"/>
              </w:rPr>
              <w:t>unbalanced pleiotropy</w:t>
            </w:r>
            <w:r w:rsidR="00E50673">
              <w:rPr>
                <w:rFonts w:ascii="Times New Roman" w:eastAsiaTheme="minorEastAsia" w:hAnsi="Times New Roman" w:cs="Times New Roman"/>
                <w:sz w:val="18"/>
                <w:szCs w:val="18"/>
                <w:lang w:val="en-GB" w:eastAsia="zh-CN"/>
              </w:rPr>
              <w:t>. The results of those are</w:t>
            </w:r>
            <w:r>
              <w:rPr>
                <w:rFonts w:ascii="Times New Roman" w:eastAsiaTheme="minorEastAsia" w:hAnsi="Times New Roman" w:cs="Times New Roman"/>
                <w:sz w:val="18"/>
                <w:szCs w:val="18"/>
                <w:lang w:val="en-GB" w:eastAsia="zh-CN"/>
              </w:rPr>
              <w:t xml:space="preserve"> presented </w:t>
            </w:r>
            <w:r w:rsidR="006F1622">
              <w:rPr>
                <w:rFonts w:ascii="Times New Roman" w:eastAsiaTheme="minorEastAsia" w:hAnsi="Times New Roman" w:cs="Times New Roman"/>
                <w:sz w:val="18"/>
                <w:szCs w:val="18"/>
                <w:lang w:val="en-GB" w:eastAsia="zh-CN"/>
              </w:rPr>
              <w:t>in</w:t>
            </w:r>
            <w:r>
              <w:rPr>
                <w:rFonts w:ascii="Times New Roman" w:eastAsiaTheme="minorEastAsia" w:hAnsi="Times New Roman" w:cs="Times New Roman"/>
                <w:sz w:val="18"/>
                <w:szCs w:val="18"/>
                <w:lang w:val="en-GB" w:eastAsia="zh-CN"/>
              </w:rPr>
              <w:t xml:space="preserve"> </w:t>
            </w:r>
            <w:r w:rsidR="00E50673">
              <w:rPr>
                <w:rFonts w:ascii="Times New Roman" w:eastAsiaTheme="minorEastAsia" w:hAnsi="Times New Roman" w:cs="Times New Roman"/>
                <w:sz w:val="18"/>
                <w:szCs w:val="18"/>
                <w:lang w:val="en-GB" w:eastAsia="zh-CN"/>
              </w:rPr>
              <w:t>Supplementary Table</w:t>
            </w:r>
            <w:r w:rsidR="009E2C47">
              <w:rPr>
                <w:rFonts w:ascii="Times New Roman" w:eastAsiaTheme="minorEastAsia" w:hAnsi="Times New Roman" w:cs="Times New Roman"/>
                <w:sz w:val="18"/>
                <w:szCs w:val="18"/>
                <w:lang w:val="en-GB" w:eastAsia="zh-CN"/>
              </w:rPr>
              <w:t xml:space="preserve"> 7</w:t>
            </w:r>
            <w:r w:rsidR="00E50673">
              <w:rPr>
                <w:rFonts w:ascii="Times New Roman" w:eastAsiaTheme="minorEastAsia" w:hAnsi="Times New Roman" w:cs="Times New Roman"/>
                <w:sz w:val="18"/>
                <w:szCs w:val="18"/>
                <w:lang w:val="en-GB" w:eastAsia="zh-CN"/>
              </w:rPr>
              <w:t>.</w:t>
            </w:r>
          </w:p>
        </w:tc>
        <w:tc>
          <w:tcPr>
            <w:tcW w:w="5528" w:type="dxa"/>
          </w:tcPr>
          <w:p w14:paraId="2DDEF805" w14:textId="2F98F0F9" w:rsidR="009F40F1" w:rsidRPr="00B430A0" w:rsidRDefault="00C56D6B" w:rsidP="009F40F1">
            <w:pPr>
              <w:spacing w:beforeLines="40" w:before="96" w:afterLines="40" w:after="96" w:line="24" w:lineRule="atLeast"/>
              <w:rPr>
                <w:rFonts w:ascii="Times New Roman" w:eastAsia="Times New Roman" w:hAnsi="Times New Roman" w:cs="Times New Roman"/>
                <w:sz w:val="18"/>
                <w:szCs w:val="18"/>
                <w:lang w:eastAsia="en-GB"/>
              </w:rPr>
            </w:pPr>
            <w:r w:rsidRPr="00AC6B9E">
              <w:rPr>
                <w:rFonts w:ascii="Times New Roman" w:eastAsia="Times New Roman" w:hAnsi="Times New Roman" w:cs="Times New Roman"/>
                <w:bCs/>
                <w:sz w:val="18"/>
                <w:szCs w:val="18"/>
                <w:lang w:val="en-AU" w:eastAsia="en-GB"/>
              </w:rPr>
              <w:t xml:space="preserve">The MR-Egger intercept test for this analysis revealed no evidence of horizontal pleiotropy, as the intercept remained close to zero with no significant deviation (Supplementary Table 7). Similarly, we did not detect any significant heterogeneity (Supplementary Table 7). </w:t>
            </w:r>
          </w:p>
        </w:tc>
        <w:tc>
          <w:tcPr>
            <w:tcW w:w="710" w:type="dxa"/>
          </w:tcPr>
          <w:p w14:paraId="205C4ED8" w14:textId="63F010DC" w:rsidR="009F40F1" w:rsidRPr="00B430A0" w:rsidRDefault="00E50673" w:rsidP="009F40F1">
            <w:pPr>
              <w:spacing w:beforeLines="40" w:before="96" w:afterLines="40" w:after="96" w:line="24" w:lineRule="atLeast"/>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1</w:t>
            </w:r>
            <w:r w:rsidR="00C56D6B">
              <w:rPr>
                <w:rFonts w:ascii="Times New Roman" w:eastAsiaTheme="minorEastAsia" w:hAnsi="Times New Roman" w:cs="Times New Roman"/>
                <w:sz w:val="18"/>
                <w:szCs w:val="18"/>
                <w:lang w:eastAsia="zh-CN"/>
              </w:rPr>
              <w:t>3</w:t>
            </w:r>
          </w:p>
        </w:tc>
      </w:tr>
      <w:tr w:rsidR="009F40F1" w:rsidRPr="00B430A0" w14:paraId="23F1C43D" w14:textId="6396118D" w:rsidTr="009F40F1">
        <w:tc>
          <w:tcPr>
            <w:tcW w:w="587" w:type="dxa"/>
          </w:tcPr>
          <w:p w14:paraId="021A9BB4" w14:textId="77777777" w:rsidR="009F40F1" w:rsidRPr="00B430A0" w:rsidRDefault="009F40F1" w:rsidP="009F40F1">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13</w:t>
            </w:r>
          </w:p>
        </w:tc>
        <w:tc>
          <w:tcPr>
            <w:tcW w:w="968" w:type="dxa"/>
          </w:tcPr>
          <w:p w14:paraId="51D3F02D" w14:textId="77777777" w:rsidR="009F40F1" w:rsidRPr="00B430A0" w:rsidRDefault="009F40F1" w:rsidP="009F40F1">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Sensitivity analyses and additional analyses</w:t>
            </w:r>
          </w:p>
        </w:tc>
        <w:tc>
          <w:tcPr>
            <w:tcW w:w="2126" w:type="dxa"/>
          </w:tcPr>
          <w:p w14:paraId="4AB1D97F"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4678" w:type="dxa"/>
          </w:tcPr>
          <w:p w14:paraId="50481D19"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5528" w:type="dxa"/>
          </w:tcPr>
          <w:p w14:paraId="726571DC" w14:textId="77777777"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c>
          <w:tcPr>
            <w:tcW w:w="710" w:type="dxa"/>
          </w:tcPr>
          <w:p w14:paraId="0F2C43F0" w14:textId="602123C0" w:rsidR="009F40F1" w:rsidRPr="00B430A0" w:rsidRDefault="009F40F1" w:rsidP="009F40F1">
            <w:pPr>
              <w:spacing w:beforeLines="40" w:before="96" w:afterLines="40" w:after="96" w:line="24" w:lineRule="atLeast"/>
              <w:rPr>
                <w:rFonts w:ascii="Times New Roman" w:eastAsia="Cambria" w:hAnsi="Times New Roman" w:cs="Times New Roman"/>
                <w:sz w:val="18"/>
                <w:szCs w:val="18"/>
                <w:lang w:val="en-GB" w:eastAsia="en-US"/>
              </w:rPr>
            </w:pPr>
          </w:p>
        </w:tc>
      </w:tr>
      <w:tr w:rsidR="00E50673" w:rsidRPr="00B430A0" w14:paraId="1ABE2F1D" w14:textId="316B0F58" w:rsidTr="009F40F1">
        <w:tc>
          <w:tcPr>
            <w:tcW w:w="587" w:type="dxa"/>
          </w:tcPr>
          <w:p w14:paraId="0D022F9B" w14:textId="77777777" w:rsidR="00E50673" w:rsidRPr="00B430A0" w:rsidRDefault="00E50673" w:rsidP="00E50673">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27E8FFD0" w14:textId="77777777" w:rsidR="00E50673" w:rsidRPr="00B430A0" w:rsidRDefault="00E50673" w:rsidP="00E50673">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a)</w:t>
            </w:r>
          </w:p>
        </w:tc>
        <w:tc>
          <w:tcPr>
            <w:tcW w:w="2126" w:type="dxa"/>
          </w:tcPr>
          <w:p w14:paraId="30AA9260" w14:textId="77777777" w:rsidR="00E50673" w:rsidRPr="00B430A0" w:rsidRDefault="00E50673" w:rsidP="00E50673">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Report any sensitivity analyses to assess the robustness of the main results to violations of the assumptions</w:t>
            </w:r>
          </w:p>
        </w:tc>
        <w:tc>
          <w:tcPr>
            <w:tcW w:w="4678" w:type="dxa"/>
          </w:tcPr>
          <w:p w14:paraId="5DFEC5F0" w14:textId="77777777" w:rsidR="009E2C47" w:rsidRDefault="009E2C47" w:rsidP="009E2C47">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We carried out various tests including horizontal pleiotropy and heterogeneity assessment. Additional details are provided in Supplementary Table 7</w:t>
            </w:r>
          </w:p>
          <w:p w14:paraId="11FC7536" w14:textId="77777777" w:rsidR="009E2C47" w:rsidRDefault="009E2C47" w:rsidP="009E2C47">
            <w:pPr>
              <w:spacing w:beforeLines="40" w:before="96" w:afterLines="40" w:after="96" w:line="24" w:lineRule="atLeast"/>
              <w:rPr>
                <w:rFonts w:ascii="Times New Roman" w:eastAsiaTheme="minorEastAsia" w:hAnsi="Times New Roman" w:cs="Times New Roman"/>
                <w:sz w:val="18"/>
                <w:szCs w:val="18"/>
                <w:lang w:val="en-GB" w:eastAsia="zh-CN"/>
              </w:rPr>
            </w:pPr>
          </w:p>
          <w:p w14:paraId="39DB2F0E" w14:textId="1D29571C" w:rsidR="00E50673" w:rsidRPr="00B430A0" w:rsidRDefault="009E2C47" w:rsidP="009E2C47">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heme="minorEastAsia" w:hAnsi="Times New Roman" w:cs="Times New Roman"/>
                <w:sz w:val="18"/>
                <w:szCs w:val="18"/>
                <w:lang w:val="en-GB" w:eastAsia="zh-CN"/>
              </w:rPr>
              <w:t>We used other methods of MR analysis including MR-PRESSO</w:t>
            </w:r>
          </w:p>
        </w:tc>
        <w:tc>
          <w:tcPr>
            <w:tcW w:w="5528" w:type="dxa"/>
          </w:tcPr>
          <w:p w14:paraId="5A85CF12" w14:textId="68114D4B" w:rsidR="00E50673" w:rsidRPr="00B430A0" w:rsidRDefault="009E2C47" w:rsidP="00E50673">
            <w:pPr>
              <w:spacing w:beforeLines="40" w:before="96" w:afterLines="40" w:after="96" w:line="24" w:lineRule="atLeast"/>
              <w:rPr>
                <w:rFonts w:ascii="Times New Roman" w:eastAsia="Times New Roman" w:hAnsi="Times New Roman" w:cs="Times New Roman"/>
                <w:sz w:val="18"/>
                <w:szCs w:val="18"/>
                <w:lang w:eastAsia="en-GB"/>
              </w:rPr>
            </w:pPr>
            <w:r w:rsidRPr="00AC6B9E">
              <w:rPr>
                <w:rFonts w:ascii="Times New Roman" w:eastAsia="Times New Roman" w:hAnsi="Times New Roman" w:cs="Times New Roman"/>
                <w:bCs/>
                <w:sz w:val="18"/>
                <w:szCs w:val="18"/>
                <w:lang w:val="en-AU" w:eastAsia="en-GB"/>
              </w:rPr>
              <w:t xml:space="preserve">The MR-Egger intercept test for this analysis revealed no evidence of horizontal pleiotropy, as the intercept remained close to zero with no significant deviation (Supplementary Table 7). Similarly, we did not detect any significant heterogeneity (Supplementary Table 7). </w:t>
            </w:r>
          </w:p>
        </w:tc>
        <w:tc>
          <w:tcPr>
            <w:tcW w:w="710" w:type="dxa"/>
          </w:tcPr>
          <w:p w14:paraId="73386906" w14:textId="36B5266E" w:rsidR="00E50673" w:rsidRPr="00B430A0" w:rsidRDefault="00E50673" w:rsidP="00E50673">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heme="minorEastAsia" w:hAnsi="Times New Roman" w:cs="Times New Roman"/>
                <w:sz w:val="18"/>
                <w:szCs w:val="18"/>
                <w:lang w:eastAsia="zh-CN"/>
              </w:rPr>
              <w:t>1</w:t>
            </w:r>
            <w:r w:rsidR="009E2C47">
              <w:rPr>
                <w:rFonts w:ascii="Times New Roman" w:eastAsiaTheme="minorEastAsia" w:hAnsi="Times New Roman" w:cs="Times New Roman"/>
                <w:sz w:val="18"/>
                <w:szCs w:val="18"/>
                <w:lang w:eastAsia="zh-CN"/>
              </w:rPr>
              <w:t>3</w:t>
            </w:r>
          </w:p>
        </w:tc>
      </w:tr>
      <w:tr w:rsidR="006F0CF4" w:rsidRPr="00B430A0" w14:paraId="3696A9F1" w14:textId="63B96DDA" w:rsidTr="009F40F1">
        <w:tc>
          <w:tcPr>
            <w:tcW w:w="587" w:type="dxa"/>
          </w:tcPr>
          <w:p w14:paraId="0D2234E5" w14:textId="77777777" w:rsidR="006F0CF4" w:rsidRPr="00B430A0" w:rsidRDefault="006F0CF4" w:rsidP="006F0CF4">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7453E1FF" w14:textId="77777777" w:rsidR="006F0CF4" w:rsidRPr="00B430A0" w:rsidRDefault="006F0CF4" w:rsidP="006F0CF4">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b)</w:t>
            </w:r>
          </w:p>
        </w:tc>
        <w:tc>
          <w:tcPr>
            <w:tcW w:w="2126" w:type="dxa"/>
          </w:tcPr>
          <w:p w14:paraId="5111E54D" w14:textId="77777777" w:rsidR="006F0CF4" w:rsidRPr="00B430A0" w:rsidRDefault="006F0CF4" w:rsidP="006F0CF4">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Report results from other sensitivity analyses or additional analyses</w:t>
            </w:r>
          </w:p>
        </w:tc>
        <w:tc>
          <w:tcPr>
            <w:tcW w:w="4678" w:type="dxa"/>
          </w:tcPr>
          <w:p w14:paraId="447F5BF5" w14:textId="64EACA28" w:rsidR="007F3257" w:rsidRPr="00B430A0" w:rsidRDefault="000B119C" w:rsidP="006F0CF4">
            <w:pPr>
              <w:spacing w:beforeLines="40" w:before="96" w:afterLines="40" w:after="96" w:line="24" w:lineRule="atLeast"/>
              <w:rPr>
                <w:rFonts w:ascii="Times New Roman" w:eastAsiaTheme="minorEastAsia" w:hAnsi="Times New Roman" w:cs="Times New Roman"/>
                <w:sz w:val="18"/>
                <w:szCs w:val="18"/>
                <w:lang w:val="en-GB" w:eastAsia="zh-CN"/>
              </w:rPr>
            </w:pPr>
            <w:r w:rsidRPr="000B119C">
              <w:rPr>
                <w:rFonts w:ascii="Times New Roman" w:eastAsiaTheme="minorEastAsia" w:hAnsi="Times New Roman" w:cs="Times New Roman"/>
                <w:sz w:val="18"/>
                <w:szCs w:val="18"/>
                <w:lang w:val="en-AU" w:eastAsia="zh-CN"/>
              </w:rPr>
              <w:t xml:space="preserve">We conducted a range of sensitivity and additional analyses to ensure the robustness of our MR findings. These included complementary MR methods (weighted median, MR-Egger), pleiotropy-robust analyses (MR-PRESSO, HEIDI outlier test in GSMR), heterogeneity assessments (Cochran’s Q, leave-one-out analyses), and replication using an independent AD GWAS (Lambert et al). Additionally, we explored the impact </w:t>
            </w:r>
            <w:r w:rsidRPr="000B119C">
              <w:rPr>
                <w:rFonts w:ascii="Times New Roman" w:eastAsiaTheme="minorEastAsia" w:hAnsi="Times New Roman" w:cs="Times New Roman"/>
                <w:sz w:val="18"/>
                <w:szCs w:val="18"/>
                <w:lang w:val="en-AU" w:eastAsia="zh-CN"/>
              </w:rPr>
              <w:lastRenderedPageBreak/>
              <w:t xml:space="preserve">of using suggestive IV thresholds (P &lt; 1×10⁻⁶) to increase instrument strength for </w:t>
            </w:r>
            <w:proofErr w:type="gramStart"/>
            <w:r w:rsidRPr="000B119C">
              <w:rPr>
                <w:rFonts w:ascii="Times New Roman" w:eastAsiaTheme="minorEastAsia" w:hAnsi="Times New Roman" w:cs="Times New Roman"/>
                <w:sz w:val="18"/>
                <w:szCs w:val="18"/>
                <w:lang w:val="en-AU" w:eastAsia="zh-CN"/>
              </w:rPr>
              <w:t>MG, and</w:t>
            </w:r>
            <w:proofErr w:type="gramEnd"/>
            <w:r w:rsidRPr="000B119C">
              <w:rPr>
                <w:rFonts w:ascii="Times New Roman" w:eastAsiaTheme="minorEastAsia" w:hAnsi="Times New Roman" w:cs="Times New Roman"/>
                <w:sz w:val="18"/>
                <w:szCs w:val="18"/>
                <w:lang w:val="en-AU" w:eastAsia="zh-CN"/>
              </w:rPr>
              <w:t xml:space="preserve"> performed bi-directional GSMR analyses. Across these analyses, the effect of AD on MG remained null, while the effect of MG on AD was weak but statistically significant in some models, with no evidence of horizontal pleiotropy or heterogeneity, supporting the robustness of the observed associations.</w:t>
            </w:r>
          </w:p>
        </w:tc>
        <w:tc>
          <w:tcPr>
            <w:tcW w:w="5528" w:type="dxa"/>
          </w:tcPr>
          <w:p w14:paraId="063A13C4" w14:textId="77777777" w:rsidR="000B6410" w:rsidRPr="000B6410" w:rsidRDefault="000B6410" w:rsidP="000B6410">
            <w:pPr>
              <w:spacing w:beforeLines="40" w:before="96" w:afterLines="40" w:after="96" w:line="24" w:lineRule="atLeast"/>
              <w:rPr>
                <w:rFonts w:ascii="Times New Roman" w:eastAsiaTheme="minorEastAsia" w:hAnsi="Times New Roman" w:cs="Times New Roman"/>
                <w:sz w:val="18"/>
                <w:szCs w:val="18"/>
                <w:lang w:val="en-AU" w:eastAsia="zh-CN"/>
              </w:rPr>
            </w:pPr>
            <w:r w:rsidRPr="000B6410">
              <w:rPr>
                <w:rFonts w:ascii="Times New Roman" w:eastAsiaTheme="minorEastAsia" w:hAnsi="Times New Roman" w:cs="Times New Roman"/>
                <w:sz w:val="18"/>
                <w:szCs w:val="18"/>
                <w:lang w:val="en-AU" w:eastAsia="zh-CN"/>
              </w:rPr>
              <w:lastRenderedPageBreak/>
              <w:t>Complementary MR methods and pleiotropy check:</w:t>
            </w:r>
          </w:p>
          <w:p w14:paraId="28FD76E9" w14:textId="5E4E4CA6" w:rsidR="000B6410" w:rsidRPr="000B6410" w:rsidRDefault="000B6410" w:rsidP="000B6410">
            <w:pPr>
              <w:spacing w:beforeLines="40" w:before="96" w:afterLines="40" w:after="96" w:line="24" w:lineRule="atLeast"/>
              <w:rPr>
                <w:rFonts w:ascii="Times New Roman" w:eastAsiaTheme="minorEastAsia" w:hAnsi="Times New Roman" w:cs="Times New Roman"/>
                <w:sz w:val="18"/>
                <w:szCs w:val="18"/>
                <w:lang w:val="en-AU" w:eastAsia="zh-CN"/>
              </w:rPr>
            </w:pPr>
            <w:r>
              <w:rPr>
                <w:rFonts w:ascii="Times New Roman" w:eastAsiaTheme="minorEastAsia" w:hAnsi="Times New Roman" w:cs="Times New Roman"/>
                <w:sz w:val="18"/>
                <w:szCs w:val="18"/>
                <w:lang w:val="en-AU" w:eastAsia="zh-CN"/>
              </w:rPr>
              <w:t>‘</w:t>
            </w:r>
            <w:r w:rsidRPr="000B6410">
              <w:rPr>
                <w:rFonts w:ascii="Times New Roman" w:eastAsiaTheme="minorEastAsia" w:hAnsi="Times New Roman" w:cs="Times New Roman"/>
                <w:sz w:val="18"/>
                <w:szCs w:val="18"/>
                <w:lang w:val="en-AU" w:eastAsia="zh-CN"/>
              </w:rPr>
              <w:t>The primary model (IVW) produced an odds ratio (OR) of 0.83 … similar null results were obtained with the weighted median (OR = 0.83 …) and MR Egger (OR = 0.86 …) methods. MR-PRESSO result supported these findings.</w:t>
            </w:r>
            <w:r>
              <w:rPr>
                <w:rFonts w:ascii="Times New Roman" w:eastAsiaTheme="minorEastAsia" w:hAnsi="Times New Roman" w:cs="Times New Roman"/>
                <w:sz w:val="18"/>
                <w:szCs w:val="18"/>
                <w:lang w:val="en-AU" w:eastAsia="zh-CN"/>
              </w:rPr>
              <w:t>’</w:t>
            </w:r>
          </w:p>
          <w:p w14:paraId="68EE2088" w14:textId="000F945C" w:rsidR="000B6410" w:rsidRPr="000B6410" w:rsidRDefault="000B6410" w:rsidP="000B6410">
            <w:pPr>
              <w:spacing w:beforeLines="40" w:before="96" w:afterLines="40" w:after="96" w:line="24" w:lineRule="atLeast"/>
              <w:rPr>
                <w:rFonts w:ascii="Times New Roman" w:eastAsiaTheme="minorEastAsia" w:hAnsi="Times New Roman" w:cs="Times New Roman"/>
                <w:sz w:val="18"/>
                <w:szCs w:val="18"/>
                <w:lang w:val="en-AU" w:eastAsia="zh-CN"/>
              </w:rPr>
            </w:pPr>
            <w:r w:rsidRPr="000B6410">
              <w:rPr>
                <w:rFonts w:ascii="Times New Roman" w:eastAsiaTheme="minorEastAsia" w:hAnsi="Times New Roman" w:cs="Times New Roman"/>
                <w:sz w:val="18"/>
                <w:szCs w:val="18"/>
                <w:lang w:val="en-AU" w:eastAsia="zh-CN"/>
              </w:rPr>
              <w:t xml:space="preserve">Replication using </w:t>
            </w:r>
            <w:r w:rsidR="004621BF">
              <w:rPr>
                <w:rFonts w:ascii="Times New Roman" w:eastAsiaTheme="minorEastAsia" w:hAnsi="Times New Roman" w:cs="Times New Roman"/>
                <w:sz w:val="18"/>
                <w:szCs w:val="18"/>
                <w:lang w:val="en-AU" w:eastAsia="zh-CN"/>
              </w:rPr>
              <w:t xml:space="preserve">an </w:t>
            </w:r>
            <w:r w:rsidRPr="000B6410">
              <w:rPr>
                <w:rFonts w:ascii="Times New Roman" w:eastAsiaTheme="minorEastAsia" w:hAnsi="Times New Roman" w:cs="Times New Roman"/>
                <w:sz w:val="18"/>
                <w:szCs w:val="18"/>
                <w:lang w:val="en-AU" w:eastAsia="zh-CN"/>
              </w:rPr>
              <w:t>independent dataset:</w:t>
            </w:r>
          </w:p>
          <w:p w14:paraId="77E33623" w14:textId="6FDC9EBD" w:rsidR="000B6410" w:rsidRPr="000B6410" w:rsidRDefault="004621BF" w:rsidP="000B6410">
            <w:pPr>
              <w:spacing w:beforeLines="40" w:before="96" w:afterLines="40" w:after="96" w:line="24" w:lineRule="atLeast"/>
              <w:rPr>
                <w:rFonts w:ascii="Times New Roman" w:eastAsiaTheme="minorEastAsia" w:hAnsi="Times New Roman" w:cs="Times New Roman"/>
                <w:sz w:val="18"/>
                <w:szCs w:val="18"/>
                <w:lang w:val="en-AU" w:eastAsia="zh-CN"/>
              </w:rPr>
            </w:pPr>
            <w:r>
              <w:rPr>
                <w:rFonts w:ascii="Times New Roman" w:eastAsiaTheme="minorEastAsia" w:hAnsi="Times New Roman" w:cs="Times New Roman"/>
                <w:sz w:val="18"/>
                <w:szCs w:val="18"/>
                <w:lang w:val="en-AU" w:eastAsia="zh-CN"/>
              </w:rPr>
              <w:lastRenderedPageBreak/>
              <w:t>‘</w:t>
            </w:r>
            <w:r w:rsidR="000B6410" w:rsidRPr="000B6410">
              <w:rPr>
                <w:rFonts w:ascii="Times New Roman" w:eastAsiaTheme="minorEastAsia" w:hAnsi="Times New Roman" w:cs="Times New Roman"/>
                <w:sz w:val="18"/>
                <w:szCs w:val="18"/>
                <w:lang w:val="en-AU" w:eastAsia="zh-CN"/>
              </w:rPr>
              <w:t>Parallel analyses using another AD GWAS (from Lambert et al, for potential [partial] replication) yielded concordant null effects (IVW: OR = 1.02 …), suggesting no evidence that AD exerts a causal influence on MG.</w:t>
            </w:r>
            <w:r w:rsidR="00671DC7">
              <w:rPr>
                <w:rFonts w:ascii="Times New Roman" w:eastAsiaTheme="minorEastAsia" w:hAnsi="Times New Roman" w:cs="Times New Roman"/>
                <w:sz w:val="18"/>
                <w:szCs w:val="18"/>
                <w:lang w:val="en-AU" w:eastAsia="zh-CN"/>
              </w:rPr>
              <w:t>’</w:t>
            </w:r>
          </w:p>
          <w:p w14:paraId="62A0E528" w14:textId="77777777" w:rsidR="000B6410" w:rsidRPr="000B6410" w:rsidRDefault="000B6410" w:rsidP="000B6410">
            <w:pPr>
              <w:spacing w:beforeLines="40" w:before="96" w:afterLines="40" w:after="96" w:line="24" w:lineRule="atLeast"/>
              <w:rPr>
                <w:rFonts w:ascii="Times New Roman" w:eastAsiaTheme="minorEastAsia" w:hAnsi="Times New Roman" w:cs="Times New Roman"/>
                <w:sz w:val="18"/>
                <w:szCs w:val="18"/>
                <w:lang w:val="en-AU" w:eastAsia="zh-CN"/>
              </w:rPr>
            </w:pPr>
          </w:p>
          <w:p w14:paraId="518426E4" w14:textId="77777777" w:rsidR="000B6410" w:rsidRPr="000B6410" w:rsidRDefault="000B6410" w:rsidP="000B6410">
            <w:pPr>
              <w:spacing w:beforeLines="40" w:before="96" w:afterLines="40" w:after="96" w:line="24" w:lineRule="atLeast"/>
              <w:rPr>
                <w:rFonts w:ascii="Times New Roman" w:eastAsiaTheme="minorEastAsia" w:hAnsi="Times New Roman" w:cs="Times New Roman"/>
                <w:sz w:val="18"/>
                <w:szCs w:val="18"/>
                <w:lang w:val="en-AU" w:eastAsia="zh-CN"/>
              </w:rPr>
            </w:pPr>
            <w:r w:rsidRPr="000B6410">
              <w:rPr>
                <w:rFonts w:ascii="Times New Roman" w:eastAsiaTheme="minorEastAsia" w:hAnsi="Times New Roman" w:cs="Times New Roman"/>
                <w:sz w:val="18"/>
                <w:szCs w:val="18"/>
                <w:lang w:val="en-AU" w:eastAsia="zh-CN"/>
              </w:rPr>
              <w:t>Bi-directional GSMR and pleiotropy assessment:</w:t>
            </w:r>
          </w:p>
          <w:p w14:paraId="5E94E01B" w14:textId="568E245C" w:rsidR="006F0CF4" w:rsidRPr="000B6410" w:rsidRDefault="00671DC7" w:rsidP="000B6410">
            <w:pPr>
              <w:spacing w:beforeLines="40" w:before="96" w:afterLines="40" w:after="96" w:line="24" w:lineRule="atLeast"/>
              <w:rPr>
                <w:rFonts w:ascii="Times New Roman" w:eastAsia="Times New Roman" w:hAnsi="Times New Roman" w:cs="Times New Roman"/>
                <w:sz w:val="18"/>
                <w:szCs w:val="18"/>
                <w:lang w:val="en-AU" w:eastAsia="en-GB"/>
              </w:rPr>
            </w:pPr>
            <w:r>
              <w:rPr>
                <w:rFonts w:ascii="Times New Roman" w:eastAsiaTheme="minorEastAsia" w:hAnsi="Times New Roman" w:cs="Times New Roman"/>
                <w:sz w:val="18"/>
                <w:szCs w:val="18"/>
                <w:lang w:val="en-AU" w:eastAsia="zh-CN"/>
              </w:rPr>
              <w:t>‘</w:t>
            </w:r>
            <w:r w:rsidR="000B6410" w:rsidRPr="000B6410">
              <w:rPr>
                <w:rFonts w:ascii="Times New Roman" w:eastAsiaTheme="minorEastAsia" w:hAnsi="Times New Roman" w:cs="Times New Roman"/>
                <w:sz w:val="18"/>
                <w:szCs w:val="18"/>
                <w:lang w:val="en-AU" w:eastAsia="zh-CN"/>
              </w:rPr>
              <w:t>We performed further assessment using the bi-directional GSMR approach, in which IVs were selected at both genome-wide (P &lt; 5 × 10⁻⁸) and suggestive (P &lt; 1 × 10⁻⁶) thresholds … with no evidence of horizontal pleiotropy (HEIDI test P = 0.98). In contrast, we found no evidence of a causal effect of AD on MG in either direction.</w:t>
            </w:r>
            <w:r>
              <w:rPr>
                <w:rFonts w:ascii="Times New Roman" w:eastAsiaTheme="minorEastAsia" w:hAnsi="Times New Roman" w:cs="Times New Roman"/>
                <w:sz w:val="18"/>
                <w:szCs w:val="18"/>
                <w:lang w:val="en-AU" w:eastAsia="zh-CN"/>
              </w:rPr>
              <w:t>’</w:t>
            </w:r>
          </w:p>
        </w:tc>
        <w:tc>
          <w:tcPr>
            <w:tcW w:w="710" w:type="dxa"/>
          </w:tcPr>
          <w:p w14:paraId="5BB83735" w14:textId="742E2247" w:rsidR="006F0CF4" w:rsidRPr="00B430A0" w:rsidRDefault="00206E04" w:rsidP="006F0CF4">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lastRenderedPageBreak/>
              <w:t>1</w:t>
            </w:r>
            <w:r w:rsidR="004621BF">
              <w:rPr>
                <w:rFonts w:ascii="Times New Roman" w:eastAsia="Times New Roman" w:hAnsi="Times New Roman" w:cs="Times New Roman"/>
                <w:sz w:val="18"/>
                <w:szCs w:val="18"/>
                <w:lang w:eastAsia="en-GB"/>
              </w:rPr>
              <w:t xml:space="preserve">2 – 14 </w:t>
            </w:r>
            <w:r w:rsidR="007B7CE1">
              <w:rPr>
                <w:rFonts w:ascii="Times New Roman" w:eastAsia="Times New Roman" w:hAnsi="Times New Roman" w:cs="Times New Roman"/>
                <w:sz w:val="18"/>
                <w:szCs w:val="18"/>
                <w:lang w:eastAsia="en-GB"/>
              </w:rPr>
              <w:t xml:space="preserve"> </w:t>
            </w:r>
          </w:p>
        </w:tc>
      </w:tr>
      <w:tr w:rsidR="005334AE" w:rsidRPr="00B430A0" w14:paraId="1650BAB8" w14:textId="79D11DE7" w:rsidTr="009F40F1">
        <w:tc>
          <w:tcPr>
            <w:tcW w:w="587" w:type="dxa"/>
          </w:tcPr>
          <w:p w14:paraId="4D025CC4" w14:textId="77777777" w:rsidR="005334AE" w:rsidRPr="00B430A0" w:rsidRDefault="005334AE" w:rsidP="005334AE">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6EAD995A" w14:textId="77777777" w:rsidR="005334AE" w:rsidRPr="00B430A0" w:rsidRDefault="005334AE" w:rsidP="005334AE">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c)</w:t>
            </w:r>
          </w:p>
        </w:tc>
        <w:tc>
          <w:tcPr>
            <w:tcW w:w="2126" w:type="dxa"/>
          </w:tcPr>
          <w:p w14:paraId="14E0FCD9" w14:textId="77777777" w:rsidR="005334AE" w:rsidRPr="00B430A0" w:rsidRDefault="005334AE" w:rsidP="005334AE">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Report any assessment of direction of causal relationship (e.g., bidirectional MR)</w:t>
            </w:r>
          </w:p>
        </w:tc>
        <w:tc>
          <w:tcPr>
            <w:tcW w:w="4678" w:type="dxa"/>
          </w:tcPr>
          <w:p w14:paraId="03D1A085" w14:textId="011147D8" w:rsidR="005334AE" w:rsidRPr="00B430A0" w:rsidRDefault="00A854BC" w:rsidP="005334AE">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W</w:t>
            </w:r>
            <w:r w:rsidRPr="00A854BC">
              <w:rPr>
                <w:rFonts w:ascii="Times New Roman" w:eastAsiaTheme="minorEastAsia" w:hAnsi="Times New Roman" w:cs="Times New Roman"/>
                <w:sz w:val="18"/>
                <w:szCs w:val="18"/>
                <w:lang w:val="en-GB" w:eastAsia="zh-CN"/>
              </w:rPr>
              <w:t>e conducted bidirectional MR analyses to assess the causal relationship in both directions between AD and MG. The effect of AD on MG was null across all MR methods, while the effect of MG on AD showed a weak but statistically significant association in some models, supporting a possible causal influence from MG to AD</w:t>
            </w:r>
          </w:p>
        </w:tc>
        <w:tc>
          <w:tcPr>
            <w:tcW w:w="5528" w:type="dxa"/>
          </w:tcPr>
          <w:p w14:paraId="778ED270" w14:textId="45035DE2" w:rsidR="005334AE" w:rsidRPr="00657EE1" w:rsidRDefault="00D1765E" w:rsidP="005334AE">
            <w:pPr>
              <w:spacing w:beforeLines="40" w:before="96" w:afterLines="40" w:after="96" w:line="24" w:lineRule="atLeast"/>
              <w:rPr>
                <w:rFonts w:ascii="Times New Roman" w:eastAsiaTheme="minorEastAsia" w:hAnsi="Times New Roman" w:cs="Times New Roman"/>
                <w:sz w:val="18"/>
                <w:szCs w:val="18"/>
                <w:lang w:val="en-AU" w:eastAsia="zh-CN"/>
              </w:rPr>
            </w:pPr>
            <w:r w:rsidRPr="00D1765E">
              <w:rPr>
                <w:rFonts w:ascii="Times New Roman" w:eastAsiaTheme="minorEastAsia" w:hAnsi="Times New Roman" w:cs="Times New Roman"/>
                <w:sz w:val="18"/>
                <w:szCs w:val="18"/>
                <w:lang w:val="en-AU" w:eastAsia="zh-CN"/>
              </w:rPr>
              <w:t>We assessed the bidirectional causal relationships between AD and MG using the MR approach. … We first assessed the effect of AD on MG and found no evidence of a causal influence. Conversely, when we examined the reverse relationship—the effect of MG on AD—the IVW model revealed a weak yet statistically significant causal effect (OR = 1.013, 95% CI: 1.004–1.021, P = 2.67 × 10⁻³).</w:t>
            </w:r>
          </w:p>
        </w:tc>
        <w:tc>
          <w:tcPr>
            <w:tcW w:w="710" w:type="dxa"/>
          </w:tcPr>
          <w:p w14:paraId="66751F07" w14:textId="6BA7768F" w:rsidR="005334AE" w:rsidRPr="00B430A0" w:rsidRDefault="005334AE" w:rsidP="005334AE">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1</w:t>
            </w:r>
            <w:r w:rsidR="00D1765E">
              <w:rPr>
                <w:rFonts w:ascii="Times New Roman" w:eastAsia="Times New Roman" w:hAnsi="Times New Roman" w:cs="Times New Roman"/>
                <w:sz w:val="18"/>
                <w:szCs w:val="18"/>
                <w:lang w:val="en-GB" w:eastAsia="en-GB"/>
              </w:rPr>
              <w:t>3</w:t>
            </w:r>
          </w:p>
        </w:tc>
      </w:tr>
      <w:tr w:rsidR="006F0CF4" w:rsidRPr="00B430A0" w14:paraId="2034ACF7" w14:textId="19A8CB33" w:rsidTr="00567EC0">
        <w:tc>
          <w:tcPr>
            <w:tcW w:w="587" w:type="dxa"/>
          </w:tcPr>
          <w:p w14:paraId="3217ECED" w14:textId="77777777" w:rsidR="006F0CF4" w:rsidRPr="00B430A0" w:rsidRDefault="006F0CF4" w:rsidP="006F0CF4">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5AE90FE5" w14:textId="77777777" w:rsidR="006F0CF4" w:rsidRPr="00B430A0" w:rsidRDefault="006F0CF4" w:rsidP="006F0CF4">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d)</w:t>
            </w:r>
          </w:p>
        </w:tc>
        <w:tc>
          <w:tcPr>
            <w:tcW w:w="2126" w:type="dxa"/>
          </w:tcPr>
          <w:p w14:paraId="3A13AF31" w14:textId="77777777" w:rsidR="006F0CF4" w:rsidRPr="00B430A0" w:rsidRDefault="006F0CF4" w:rsidP="006F0CF4">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When relevant, report and compare with estimates from non-MR analyses</w:t>
            </w:r>
          </w:p>
        </w:tc>
        <w:tc>
          <w:tcPr>
            <w:tcW w:w="4678" w:type="dxa"/>
          </w:tcPr>
          <w:p w14:paraId="528F9F4C" w14:textId="0518EA02" w:rsidR="006F0CF4" w:rsidRPr="00B430A0" w:rsidRDefault="0001099D" w:rsidP="006F0CF4">
            <w:pPr>
              <w:spacing w:beforeLines="40" w:before="96" w:afterLines="40" w:after="96" w:line="24" w:lineRule="atLeast"/>
              <w:rPr>
                <w:rFonts w:ascii="Times New Roman" w:eastAsiaTheme="minorEastAsia" w:hAnsi="Times New Roman" w:cs="Times New Roman"/>
                <w:sz w:val="18"/>
                <w:szCs w:val="18"/>
                <w:lang w:val="en-GB" w:eastAsia="zh-CN"/>
              </w:rPr>
            </w:pPr>
            <w:r w:rsidRPr="0001099D">
              <w:rPr>
                <w:rFonts w:ascii="Times New Roman" w:eastAsiaTheme="minorEastAsia" w:hAnsi="Times New Roman" w:cs="Times New Roman"/>
                <w:sz w:val="18"/>
                <w:szCs w:val="18"/>
                <w:lang w:eastAsia="zh-CN"/>
              </w:rPr>
              <w:t xml:space="preserve">Our study employed multiple complementary methods, including bidirectional MR, GSMR, and GWAS-PW </w:t>
            </w:r>
            <w:proofErr w:type="spellStart"/>
            <w:r w:rsidRPr="0001099D">
              <w:rPr>
                <w:rFonts w:ascii="Times New Roman" w:eastAsiaTheme="minorEastAsia" w:hAnsi="Times New Roman" w:cs="Times New Roman"/>
                <w:sz w:val="18"/>
                <w:szCs w:val="18"/>
                <w:lang w:eastAsia="zh-CN"/>
              </w:rPr>
              <w:t>colocalisation</w:t>
            </w:r>
            <w:proofErr w:type="spellEnd"/>
            <w:r w:rsidRPr="0001099D">
              <w:rPr>
                <w:rFonts w:ascii="Times New Roman" w:eastAsiaTheme="minorEastAsia" w:hAnsi="Times New Roman" w:cs="Times New Roman"/>
                <w:sz w:val="18"/>
                <w:szCs w:val="18"/>
                <w:lang w:eastAsia="zh-CN"/>
              </w:rPr>
              <w:t>, to provide holistic insights into the genetic links and potential causal relationships between AD and MG.</w:t>
            </w:r>
          </w:p>
        </w:tc>
        <w:tc>
          <w:tcPr>
            <w:tcW w:w="5528" w:type="dxa"/>
          </w:tcPr>
          <w:p w14:paraId="678454CC" w14:textId="5B2DE4CE" w:rsidR="006F0CF4" w:rsidRPr="00B430A0" w:rsidRDefault="00B83659" w:rsidP="006F0CF4">
            <w:pPr>
              <w:spacing w:beforeLines="40" w:before="96" w:afterLines="40" w:after="96" w:line="24" w:lineRule="atLeast"/>
              <w:rPr>
                <w:rFonts w:ascii="Times New Roman" w:eastAsia="Times New Roman" w:hAnsi="Times New Roman" w:cs="Times New Roman"/>
                <w:sz w:val="18"/>
                <w:szCs w:val="18"/>
                <w:lang w:val="en-GB" w:eastAsia="en-GB"/>
              </w:rPr>
            </w:pPr>
            <w:r w:rsidRPr="00B83659">
              <w:rPr>
                <w:rFonts w:ascii="Times New Roman" w:eastAsia="Times New Roman" w:hAnsi="Times New Roman" w:cs="Times New Roman"/>
                <w:sz w:val="18"/>
                <w:szCs w:val="18"/>
                <w:lang w:val="en-AU" w:eastAsia="en-GB"/>
              </w:rPr>
              <w:t xml:space="preserve">We employ well-established and robust analytical approaches to investigate the genetic links between AD and MG (Figure 1). </w:t>
            </w:r>
          </w:p>
        </w:tc>
        <w:tc>
          <w:tcPr>
            <w:tcW w:w="710" w:type="dxa"/>
          </w:tcPr>
          <w:p w14:paraId="39420FC1" w14:textId="77777777" w:rsidR="006F0CF4" w:rsidRDefault="006F0CF4" w:rsidP="006F0CF4">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 xml:space="preserve"> </w:t>
            </w:r>
            <w:r w:rsidR="00B83659">
              <w:rPr>
                <w:rFonts w:ascii="Times New Roman" w:eastAsia="Times New Roman" w:hAnsi="Times New Roman" w:cs="Times New Roman"/>
                <w:sz w:val="18"/>
                <w:szCs w:val="18"/>
                <w:lang w:val="en-GB" w:eastAsia="en-GB"/>
              </w:rPr>
              <w:t>4</w:t>
            </w:r>
          </w:p>
          <w:p w14:paraId="7B882C5B" w14:textId="7B3ED6A6" w:rsidR="00B83659" w:rsidRPr="00B430A0" w:rsidRDefault="00B83659" w:rsidP="006F0CF4">
            <w:pPr>
              <w:spacing w:beforeLines="40" w:before="96" w:afterLines="40" w:after="96" w:line="24" w:lineRule="atLeast"/>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 xml:space="preserve">Figure </w:t>
            </w:r>
            <w:r w:rsidR="00A07FF4">
              <w:rPr>
                <w:rFonts w:ascii="Times New Roman" w:eastAsia="Times New Roman" w:hAnsi="Times New Roman" w:cs="Times New Roman"/>
                <w:sz w:val="18"/>
                <w:szCs w:val="18"/>
                <w:lang w:val="en-GB" w:eastAsia="en-GB"/>
              </w:rPr>
              <w:t>1</w:t>
            </w:r>
          </w:p>
        </w:tc>
      </w:tr>
      <w:tr w:rsidR="006F0CF4" w:rsidRPr="00B430A0" w14:paraId="3E7CFBFC" w14:textId="3F99A047" w:rsidTr="00567EC0">
        <w:tc>
          <w:tcPr>
            <w:tcW w:w="587" w:type="dxa"/>
          </w:tcPr>
          <w:p w14:paraId="1FDC421F" w14:textId="77777777" w:rsidR="006F0CF4" w:rsidRPr="00B430A0" w:rsidRDefault="006F0CF4" w:rsidP="006F0CF4">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5FE15030" w14:textId="77777777" w:rsidR="006F0CF4" w:rsidRPr="00B430A0" w:rsidRDefault="006F0CF4" w:rsidP="006F0CF4">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e)</w:t>
            </w:r>
          </w:p>
        </w:tc>
        <w:tc>
          <w:tcPr>
            <w:tcW w:w="2126" w:type="dxa"/>
          </w:tcPr>
          <w:p w14:paraId="61CE32BA" w14:textId="77777777" w:rsidR="006F0CF4" w:rsidRPr="00B430A0" w:rsidRDefault="006F0CF4" w:rsidP="006F0CF4">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Consider additional plots to visualize results (e.g., leave-one-out analyses)</w:t>
            </w:r>
          </w:p>
        </w:tc>
        <w:tc>
          <w:tcPr>
            <w:tcW w:w="4678" w:type="dxa"/>
          </w:tcPr>
          <w:p w14:paraId="33892A62" w14:textId="70DAE611" w:rsidR="006F0CF4" w:rsidRPr="00B430A0" w:rsidRDefault="00D556C4" w:rsidP="006F0CF4">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 xml:space="preserve">We used several plots including leave-one-out, funnel and scatter plots in our MR study. </w:t>
            </w:r>
            <w:r w:rsidR="001F2425">
              <w:rPr>
                <w:rFonts w:ascii="Times New Roman" w:eastAsiaTheme="minorEastAsia" w:hAnsi="Times New Roman" w:cs="Times New Roman"/>
                <w:sz w:val="18"/>
                <w:szCs w:val="18"/>
                <w:lang w:val="en-GB" w:eastAsia="zh-CN"/>
              </w:rPr>
              <w:t xml:space="preserve">The </w:t>
            </w:r>
            <w:r w:rsidR="007055ED">
              <w:rPr>
                <w:rFonts w:ascii="Times New Roman" w:eastAsiaTheme="minorEastAsia" w:hAnsi="Times New Roman" w:cs="Times New Roman"/>
                <w:sz w:val="18"/>
                <w:szCs w:val="18"/>
                <w:lang w:val="en-GB" w:eastAsia="zh-CN"/>
              </w:rPr>
              <w:t xml:space="preserve">individual </w:t>
            </w:r>
            <w:r w:rsidR="001F2425">
              <w:rPr>
                <w:rFonts w:ascii="Times New Roman" w:eastAsiaTheme="minorEastAsia" w:hAnsi="Times New Roman" w:cs="Times New Roman"/>
                <w:sz w:val="18"/>
                <w:szCs w:val="18"/>
                <w:lang w:val="en-GB" w:eastAsia="zh-CN"/>
              </w:rPr>
              <w:t xml:space="preserve">plots were not included </w:t>
            </w:r>
            <w:r w:rsidR="007055ED">
              <w:rPr>
                <w:rFonts w:ascii="Times New Roman" w:eastAsiaTheme="minorEastAsia" w:hAnsi="Times New Roman" w:cs="Times New Roman"/>
                <w:sz w:val="18"/>
                <w:szCs w:val="18"/>
                <w:lang w:val="en-GB" w:eastAsia="zh-CN"/>
              </w:rPr>
              <w:t xml:space="preserve">in our </w:t>
            </w:r>
            <w:r w:rsidR="0058494A">
              <w:rPr>
                <w:rFonts w:ascii="Times New Roman" w:eastAsiaTheme="minorEastAsia" w:hAnsi="Times New Roman" w:cs="Times New Roman"/>
                <w:sz w:val="18"/>
                <w:szCs w:val="18"/>
                <w:lang w:val="en-GB" w:eastAsia="zh-CN"/>
              </w:rPr>
              <w:t xml:space="preserve">report, </w:t>
            </w:r>
            <w:r w:rsidR="001F2425">
              <w:rPr>
                <w:rFonts w:ascii="Times New Roman" w:eastAsiaTheme="minorEastAsia" w:hAnsi="Times New Roman" w:cs="Times New Roman"/>
                <w:sz w:val="18"/>
                <w:szCs w:val="18"/>
                <w:lang w:val="en-GB" w:eastAsia="zh-CN"/>
              </w:rPr>
              <w:t xml:space="preserve">as they </w:t>
            </w:r>
            <w:r w:rsidR="0058494A">
              <w:rPr>
                <w:rFonts w:ascii="Times New Roman" w:eastAsiaTheme="minorEastAsia" w:hAnsi="Times New Roman" w:cs="Times New Roman"/>
                <w:sz w:val="18"/>
                <w:szCs w:val="18"/>
                <w:lang w:val="en-GB" w:eastAsia="zh-CN"/>
              </w:rPr>
              <w:t xml:space="preserve">could </w:t>
            </w:r>
            <w:r w:rsidR="001F2425">
              <w:rPr>
                <w:rFonts w:ascii="Times New Roman" w:eastAsiaTheme="minorEastAsia" w:hAnsi="Times New Roman" w:cs="Times New Roman"/>
                <w:sz w:val="18"/>
                <w:szCs w:val="18"/>
                <w:lang w:val="en-GB" w:eastAsia="zh-CN"/>
              </w:rPr>
              <w:t>become redundant due to the focus of our study not only on MR</w:t>
            </w:r>
            <w:r w:rsidR="00BE4901">
              <w:rPr>
                <w:rFonts w:ascii="Times New Roman" w:eastAsiaTheme="minorEastAsia" w:hAnsi="Times New Roman" w:cs="Times New Roman"/>
                <w:sz w:val="18"/>
                <w:szCs w:val="18"/>
                <w:lang w:val="en-GB" w:eastAsia="zh-CN"/>
              </w:rPr>
              <w:t>,</w:t>
            </w:r>
            <w:r w:rsidR="001F2425">
              <w:rPr>
                <w:rFonts w:ascii="Times New Roman" w:eastAsiaTheme="minorEastAsia" w:hAnsi="Times New Roman" w:cs="Times New Roman"/>
                <w:sz w:val="18"/>
                <w:szCs w:val="18"/>
                <w:lang w:val="en-GB" w:eastAsia="zh-CN"/>
              </w:rPr>
              <w:t xml:space="preserve"> bu</w:t>
            </w:r>
            <w:r w:rsidR="00567EC0">
              <w:rPr>
                <w:rFonts w:ascii="Times New Roman" w:eastAsiaTheme="minorEastAsia" w:hAnsi="Times New Roman" w:cs="Times New Roman"/>
                <w:sz w:val="18"/>
                <w:szCs w:val="18"/>
                <w:lang w:val="en-GB" w:eastAsia="zh-CN"/>
              </w:rPr>
              <w:t>t</w:t>
            </w:r>
            <w:r w:rsidR="001F2425">
              <w:rPr>
                <w:rFonts w:ascii="Times New Roman" w:eastAsiaTheme="minorEastAsia" w:hAnsi="Times New Roman" w:cs="Times New Roman"/>
                <w:sz w:val="18"/>
                <w:szCs w:val="18"/>
                <w:lang w:val="en-GB" w:eastAsia="zh-CN"/>
              </w:rPr>
              <w:t xml:space="preserve"> a more </w:t>
            </w:r>
            <w:r w:rsidR="00045A4B">
              <w:rPr>
                <w:rFonts w:ascii="Times New Roman" w:eastAsiaTheme="minorEastAsia" w:hAnsi="Times New Roman" w:cs="Times New Roman"/>
                <w:sz w:val="18"/>
                <w:szCs w:val="18"/>
                <w:lang w:val="en-GB" w:eastAsia="zh-CN"/>
              </w:rPr>
              <w:t>detailed</w:t>
            </w:r>
            <w:r w:rsidR="001F2425">
              <w:rPr>
                <w:rFonts w:ascii="Times New Roman" w:eastAsiaTheme="minorEastAsia" w:hAnsi="Times New Roman" w:cs="Times New Roman"/>
                <w:sz w:val="18"/>
                <w:szCs w:val="18"/>
                <w:lang w:val="en-GB" w:eastAsia="zh-CN"/>
              </w:rPr>
              <w:t xml:space="preserve"> assessment using other methods</w:t>
            </w:r>
          </w:p>
        </w:tc>
        <w:tc>
          <w:tcPr>
            <w:tcW w:w="5528" w:type="dxa"/>
          </w:tcPr>
          <w:p w14:paraId="78A0E308" w14:textId="77777777" w:rsidR="006F0CF4" w:rsidRPr="00B430A0" w:rsidRDefault="006F0CF4" w:rsidP="006F0CF4">
            <w:pPr>
              <w:spacing w:beforeLines="40" w:before="96" w:afterLines="40" w:after="96" w:line="24" w:lineRule="atLeast"/>
              <w:rPr>
                <w:rFonts w:ascii="Times New Roman" w:eastAsia="Times New Roman" w:hAnsi="Times New Roman" w:cs="Times New Roman"/>
                <w:sz w:val="18"/>
                <w:szCs w:val="18"/>
                <w:lang w:eastAsia="en-GB"/>
              </w:rPr>
            </w:pPr>
          </w:p>
        </w:tc>
        <w:tc>
          <w:tcPr>
            <w:tcW w:w="710" w:type="dxa"/>
          </w:tcPr>
          <w:p w14:paraId="03A6AB93" w14:textId="37361510" w:rsidR="006F0CF4" w:rsidRPr="00B430A0" w:rsidRDefault="006F0CF4" w:rsidP="006F0CF4">
            <w:pPr>
              <w:spacing w:beforeLines="40" w:before="96" w:afterLines="40" w:after="96" w:line="24" w:lineRule="atLeast"/>
              <w:rPr>
                <w:rFonts w:ascii="Times New Roman" w:eastAsia="Times New Roman" w:hAnsi="Times New Roman" w:cs="Times New Roman"/>
                <w:sz w:val="18"/>
                <w:szCs w:val="18"/>
                <w:lang w:eastAsia="en-GB"/>
              </w:rPr>
            </w:pPr>
          </w:p>
        </w:tc>
      </w:tr>
      <w:tr w:rsidR="006F0CF4" w:rsidRPr="00B430A0" w14:paraId="5B7D2773" w14:textId="7D8D257A" w:rsidTr="00567EC0">
        <w:tc>
          <w:tcPr>
            <w:tcW w:w="587" w:type="dxa"/>
          </w:tcPr>
          <w:p w14:paraId="5BDBDA65" w14:textId="77777777" w:rsidR="006F0CF4" w:rsidRPr="00B430A0" w:rsidRDefault="006F0CF4" w:rsidP="006F0CF4">
            <w:pPr>
              <w:spacing w:beforeLines="40" w:before="96" w:afterLines="40" w:after="96" w:line="24" w:lineRule="atLeast"/>
              <w:rPr>
                <w:rFonts w:ascii="Times New Roman" w:eastAsia="Times New Roman" w:hAnsi="Times New Roman" w:cs="Times New Roman"/>
                <w:b/>
                <w:bCs/>
                <w:sz w:val="18"/>
                <w:szCs w:val="18"/>
                <w:lang w:val="en-GB" w:eastAsia="en-GB"/>
              </w:rPr>
            </w:pPr>
          </w:p>
        </w:tc>
        <w:tc>
          <w:tcPr>
            <w:tcW w:w="968" w:type="dxa"/>
          </w:tcPr>
          <w:p w14:paraId="1C564B75" w14:textId="77777777" w:rsidR="006F0CF4" w:rsidRPr="00B430A0" w:rsidRDefault="006F0CF4" w:rsidP="006F0CF4">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b/>
                <w:bCs/>
                <w:sz w:val="18"/>
                <w:szCs w:val="18"/>
                <w:lang w:val="en-GB" w:eastAsia="en-GB"/>
              </w:rPr>
              <w:t>DISCUSSION</w:t>
            </w:r>
          </w:p>
        </w:tc>
        <w:tc>
          <w:tcPr>
            <w:tcW w:w="2126" w:type="dxa"/>
          </w:tcPr>
          <w:p w14:paraId="35997729" w14:textId="77777777" w:rsidR="006F0CF4" w:rsidRPr="00B430A0" w:rsidRDefault="006F0CF4" w:rsidP="006F0CF4">
            <w:pPr>
              <w:spacing w:beforeLines="40" w:before="96" w:afterLines="40" w:after="96" w:line="24" w:lineRule="atLeast"/>
              <w:rPr>
                <w:rFonts w:ascii="Times New Roman" w:eastAsia="Cambria" w:hAnsi="Times New Roman" w:cs="Times New Roman"/>
                <w:sz w:val="18"/>
                <w:szCs w:val="18"/>
                <w:lang w:val="en-GB" w:eastAsia="en-US"/>
              </w:rPr>
            </w:pPr>
          </w:p>
        </w:tc>
        <w:tc>
          <w:tcPr>
            <w:tcW w:w="4678" w:type="dxa"/>
          </w:tcPr>
          <w:p w14:paraId="1AAD7FFB" w14:textId="77777777" w:rsidR="006F0CF4" w:rsidRPr="00B430A0" w:rsidRDefault="006F0CF4" w:rsidP="006F0CF4">
            <w:pPr>
              <w:spacing w:beforeLines="40" w:before="96" w:afterLines="40" w:after="96" w:line="24" w:lineRule="atLeast"/>
              <w:rPr>
                <w:rFonts w:ascii="Times New Roman" w:eastAsia="Cambria" w:hAnsi="Times New Roman" w:cs="Times New Roman"/>
                <w:sz w:val="18"/>
                <w:szCs w:val="18"/>
                <w:lang w:val="en-GB" w:eastAsia="en-US"/>
              </w:rPr>
            </w:pPr>
          </w:p>
        </w:tc>
        <w:tc>
          <w:tcPr>
            <w:tcW w:w="5528" w:type="dxa"/>
          </w:tcPr>
          <w:p w14:paraId="010C0A37" w14:textId="77777777" w:rsidR="006F0CF4" w:rsidRPr="00B430A0" w:rsidRDefault="006F0CF4" w:rsidP="006F0CF4">
            <w:pPr>
              <w:spacing w:beforeLines="40" w:before="96" w:afterLines="40" w:after="96" w:line="24" w:lineRule="atLeast"/>
              <w:rPr>
                <w:rFonts w:ascii="Times New Roman" w:eastAsia="Cambria" w:hAnsi="Times New Roman" w:cs="Times New Roman"/>
                <w:sz w:val="18"/>
                <w:szCs w:val="18"/>
                <w:lang w:val="en-GB" w:eastAsia="en-US"/>
              </w:rPr>
            </w:pPr>
          </w:p>
        </w:tc>
        <w:tc>
          <w:tcPr>
            <w:tcW w:w="710" w:type="dxa"/>
          </w:tcPr>
          <w:p w14:paraId="2AE3A897" w14:textId="08F02D71" w:rsidR="006F0CF4" w:rsidRPr="00B430A0" w:rsidRDefault="006F0CF4" w:rsidP="006F0CF4">
            <w:pPr>
              <w:spacing w:beforeLines="40" w:before="96" w:afterLines="40" w:after="96" w:line="24" w:lineRule="atLeast"/>
              <w:rPr>
                <w:rFonts w:ascii="Times New Roman" w:eastAsia="Cambria" w:hAnsi="Times New Roman" w:cs="Times New Roman"/>
                <w:sz w:val="18"/>
                <w:szCs w:val="18"/>
                <w:lang w:val="en-GB" w:eastAsia="en-US"/>
              </w:rPr>
            </w:pPr>
          </w:p>
        </w:tc>
      </w:tr>
      <w:tr w:rsidR="006F0CF4" w:rsidRPr="00B430A0" w14:paraId="1800AF05" w14:textId="4BEA2748" w:rsidTr="00E3161F">
        <w:tc>
          <w:tcPr>
            <w:tcW w:w="587" w:type="dxa"/>
          </w:tcPr>
          <w:p w14:paraId="6B5F5286" w14:textId="77777777" w:rsidR="006F0CF4" w:rsidRPr="00B430A0" w:rsidRDefault="006F0CF4" w:rsidP="006F0CF4">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14</w:t>
            </w:r>
          </w:p>
        </w:tc>
        <w:tc>
          <w:tcPr>
            <w:tcW w:w="968" w:type="dxa"/>
          </w:tcPr>
          <w:p w14:paraId="42EDC029" w14:textId="77777777" w:rsidR="006F0CF4" w:rsidRPr="00B430A0" w:rsidRDefault="006F0CF4" w:rsidP="006F0CF4">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Key results </w:t>
            </w:r>
          </w:p>
        </w:tc>
        <w:tc>
          <w:tcPr>
            <w:tcW w:w="2126" w:type="dxa"/>
          </w:tcPr>
          <w:p w14:paraId="35F1CADF" w14:textId="77777777" w:rsidR="006F0CF4" w:rsidRPr="00B430A0" w:rsidRDefault="006F0CF4" w:rsidP="006F0CF4">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Summarize key results with reference to study objectives</w:t>
            </w:r>
          </w:p>
        </w:tc>
        <w:tc>
          <w:tcPr>
            <w:tcW w:w="4678" w:type="dxa"/>
          </w:tcPr>
          <w:p w14:paraId="2C7117BF" w14:textId="33B1017C" w:rsidR="006F0CF4" w:rsidRPr="00B430A0" w:rsidRDefault="00045A4B" w:rsidP="006F0CF4">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 xml:space="preserve">We summarise key results </w:t>
            </w:r>
            <w:r w:rsidR="00892A64">
              <w:rPr>
                <w:rFonts w:ascii="Times New Roman" w:eastAsiaTheme="minorEastAsia" w:hAnsi="Times New Roman" w:cs="Times New Roman"/>
                <w:sz w:val="18"/>
                <w:szCs w:val="18"/>
                <w:lang w:val="en-GB" w:eastAsia="zh-CN"/>
              </w:rPr>
              <w:t>concerning</w:t>
            </w:r>
            <w:r>
              <w:rPr>
                <w:rFonts w:ascii="Times New Roman" w:eastAsiaTheme="minorEastAsia" w:hAnsi="Times New Roman" w:cs="Times New Roman"/>
                <w:sz w:val="18"/>
                <w:szCs w:val="18"/>
                <w:lang w:val="en-GB" w:eastAsia="zh-CN"/>
              </w:rPr>
              <w:t xml:space="preserve"> our study objectives</w:t>
            </w:r>
          </w:p>
        </w:tc>
        <w:tc>
          <w:tcPr>
            <w:tcW w:w="5528" w:type="dxa"/>
          </w:tcPr>
          <w:p w14:paraId="3E8CA973" w14:textId="466B148C" w:rsidR="006F0CF4" w:rsidRPr="00B430A0" w:rsidRDefault="004D4D88" w:rsidP="00567EC0">
            <w:pPr>
              <w:spacing w:beforeLines="40" w:before="96" w:afterLines="40" w:after="96" w:line="24" w:lineRule="atLeast"/>
              <w:rPr>
                <w:rFonts w:ascii="Times New Roman" w:eastAsia="Times New Roman" w:hAnsi="Times New Roman" w:cs="Times New Roman"/>
                <w:sz w:val="18"/>
                <w:szCs w:val="18"/>
                <w:lang w:eastAsia="en-GB"/>
              </w:rPr>
            </w:pPr>
            <w:r w:rsidRPr="004D4D88">
              <w:rPr>
                <w:rFonts w:ascii="Times New Roman" w:eastAsia="Times New Roman" w:hAnsi="Times New Roman" w:cs="Times New Roman"/>
                <w:sz w:val="18"/>
                <w:szCs w:val="18"/>
                <w:lang w:val="en-AU" w:eastAsia="en-GB"/>
              </w:rPr>
              <w:t xml:space="preserve">Genetic correlation and overlap do not necessarily imply causation </w:t>
            </w:r>
            <w:r w:rsidRPr="004D4D88">
              <w:rPr>
                <w:rFonts w:ascii="Times New Roman" w:eastAsia="Times New Roman" w:hAnsi="Times New Roman" w:cs="Times New Roman"/>
                <w:sz w:val="18"/>
                <w:szCs w:val="18"/>
                <w:lang w:val="en-AU" w:eastAsia="en-GB"/>
              </w:rPr>
              <w:fldChar w:fldCharType="begin"/>
            </w:r>
            <w:r w:rsidR="00AB0D82">
              <w:rPr>
                <w:rFonts w:ascii="Times New Roman" w:eastAsia="Times New Roman" w:hAnsi="Times New Roman" w:cs="Times New Roman"/>
                <w:sz w:val="18"/>
                <w:szCs w:val="18"/>
                <w:lang w:val="en-AU" w:eastAsia="en-GB"/>
              </w:rPr>
              <w:instrText xml:space="preserve"> ADDIN EN.CITE &lt;EndNote&gt;&lt;Cite&gt;&lt;Author&gt;O’Connor&lt;/Author&gt;&lt;Year&gt;2018&lt;/Year&gt;&lt;RecNum&gt;3369&lt;/RecNum&gt;&lt;DisplayText&gt;&lt;style face="superscript"&gt;7&lt;/style&gt;&lt;/DisplayText&gt;&lt;record&gt;&lt;rec-number&gt;3369&lt;/rec-number&gt;&lt;foreign-keys&gt;&lt;key app="EN" db-id="xwe0xf0wmder5uesrssvr291vrzds5t2vsse" timestamp="1756988388"&gt;3369&lt;/key&gt;&lt;/foreign-keys&gt;&lt;ref-type name="Journal Article"&gt;17&lt;/ref-type&gt;&lt;contributors&gt;&lt;authors&gt;&lt;author&gt;O’Connor, Luke J.&lt;/author&gt;&lt;author&gt;Price, Alkes L.&lt;/author&gt;&lt;/authors&gt;&lt;/contributors&gt;&lt;titles&gt;&lt;title&gt;Distinguishing genetic correlation from causation across 52 diseases and complex traits&lt;/title&gt;&lt;secondary-title&gt;Nature Genetics&lt;/secondary-title&gt;&lt;/titles&gt;&lt;periodical&gt;&lt;full-title&gt;Nature genetics&lt;/full-title&gt;&lt;/periodical&gt;&lt;pages&gt;1728-1734&lt;/pages&gt;&lt;volume&gt;50&lt;/volume&gt;&lt;number&gt;12&lt;/number&gt;&lt;dates&gt;&lt;year&gt;2018&lt;/year&gt;&lt;pub-dates&gt;&lt;date&gt;2018/12/01&lt;/date&gt;&lt;/pub-dates&gt;&lt;/dates&gt;&lt;isbn&gt;1546-1718&lt;/isbn&gt;&lt;urls&gt;&lt;related-urls&gt;&lt;url&gt;https://doi.org/10.1038/s41588-018-0255-0&lt;/url&gt;&lt;/related-urls&gt;&lt;/urls&gt;&lt;electronic-resource-num&gt;10.1038/s41588-018-0255-0&lt;/electronic-resource-num&gt;&lt;/record&gt;&lt;/Cite&gt;&lt;/EndNote&gt;</w:instrText>
            </w:r>
            <w:r w:rsidRPr="004D4D88">
              <w:rPr>
                <w:rFonts w:ascii="Times New Roman" w:eastAsia="Times New Roman" w:hAnsi="Times New Roman" w:cs="Times New Roman"/>
                <w:sz w:val="18"/>
                <w:szCs w:val="18"/>
                <w:lang w:val="en-AU" w:eastAsia="en-GB"/>
              </w:rPr>
              <w:fldChar w:fldCharType="separate"/>
            </w:r>
            <w:r w:rsidR="00AB0D82" w:rsidRPr="00AB0D82">
              <w:rPr>
                <w:rFonts w:ascii="Times New Roman" w:eastAsia="Times New Roman" w:hAnsi="Times New Roman" w:cs="Times New Roman"/>
                <w:noProof/>
                <w:sz w:val="18"/>
                <w:szCs w:val="18"/>
                <w:vertAlign w:val="superscript"/>
                <w:lang w:val="en-AU" w:eastAsia="en-GB"/>
              </w:rPr>
              <w:t>7</w:t>
            </w:r>
            <w:r w:rsidRPr="004D4D88">
              <w:rPr>
                <w:rFonts w:ascii="Times New Roman" w:eastAsia="Times New Roman" w:hAnsi="Times New Roman" w:cs="Times New Roman"/>
                <w:sz w:val="18"/>
                <w:szCs w:val="18"/>
                <w:lang w:eastAsia="en-GB"/>
              </w:rPr>
              <w:fldChar w:fldCharType="end"/>
            </w:r>
            <w:r w:rsidRPr="004D4D88">
              <w:rPr>
                <w:rFonts w:ascii="Times New Roman" w:eastAsia="Times New Roman" w:hAnsi="Times New Roman" w:cs="Times New Roman"/>
                <w:sz w:val="18"/>
                <w:szCs w:val="18"/>
                <w:lang w:val="en-AU" w:eastAsia="en-GB"/>
              </w:rPr>
              <w:t xml:space="preserve">. Hence, we conducted bidirectional MR analyses to explore the potential causal relationship between AD and MG. Our results consistently indicate that AD does not causally influence MG, as shown across multiple methods. In contrast, we found putative evidence that genetic liability to MG may increase the risk of AD. This association was supported by multiple MR models and partly replicated with instruments selected at a suggestive level (to increase IVs). </w:t>
            </w:r>
          </w:p>
        </w:tc>
        <w:tc>
          <w:tcPr>
            <w:tcW w:w="710" w:type="dxa"/>
          </w:tcPr>
          <w:p w14:paraId="70F1DDE7" w14:textId="18BE155A" w:rsidR="006F0CF4" w:rsidRPr="00B430A0" w:rsidRDefault="00DF322B" w:rsidP="006F0CF4">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 xml:space="preserve">24 – 25 </w:t>
            </w:r>
          </w:p>
        </w:tc>
      </w:tr>
      <w:tr w:rsidR="006F0CF4" w:rsidRPr="00B430A0" w14:paraId="06BFAFA4" w14:textId="151FB6CE" w:rsidTr="00DF322B">
        <w:tc>
          <w:tcPr>
            <w:tcW w:w="587" w:type="dxa"/>
          </w:tcPr>
          <w:p w14:paraId="6D471CC5" w14:textId="77777777" w:rsidR="006F0CF4" w:rsidRPr="00B430A0" w:rsidRDefault="006F0CF4" w:rsidP="006F0CF4">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15</w:t>
            </w:r>
          </w:p>
        </w:tc>
        <w:tc>
          <w:tcPr>
            <w:tcW w:w="968" w:type="dxa"/>
          </w:tcPr>
          <w:p w14:paraId="5C27961E" w14:textId="77777777" w:rsidR="006F0CF4" w:rsidRPr="00B430A0" w:rsidRDefault="006F0CF4" w:rsidP="006F0CF4">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Limitations</w:t>
            </w:r>
          </w:p>
        </w:tc>
        <w:tc>
          <w:tcPr>
            <w:tcW w:w="2126" w:type="dxa"/>
          </w:tcPr>
          <w:p w14:paraId="75B6F41B" w14:textId="77777777" w:rsidR="006F0CF4" w:rsidRPr="00B430A0" w:rsidRDefault="006F0CF4" w:rsidP="006F0CF4">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 xml:space="preserve">Discuss limitations of the study, </w:t>
            </w:r>
            <w:proofErr w:type="gramStart"/>
            <w:r w:rsidRPr="00B430A0">
              <w:rPr>
                <w:rFonts w:ascii="Times New Roman" w:eastAsia="Times New Roman" w:hAnsi="Times New Roman" w:cs="Times New Roman"/>
                <w:sz w:val="18"/>
                <w:szCs w:val="18"/>
                <w:lang w:val="en-GB" w:eastAsia="en-GB"/>
              </w:rPr>
              <w:t>taking into account</w:t>
            </w:r>
            <w:proofErr w:type="gramEnd"/>
            <w:r w:rsidRPr="00B430A0">
              <w:rPr>
                <w:rFonts w:ascii="Times New Roman" w:eastAsia="Times New Roman" w:hAnsi="Times New Roman" w:cs="Times New Roman"/>
                <w:sz w:val="18"/>
                <w:szCs w:val="18"/>
                <w:lang w:val="en-GB" w:eastAsia="en-GB"/>
              </w:rPr>
              <w:t xml:space="preserve"> the validity of the IV assumptions, other </w:t>
            </w:r>
            <w:r w:rsidRPr="00B430A0">
              <w:rPr>
                <w:rFonts w:ascii="Times New Roman" w:eastAsia="Times New Roman" w:hAnsi="Times New Roman" w:cs="Times New Roman"/>
                <w:sz w:val="18"/>
                <w:szCs w:val="18"/>
                <w:lang w:val="en-GB" w:eastAsia="en-GB"/>
              </w:rPr>
              <w:lastRenderedPageBreak/>
              <w:t>sources of potential bias, and imprecision. Discuss both direction and magnitude of any potential bias and any efforts to address them</w:t>
            </w:r>
            <w:r w:rsidRPr="00B430A0">
              <w:rPr>
                <w:rFonts w:ascii="Times New Roman" w:eastAsia="Times New Roman" w:hAnsi="Times New Roman" w:cs="Times New Roman"/>
                <w:sz w:val="18"/>
                <w:szCs w:val="18"/>
                <w:shd w:val="clear" w:color="auto" w:fill="FFFFFF"/>
                <w:lang w:val="en-GB" w:eastAsia="en-GB"/>
              </w:rPr>
              <w:t> </w:t>
            </w:r>
          </w:p>
        </w:tc>
        <w:tc>
          <w:tcPr>
            <w:tcW w:w="4678" w:type="dxa"/>
          </w:tcPr>
          <w:p w14:paraId="201D4281" w14:textId="4F45EC12" w:rsidR="006F0CF4" w:rsidRPr="00B430A0" w:rsidRDefault="00892A64" w:rsidP="006F0CF4">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lastRenderedPageBreak/>
              <w:t>We discuss</w:t>
            </w:r>
            <w:r w:rsidR="00031985">
              <w:rPr>
                <w:rFonts w:ascii="Times New Roman" w:eastAsiaTheme="minorEastAsia" w:hAnsi="Times New Roman" w:cs="Times New Roman"/>
                <w:sz w:val="18"/>
                <w:szCs w:val="18"/>
                <w:lang w:val="en-GB" w:eastAsia="zh-CN"/>
              </w:rPr>
              <w:t xml:space="preserve"> </w:t>
            </w:r>
            <w:r w:rsidR="00AF1482">
              <w:rPr>
                <w:rFonts w:ascii="Times New Roman" w:eastAsiaTheme="minorEastAsia" w:hAnsi="Times New Roman" w:cs="Times New Roman"/>
                <w:sz w:val="18"/>
                <w:szCs w:val="18"/>
                <w:lang w:val="en-GB" w:eastAsia="zh-CN"/>
              </w:rPr>
              <w:t xml:space="preserve">the </w:t>
            </w:r>
            <w:r w:rsidR="00031985">
              <w:rPr>
                <w:rFonts w:ascii="Times New Roman" w:eastAsiaTheme="minorEastAsia" w:hAnsi="Times New Roman" w:cs="Times New Roman"/>
                <w:sz w:val="18"/>
                <w:szCs w:val="18"/>
                <w:lang w:val="en-GB" w:eastAsia="zh-CN"/>
              </w:rPr>
              <w:t>limitations of our study</w:t>
            </w:r>
            <w:r w:rsidR="00DF322B">
              <w:rPr>
                <w:rFonts w:ascii="Times New Roman" w:eastAsiaTheme="minorEastAsia" w:hAnsi="Times New Roman" w:cs="Times New Roman"/>
                <w:sz w:val="18"/>
                <w:szCs w:val="18"/>
                <w:lang w:val="en-GB" w:eastAsia="zh-CN"/>
              </w:rPr>
              <w:t>,</w:t>
            </w:r>
            <w:r w:rsidR="00031985">
              <w:rPr>
                <w:rFonts w:ascii="Times New Roman" w:eastAsiaTheme="minorEastAsia" w:hAnsi="Times New Roman" w:cs="Times New Roman"/>
                <w:sz w:val="18"/>
                <w:szCs w:val="18"/>
                <w:lang w:val="en-GB" w:eastAsia="zh-CN"/>
              </w:rPr>
              <w:t xml:space="preserve"> specifically as relates to MR and its core assumptions. See the section for strengths and limitations for details.</w:t>
            </w:r>
          </w:p>
        </w:tc>
        <w:tc>
          <w:tcPr>
            <w:tcW w:w="5528" w:type="dxa"/>
          </w:tcPr>
          <w:p w14:paraId="69FAC976" w14:textId="7C28BF75" w:rsidR="006F0CF4" w:rsidRPr="00DF322B" w:rsidRDefault="00CB351C" w:rsidP="006F0CF4">
            <w:pPr>
              <w:spacing w:beforeLines="40" w:before="96" w:afterLines="40" w:after="96" w:line="24" w:lineRule="atLeast"/>
              <w:rPr>
                <w:rFonts w:ascii="Times New Roman" w:eastAsia="Times New Roman" w:hAnsi="Times New Roman" w:cs="Times New Roman"/>
                <w:sz w:val="18"/>
                <w:szCs w:val="18"/>
                <w:lang w:val="en-GB" w:eastAsia="en-GB"/>
              </w:rPr>
            </w:pPr>
            <w:r w:rsidRPr="00CB351C">
              <w:rPr>
                <w:rFonts w:ascii="Times New Roman" w:eastAsia="Times New Roman" w:hAnsi="Times New Roman" w:cs="Times New Roman"/>
                <w:sz w:val="18"/>
                <w:szCs w:val="18"/>
                <w:lang w:val="en-GB" w:eastAsia="en-GB"/>
              </w:rPr>
              <w:t xml:space="preserve">Third, although multiple MR methods were employed, undetected horizontal pleiotropy or the limited number of MG instruments may influence the inferred causal effect of MG on AD. </w:t>
            </w:r>
          </w:p>
        </w:tc>
        <w:tc>
          <w:tcPr>
            <w:tcW w:w="710" w:type="dxa"/>
          </w:tcPr>
          <w:p w14:paraId="7CB4BA33" w14:textId="3D6CC04F" w:rsidR="006F0CF4" w:rsidRPr="00B430A0" w:rsidRDefault="00CB351C" w:rsidP="006F0CF4">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29</w:t>
            </w:r>
          </w:p>
        </w:tc>
      </w:tr>
      <w:tr w:rsidR="006F0CF4" w:rsidRPr="00B430A0" w14:paraId="71F8B8B5" w14:textId="34C247AC" w:rsidTr="009F40F1">
        <w:tc>
          <w:tcPr>
            <w:tcW w:w="587" w:type="dxa"/>
          </w:tcPr>
          <w:p w14:paraId="02C1D590" w14:textId="77777777" w:rsidR="006F0CF4" w:rsidRPr="00B430A0" w:rsidRDefault="006F0CF4" w:rsidP="006F0CF4">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16</w:t>
            </w:r>
          </w:p>
        </w:tc>
        <w:tc>
          <w:tcPr>
            <w:tcW w:w="968" w:type="dxa"/>
          </w:tcPr>
          <w:p w14:paraId="612AA484" w14:textId="77777777" w:rsidR="006F0CF4" w:rsidRPr="00B430A0" w:rsidRDefault="006F0CF4" w:rsidP="006F0CF4">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Interpretation</w:t>
            </w:r>
          </w:p>
        </w:tc>
        <w:tc>
          <w:tcPr>
            <w:tcW w:w="2126" w:type="dxa"/>
          </w:tcPr>
          <w:p w14:paraId="3BF6466E" w14:textId="77777777" w:rsidR="006F0CF4" w:rsidRPr="00B430A0" w:rsidRDefault="006F0CF4" w:rsidP="006F0CF4">
            <w:pPr>
              <w:spacing w:beforeLines="40" w:before="96" w:afterLines="40" w:after="96" w:line="24" w:lineRule="atLeast"/>
              <w:rPr>
                <w:rFonts w:ascii="Times New Roman" w:eastAsia="Cambria" w:hAnsi="Times New Roman" w:cs="Times New Roman"/>
                <w:sz w:val="18"/>
                <w:szCs w:val="18"/>
                <w:lang w:val="en-GB" w:eastAsia="en-US"/>
              </w:rPr>
            </w:pPr>
          </w:p>
        </w:tc>
        <w:tc>
          <w:tcPr>
            <w:tcW w:w="4678" w:type="dxa"/>
          </w:tcPr>
          <w:p w14:paraId="4B5179B2" w14:textId="77777777" w:rsidR="006F0CF4" w:rsidRPr="00B430A0" w:rsidRDefault="006F0CF4" w:rsidP="006F0CF4">
            <w:pPr>
              <w:spacing w:beforeLines="40" w:before="96" w:afterLines="40" w:after="96" w:line="24" w:lineRule="atLeast"/>
              <w:rPr>
                <w:rFonts w:ascii="Times New Roman" w:eastAsia="Cambria" w:hAnsi="Times New Roman" w:cs="Times New Roman"/>
                <w:sz w:val="18"/>
                <w:szCs w:val="18"/>
                <w:lang w:val="en-GB" w:eastAsia="en-US"/>
              </w:rPr>
            </w:pPr>
          </w:p>
        </w:tc>
        <w:tc>
          <w:tcPr>
            <w:tcW w:w="5528" w:type="dxa"/>
          </w:tcPr>
          <w:p w14:paraId="3ADAD4B5" w14:textId="77777777" w:rsidR="006F0CF4" w:rsidRPr="00B430A0" w:rsidRDefault="006F0CF4" w:rsidP="006F0CF4">
            <w:pPr>
              <w:spacing w:beforeLines="40" w:before="96" w:afterLines="40" w:after="96" w:line="24" w:lineRule="atLeast"/>
              <w:rPr>
                <w:rFonts w:ascii="Times New Roman" w:eastAsia="Cambria" w:hAnsi="Times New Roman" w:cs="Times New Roman"/>
                <w:sz w:val="18"/>
                <w:szCs w:val="18"/>
                <w:lang w:val="en-GB" w:eastAsia="en-US"/>
              </w:rPr>
            </w:pPr>
          </w:p>
        </w:tc>
        <w:tc>
          <w:tcPr>
            <w:tcW w:w="710" w:type="dxa"/>
          </w:tcPr>
          <w:p w14:paraId="1C445080" w14:textId="12C21636" w:rsidR="006F0CF4" w:rsidRPr="00B430A0" w:rsidRDefault="006F0CF4" w:rsidP="006F0CF4">
            <w:pPr>
              <w:spacing w:beforeLines="40" w:before="96" w:afterLines="40" w:after="96" w:line="24" w:lineRule="atLeast"/>
              <w:rPr>
                <w:rFonts w:ascii="Times New Roman" w:eastAsia="Cambria" w:hAnsi="Times New Roman" w:cs="Times New Roman"/>
                <w:sz w:val="18"/>
                <w:szCs w:val="18"/>
                <w:lang w:val="en-GB" w:eastAsia="en-US"/>
              </w:rPr>
            </w:pPr>
          </w:p>
        </w:tc>
      </w:tr>
      <w:tr w:rsidR="006F0CF4" w:rsidRPr="00B430A0" w14:paraId="62E6D51A" w14:textId="140D03A2" w:rsidTr="00497371">
        <w:tc>
          <w:tcPr>
            <w:tcW w:w="587" w:type="dxa"/>
          </w:tcPr>
          <w:p w14:paraId="6DD2F448" w14:textId="77777777" w:rsidR="006F0CF4" w:rsidRPr="00B430A0" w:rsidRDefault="006F0CF4" w:rsidP="006F0CF4">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50F26A29" w14:textId="77777777" w:rsidR="006F0CF4" w:rsidRPr="00B430A0" w:rsidRDefault="006F0CF4" w:rsidP="006F0CF4">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a)</w:t>
            </w:r>
          </w:p>
        </w:tc>
        <w:tc>
          <w:tcPr>
            <w:tcW w:w="2126" w:type="dxa"/>
          </w:tcPr>
          <w:p w14:paraId="7EDF9868" w14:textId="096ED659" w:rsidR="006F0CF4" w:rsidRPr="00B430A0" w:rsidRDefault="006F0CF4" w:rsidP="006F0CF4">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 xml:space="preserve">Meaning: Give a cautious overall interpretation of results in the context of their limitations </w:t>
            </w:r>
            <w:proofErr w:type="gramStart"/>
            <w:r w:rsidRPr="00B430A0">
              <w:rPr>
                <w:rFonts w:ascii="Times New Roman" w:eastAsia="Times New Roman" w:hAnsi="Times New Roman" w:cs="Times New Roman"/>
                <w:sz w:val="18"/>
                <w:szCs w:val="18"/>
                <w:lang w:val="en-GB" w:eastAsia="en-GB"/>
              </w:rPr>
              <w:t xml:space="preserve">and in comparison </w:t>
            </w:r>
            <w:proofErr w:type="gramEnd"/>
            <w:r w:rsidRPr="00B430A0">
              <w:rPr>
                <w:rFonts w:ascii="Times New Roman" w:eastAsia="Times New Roman" w:hAnsi="Times New Roman" w:cs="Times New Roman"/>
                <w:sz w:val="18"/>
                <w:szCs w:val="18"/>
                <w:lang w:val="en-GB" w:eastAsia="en-GB"/>
              </w:rPr>
              <w:t>with other studies</w:t>
            </w:r>
          </w:p>
        </w:tc>
        <w:tc>
          <w:tcPr>
            <w:tcW w:w="4678" w:type="dxa"/>
          </w:tcPr>
          <w:p w14:paraId="565CC165" w14:textId="36E0CF59" w:rsidR="006F0CF4" w:rsidRPr="00B430A0" w:rsidRDefault="00730E36" w:rsidP="006F0CF4">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 xml:space="preserve">We </w:t>
            </w:r>
            <w:r w:rsidR="0045057C">
              <w:rPr>
                <w:rFonts w:ascii="Times New Roman" w:eastAsiaTheme="minorEastAsia" w:hAnsi="Times New Roman" w:cs="Times New Roman"/>
                <w:sz w:val="18"/>
                <w:szCs w:val="18"/>
                <w:lang w:val="en-GB" w:eastAsia="zh-CN"/>
              </w:rPr>
              <w:t xml:space="preserve">provided </w:t>
            </w:r>
            <w:r w:rsidR="008C48E7">
              <w:rPr>
                <w:rFonts w:ascii="Times New Roman" w:eastAsiaTheme="minorEastAsia" w:hAnsi="Times New Roman" w:cs="Times New Roman"/>
                <w:sz w:val="18"/>
                <w:szCs w:val="18"/>
                <w:lang w:val="en-GB" w:eastAsia="zh-CN"/>
              </w:rPr>
              <w:t xml:space="preserve">an </w:t>
            </w:r>
            <w:r w:rsidR="0045057C">
              <w:rPr>
                <w:rFonts w:ascii="Times New Roman" w:eastAsiaTheme="minorEastAsia" w:hAnsi="Times New Roman" w:cs="Times New Roman"/>
                <w:sz w:val="18"/>
                <w:szCs w:val="18"/>
                <w:lang w:val="en-GB" w:eastAsia="zh-CN"/>
              </w:rPr>
              <w:t>overall cautious interpretation of our results</w:t>
            </w:r>
            <w:r w:rsidR="00404275">
              <w:rPr>
                <w:rFonts w:ascii="Times New Roman" w:eastAsiaTheme="minorEastAsia" w:hAnsi="Times New Roman" w:cs="Times New Roman"/>
                <w:sz w:val="18"/>
                <w:szCs w:val="18"/>
                <w:lang w:val="en-GB" w:eastAsia="zh-CN"/>
              </w:rPr>
              <w:t>,</w:t>
            </w:r>
            <w:r w:rsidR="0045057C">
              <w:rPr>
                <w:rFonts w:ascii="Times New Roman" w:eastAsiaTheme="minorEastAsia" w:hAnsi="Times New Roman" w:cs="Times New Roman"/>
                <w:sz w:val="18"/>
                <w:szCs w:val="18"/>
                <w:lang w:val="en-GB" w:eastAsia="zh-CN"/>
              </w:rPr>
              <w:t xml:space="preserve"> considering </w:t>
            </w:r>
            <w:r w:rsidR="008C48E7">
              <w:rPr>
                <w:rFonts w:ascii="Times New Roman" w:eastAsiaTheme="minorEastAsia" w:hAnsi="Times New Roman" w:cs="Times New Roman"/>
                <w:sz w:val="18"/>
                <w:szCs w:val="18"/>
                <w:lang w:val="en-GB" w:eastAsia="zh-CN"/>
              </w:rPr>
              <w:t>limitations</w:t>
            </w:r>
            <w:r w:rsidR="0045057C">
              <w:rPr>
                <w:rFonts w:ascii="Times New Roman" w:eastAsiaTheme="minorEastAsia" w:hAnsi="Times New Roman" w:cs="Times New Roman"/>
                <w:sz w:val="18"/>
                <w:szCs w:val="18"/>
                <w:lang w:val="en-GB" w:eastAsia="zh-CN"/>
              </w:rPr>
              <w:t xml:space="preserve"> </w:t>
            </w:r>
            <w:r w:rsidR="008C48E7">
              <w:rPr>
                <w:rFonts w:ascii="Times New Roman" w:eastAsiaTheme="minorEastAsia" w:hAnsi="Times New Roman" w:cs="Times New Roman"/>
                <w:sz w:val="18"/>
                <w:szCs w:val="18"/>
                <w:lang w:val="en-GB" w:eastAsia="zh-CN"/>
              </w:rPr>
              <w:t xml:space="preserve">and in comparison, </w:t>
            </w:r>
            <w:r w:rsidR="0045057C">
              <w:rPr>
                <w:rFonts w:ascii="Times New Roman" w:eastAsiaTheme="minorEastAsia" w:hAnsi="Times New Roman" w:cs="Times New Roman"/>
                <w:sz w:val="18"/>
                <w:szCs w:val="18"/>
                <w:lang w:val="en-GB" w:eastAsia="zh-CN"/>
              </w:rPr>
              <w:t>with other studies.</w:t>
            </w:r>
          </w:p>
        </w:tc>
        <w:tc>
          <w:tcPr>
            <w:tcW w:w="5528" w:type="dxa"/>
          </w:tcPr>
          <w:p w14:paraId="263D897D" w14:textId="38D6FA14" w:rsidR="006F0CF4" w:rsidRPr="00B430A0" w:rsidRDefault="004C08C5" w:rsidP="006F0CF4">
            <w:pPr>
              <w:spacing w:beforeLines="40" w:before="96" w:afterLines="40" w:after="96" w:line="24" w:lineRule="atLeast"/>
              <w:rPr>
                <w:rFonts w:ascii="Times New Roman" w:eastAsia="Times New Roman" w:hAnsi="Times New Roman" w:cs="Times New Roman"/>
                <w:sz w:val="18"/>
                <w:szCs w:val="18"/>
                <w:lang w:eastAsia="en-GB"/>
              </w:rPr>
            </w:pPr>
            <w:r w:rsidRPr="004C08C5">
              <w:rPr>
                <w:rFonts w:ascii="Times New Roman" w:eastAsia="Times New Roman" w:hAnsi="Times New Roman" w:cs="Times New Roman"/>
                <w:sz w:val="18"/>
                <w:szCs w:val="18"/>
                <w:lang w:eastAsia="en-GB"/>
              </w:rPr>
              <w:t xml:space="preserve">These findings suggest a model in which autoimmune processes characteristic of MG may predispose individuals to neurodegenerative pathology in AD. The effect is modest but likely biologically meaningful, consistent with the multifactorial nature of AD, while also highlighting the need for a cautious interpretation. </w:t>
            </w:r>
          </w:p>
        </w:tc>
        <w:tc>
          <w:tcPr>
            <w:tcW w:w="710" w:type="dxa"/>
          </w:tcPr>
          <w:p w14:paraId="5251245C" w14:textId="0CEFBFDE" w:rsidR="006F0CF4" w:rsidRPr="00B430A0" w:rsidRDefault="004C08C5" w:rsidP="006F0CF4">
            <w:pPr>
              <w:spacing w:beforeLines="40" w:before="96" w:afterLines="40" w:after="96" w:line="24" w:lineRule="atLeast"/>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25</w:t>
            </w:r>
          </w:p>
        </w:tc>
      </w:tr>
      <w:tr w:rsidR="00A90373" w:rsidRPr="00B430A0" w14:paraId="156B69E5" w14:textId="453FC5BE" w:rsidTr="004C08C5">
        <w:tc>
          <w:tcPr>
            <w:tcW w:w="587" w:type="dxa"/>
          </w:tcPr>
          <w:p w14:paraId="4C8A2215" w14:textId="77777777" w:rsidR="00A90373" w:rsidRPr="00B430A0" w:rsidRDefault="00A90373" w:rsidP="00A90373">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6A4A5F16" w14:textId="77777777" w:rsidR="00A90373" w:rsidRPr="00B430A0" w:rsidRDefault="00A90373" w:rsidP="00A90373">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b)</w:t>
            </w:r>
          </w:p>
        </w:tc>
        <w:tc>
          <w:tcPr>
            <w:tcW w:w="2126" w:type="dxa"/>
          </w:tcPr>
          <w:p w14:paraId="422EB891" w14:textId="35DEA636" w:rsidR="00A90373" w:rsidRPr="00B430A0" w:rsidRDefault="00A90373" w:rsidP="00A90373">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only under certain assumptions </w:t>
            </w:r>
          </w:p>
        </w:tc>
        <w:tc>
          <w:tcPr>
            <w:tcW w:w="4678" w:type="dxa"/>
          </w:tcPr>
          <w:p w14:paraId="2FA4AA4D" w14:textId="760A6D07" w:rsidR="00A90373" w:rsidRPr="00B430A0" w:rsidRDefault="003F7126" w:rsidP="00A90373">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Our</w:t>
            </w:r>
            <w:r w:rsidR="00513BC8" w:rsidRPr="00513BC8">
              <w:rPr>
                <w:rFonts w:ascii="Times New Roman" w:eastAsiaTheme="minorEastAsia" w:hAnsi="Times New Roman" w:cs="Times New Roman"/>
                <w:sz w:val="18"/>
                <w:szCs w:val="18"/>
                <w:lang w:eastAsia="zh-CN"/>
              </w:rPr>
              <w:t xml:space="preserve"> findings suggest a model in which autoimmune processes underlying MG may contribute to susceptibility to neurodegenerative changes observed in AD. The observed effect is modest but biologically plausible, reflecting the complex and multifactorial nature of AD. While the results are consistent with shared immune-mediated mechanisms, causal interpretation should remain cautious given the assumptions inherent to MR and potential gene–environment interactions.</w:t>
            </w:r>
          </w:p>
        </w:tc>
        <w:tc>
          <w:tcPr>
            <w:tcW w:w="5528" w:type="dxa"/>
          </w:tcPr>
          <w:p w14:paraId="1CE69F2F" w14:textId="71B7F0C5" w:rsidR="00A90373" w:rsidRPr="00B430A0" w:rsidRDefault="00A90373" w:rsidP="00A90373">
            <w:pPr>
              <w:spacing w:beforeLines="40" w:before="96" w:afterLines="40" w:after="96" w:line="24" w:lineRule="atLeast"/>
              <w:rPr>
                <w:rFonts w:ascii="Times New Roman" w:eastAsia="Times New Roman" w:hAnsi="Times New Roman" w:cs="Times New Roman"/>
                <w:sz w:val="18"/>
                <w:szCs w:val="18"/>
                <w:lang w:eastAsia="en-GB"/>
              </w:rPr>
            </w:pPr>
            <w:r w:rsidRPr="004C08C5">
              <w:rPr>
                <w:rFonts w:ascii="Times New Roman" w:eastAsia="Times New Roman" w:hAnsi="Times New Roman" w:cs="Times New Roman"/>
                <w:sz w:val="18"/>
                <w:szCs w:val="18"/>
                <w:lang w:eastAsia="en-GB"/>
              </w:rPr>
              <w:t xml:space="preserve">These findings suggest a model in which autoimmune processes characteristic of MG may predispose individuals to neurodegenerative pathology in AD. The effect is modest but likely biologically meaningful, consistent with the multifactorial nature of AD, while also highlighting the need for a cautious interpretation. </w:t>
            </w:r>
          </w:p>
        </w:tc>
        <w:tc>
          <w:tcPr>
            <w:tcW w:w="710" w:type="dxa"/>
          </w:tcPr>
          <w:p w14:paraId="3A91F000" w14:textId="389CA775" w:rsidR="00A90373" w:rsidRPr="00B430A0" w:rsidRDefault="00A90373" w:rsidP="00A90373">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heme="minorEastAsia" w:hAnsi="Times New Roman" w:cs="Times New Roman"/>
                <w:sz w:val="18"/>
                <w:szCs w:val="18"/>
                <w:lang w:eastAsia="zh-CN"/>
              </w:rPr>
              <w:t>25</w:t>
            </w:r>
          </w:p>
        </w:tc>
      </w:tr>
      <w:tr w:rsidR="00A90373" w:rsidRPr="00B430A0" w14:paraId="203390A0" w14:textId="367D17C4" w:rsidTr="003F7126">
        <w:tc>
          <w:tcPr>
            <w:tcW w:w="587" w:type="dxa"/>
          </w:tcPr>
          <w:p w14:paraId="54CA3A27" w14:textId="77777777" w:rsidR="00A90373" w:rsidRPr="00B430A0" w:rsidRDefault="00A90373" w:rsidP="00A90373">
            <w:pPr>
              <w:spacing w:beforeLines="40" w:before="96" w:afterLines="40" w:after="96" w:line="24" w:lineRule="atLeast"/>
              <w:jc w:val="right"/>
              <w:rPr>
                <w:rFonts w:ascii="Times New Roman" w:eastAsia="Cambria" w:hAnsi="Times New Roman" w:cs="Times New Roman"/>
                <w:b/>
                <w:bCs/>
                <w:sz w:val="18"/>
                <w:szCs w:val="18"/>
                <w:lang w:val="en-GB" w:eastAsia="en-US"/>
              </w:rPr>
            </w:pPr>
          </w:p>
        </w:tc>
        <w:tc>
          <w:tcPr>
            <w:tcW w:w="968" w:type="dxa"/>
          </w:tcPr>
          <w:p w14:paraId="6D25BA57" w14:textId="77777777" w:rsidR="00A90373" w:rsidRPr="00B430A0" w:rsidRDefault="00A90373" w:rsidP="00A90373">
            <w:pPr>
              <w:spacing w:beforeLines="40" w:before="96" w:afterLines="40" w:after="96" w:line="24" w:lineRule="atLeast"/>
              <w:jc w:val="right"/>
              <w:rPr>
                <w:rFonts w:ascii="Times New Roman" w:eastAsia="Cambria" w:hAnsi="Times New Roman" w:cs="Times New Roman"/>
                <w:sz w:val="18"/>
                <w:szCs w:val="18"/>
                <w:lang w:val="en-GB" w:eastAsia="en-US"/>
              </w:rPr>
            </w:pPr>
            <w:r w:rsidRPr="00B430A0">
              <w:rPr>
                <w:rFonts w:ascii="Times New Roman" w:eastAsia="Cambria" w:hAnsi="Times New Roman" w:cs="Times New Roman"/>
                <w:sz w:val="18"/>
                <w:szCs w:val="18"/>
                <w:lang w:val="en-GB" w:eastAsia="en-US"/>
              </w:rPr>
              <w:t>c)</w:t>
            </w:r>
          </w:p>
        </w:tc>
        <w:tc>
          <w:tcPr>
            <w:tcW w:w="2126" w:type="dxa"/>
          </w:tcPr>
          <w:p w14:paraId="5B6A8315" w14:textId="77777777" w:rsidR="00A90373" w:rsidRPr="00B430A0" w:rsidRDefault="00A90373" w:rsidP="00A90373">
            <w:pPr>
              <w:tabs>
                <w:tab w:val="left" w:pos="1350"/>
              </w:tabs>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 xml:space="preserve">Clinical relevance: Discuss whether the results have clinical or public policy relevance, and </w:t>
            </w:r>
            <w:r w:rsidRPr="00B430A0">
              <w:rPr>
                <w:rFonts w:ascii="Times New Roman" w:eastAsia="Times New Roman" w:hAnsi="Times New Roman" w:cs="Times New Roman"/>
                <w:color w:val="000000"/>
                <w:sz w:val="18"/>
                <w:szCs w:val="18"/>
                <w:lang w:eastAsia="en-GB"/>
              </w:rPr>
              <w:t>to what extent they inform effect sizes of possible interventions</w:t>
            </w:r>
          </w:p>
        </w:tc>
        <w:tc>
          <w:tcPr>
            <w:tcW w:w="4678" w:type="dxa"/>
          </w:tcPr>
          <w:p w14:paraId="32FCF028" w14:textId="044E879B" w:rsidR="00A90373" w:rsidRPr="00B430A0" w:rsidRDefault="006B71DF" w:rsidP="00A90373">
            <w:pPr>
              <w:tabs>
                <w:tab w:val="left" w:pos="1350"/>
              </w:tabs>
              <w:spacing w:beforeLines="40" w:before="96" w:afterLines="40" w:after="96" w:line="24" w:lineRule="atLeast"/>
              <w:rPr>
                <w:rFonts w:ascii="Times New Roman" w:eastAsiaTheme="minorEastAsia" w:hAnsi="Times New Roman" w:cs="Times New Roman"/>
                <w:sz w:val="18"/>
                <w:szCs w:val="18"/>
                <w:lang w:val="en-GB" w:eastAsia="zh-CN"/>
              </w:rPr>
            </w:pPr>
            <w:r w:rsidRPr="006B71DF">
              <w:rPr>
                <w:rFonts w:ascii="Times New Roman" w:eastAsiaTheme="minorEastAsia" w:hAnsi="Times New Roman" w:cs="Times New Roman"/>
                <w:sz w:val="18"/>
                <w:szCs w:val="18"/>
                <w:lang w:val="en-GB" w:eastAsia="zh-CN"/>
              </w:rPr>
              <w:t>Our findings have potential clinical relevance, suggesting that immune dysregulation characteristic of MG may modestly increase susceptibility to AD. This highlights opportunities for early identification of at-risk individuals and the potential to repurpose immunomodulatory therapies for prevention or treatment strategies. However, the effect size is small, and further research is needed to validate these associations and assess their translational potential before informing clinical or policy decisions.</w:t>
            </w:r>
          </w:p>
        </w:tc>
        <w:tc>
          <w:tcPr>
            <w:tcW w:w="5528" w:type="dxa"/>
          </w:tcPr>
          <w:p w14:paraId="3AA73AE1" w14:textId="22DADA99" w:rsidR="00A90373" w:rsidRPr="00B430A0" w:rsidRDefault="0023525C" w:rsidP="00A90373">
            <w:pPr>
              <w:tabs>
                <w:tab w:val="left" w:pos="1350"/>
              </w:tabs>
              <w:spacing w:beforeLines="40" w:before="96" w:afterLines="40" w:after="96" w:line="24" w:lineRule="atLeast"/>
              <w:rPr>
                <w:rFonts w:ascii="Times New Roman" w:eastAsia="Times New Roman" w:hAnsi="Times New Roman" w:cs="Times New Roman"/>
                <w:sz w:val="18"/>
                <w:szCs w:val="18"/>
                <w:lang w:eastAsia="en-GB"/>
              </w:rPr>
            </w:pPr>
            <w:r w:rsidRPr="004C08C5">
              <w:rPr>
                <w:rFonts w:ascii="Times New Roman" w:eastAsia="Times New Roman" w:hAnsi="Times New Roman" w:cs="Times New Roman"/>
                <w:sz w:val="18"/>
                <w:szCs w:val="18"/>
                <w:lang w:eastAsia="en-GB"/>
              </w:rPr>
              <w:t xml:space="preserve">These findings suggest a model in which autoimmune processes characteristic of MG may predispose individuals to neurodegenerative pathology in AD. The effect is modest but likely biologically meaningful, consistent with the multifactorial nature of AD, while also highlighting the need for a cautious interpretation. </w:t>
            </w:r>
          </w:p>
        </w:tc>
        <w:tc>
          <w:tcPr>
            <w:tcW w:w="710" w:type="dxa"/>
          </w:tcPr>
          <w:p w14:paraId="78058AE6" w14:textId="694DD8E9" w:rsidR="00A90373" w:rsidRPr="00B430A0" w:rsidRDefault="0023525C" w:rsidP="00A90373">
            <w:pPr>
              <w:tabs>
                <w:tab w:val="left" w:pos="1350"/>
              </w:tabs>
              <w:spacing w:beforeLines="40" w:before="96" w:afterLines="40" w:after="96" w:line="24" w:lineRule="atLeast"/>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25</w:t>
            </w:r>
          </w:p>
        </w:tc>
      </w:tr>
      <w:tr w:rsidR="00A90373" w:rsidRPr="00B430A0" w14:paraId="71FDAFC1" w14:textId="00A47F15" w:rsidTr="0023525C">
        <w:tc>
          <w:tcPr>
            <w:tcW w:w="587" w:type="dxa"/>
          </w:tcPr>
          <w:p w14:paraId="7540155A" w14:textId="77777777" w:rsidR="00A90373" w:rsidRPr="00B430A0" w:rsidRDefault="00A90373" w:rsidP="00A90373">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17</w:t>
            </w:r>
          </w:p>
        </w:tc>
        <w:tc>
          <w:tcPr>
            <w:tcW w:w="968" w:type="dxa"/>
          </w:tcPr>
          <w:p w14:paraId="3680059F" w14:textId="77777777" w:rsidR="00A90373" w:rsidRPr="00B430A0" w:rsidRDefault="00A90373" w:rsidP="00A90373">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 xml:space="preserve">Generalizability  </w:t>
            </w:r>
            <w:r w:rsidRPr="00B430A0">
              <w:rPr>
                <w:rFonts w:ascii="Times New Roman" w:eastAsia="Times New Roman" w:hAnsi="Times New Roman" w:cs="Times New Roman"/>
                <w:sz w:val="18"/>
                <w:szCs w:val="18"/>
                <w:lang w:val="en-GB" w:eastAsia="en-GB"/>
              </w:rPr>
              <w:t> </w:t>
            </w:r>
          </w:p>
        </w:tc>
        <w:tc>
          <w:tcPr>
            <w:tcW w:w="2126" w:type="dxa"/>
          </w:tcPr>
          <w:p w14:paraId="68647C33" w14:textId="77777777" w:rsidR="00A90373" w:rsidRPr="00B430A0" w:rsidRDefault="00A90373" w:rsidP="00A90373">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sz w:val="18"/>
                <w:szCs w:val="18"/>
                <w:lang w:val="en-GB" w:eastAsia="en-GB"/>
              </w:rPr>
              <w:t xml:space="preserve">Discuss the generalizability of the study results (a) to other populations, (b) across other exposure </w:t>
            </w:r>
            <w:r w:rsidRPr="00B430A0">
              <w:rPr>
                <w:rFonts w:ascii="Times New Roman" w:eastAsia="Times New Roman" w:hAnsi="Times New Roman" w:cs="Times New Roman"/>
                <w:sz w:val="18"/>
                <w:szCs w:val="18"/>
                <w:lang w:val="en-GB" w:eastAsia="en-GB"/>
              </w:rPr>
              <w:lastRenderedPageBreak/>
              <w:t>periods/timings, and (c) across other levels of exposure</w:t>
            </w:r>
          </w:p>
        </w:tc>
        <w:tc>
          <w:tcPr>
            <w:tcW w:w="4678" w:type="dxa"/>
          </w:tcPr>
          <w:p w14:paraId="3ACD3D08" w14:textId="63307B4F" w:rsidR="00A90373" w:rsidRPr="00B430A0" w:rsidRDefault="00A90373" w:rsidP="00A90373">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lastRenderedPageBreak/>
              <w:t xml:space="preserve">Our study is based on data from the European population and may not be generalised to other </w:t>
            </w:r>
            <w:r w:rsidR="0023525C">
              <w:rPr>
                <w:rFonts w:ascii="Times New Roman" w:eastAsiaTheme="minorEastAsia" w:hAnsi="Times New Roman" w:cs="Times New Roman"/>
                <w:sz w:val="18"/>
                <w:szCs w:val="18"/>
                <w:lang w:val="en-GB" w:eastAsia="zh-CN"/>
              </w:rPr>
              <w:t>ancestries</w:t>
            </w:r>
            <w:r>
              <w:rPr>
                <w:rFonts w:ascii="Times New Roman" w:eastAsiaTheme="minorEastAsia" w:hAnsi="Times New Roman" w:cs="Times New Roman"/>
                <w:sz w:val="18"/>
                <w:szCs w:val="18"/>
                <w:lang w:val="en-GB" w:eastAsia="zh-CN"/>
              </w:rPr>
              <w:t xml:space="preserve">. We have discussed or noted this observation in several aspects of our study including the methods and limitations sub-section. </w:t>
            </w:r>
          </w:p>
        </w:tc>
        <w:tc>
          <w:tcPr>
            <w:tcW w:w="5528" w:type="dxa"/>
          </w:tcPr>
          <w:p w14:paraId="33033859" w14:textId="5F9BB31A" w:rsidR="00A90373" w:rsidRPr="00EF0D26" w:rsidRDefault="00DC2C80" w:rsidP="00A90373">
            <w:pPr>
              <w:spacing w:beforeLines="40" w:before="96" w:afterLines="40" w:after="96" w:line="24" w:lineRule="atLeast"/>
              <w:rPr>
                <w:rFonts w:ascii="Times New Roman" w:eastAsiaTheme="minorEastAsia" w:hAnsi="Times New Roman" w:cs="Times New Roman"/>
                <w:sz w:val="18"/>
                <w:szCs w:val="18"/>
                <w:lang w:eastAsia="zh-CN"/>
              </w:rPr>
            </w:pPr>
            <w:r w:rsidRPr="00DC2C80">
              <w:rPr>
                <w:rFonts w:ascii="Times New Roman" w:eastAsiaTheme="minorEastAsia" w:hAnsi="Times New Roman" w:cs="Times New Roman"/>
                <w:sz w:val="18"/>
                <w:szCs w:val="18"/>
                <w:lang w:val="en-AU" w:eastAsia="zh-CN"/>
              </w:rPr>
              <w:t xml:space="preserve">First, both GWAS datasets were based on individuals of European ancestry, which limits the generalisability of our findings to populations with different genetic backgrounds. Nevertheless, our study provides </w:t>
            </w:r>
            <w:r w:rsidRPr="00DC2C80">
              <w:rPr>
                <w:rFonts w:ascii="Times New Roman" w:eastAsiaTheme="minorEastAsia" w:hAnsi="Times New Roman" w:cs="Times New Roman"/>
                <w:sz w:val="18"/>
                <w:szCs w:val="18"/>
                <w:lang w:val="en-AU" w:eastAsia="zh-CN"/>
              </w:rPr>
              <w:lastRenderedPageBreak/>
              <w:t>robust within-population estimates that can inform and guide future multi-ancestry analyses</w:t>
            </w:r>
            <w:r>
              <w:rPr>
                <w:rFonts w:ascii="Times New Roman" w:eastAsiaTheme="minorEastAsia" w:hAnsi="Times New Roman" w:cs="Times New Roman"/>
                <w:sz w:val="18"/>
                <w:szCs w:val="18"/>
                <w:lang w:val="en-AU" w:eastAsia="zh-CN"/>
              </w:rPr>
              <w:t>.</w:t>
            </w:r>
          </w:p>
        </w:tc>
        <w:tc>
          <w:tcPr>
            <w:tcW w:w="710" w:type="dxa"/>
          </w:tcPr>
          <w:p w14:paraId="41ABF5A9" w14:textId="011E0B78" w:rsidR="00A90373" w:rsidRPr="00B430A0" w:rsidRDefault="00DC2C80" w:rsidP="00A90373">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lastRenderedPageBreak/>
              <w:t>29</w:t>
            </w:r>
          </w:p>
        </w:tc>
      </w:tr>
      <w:tr w:rsidR="00A90373" w:rsidRPr="00B430A0" w14:paraId="57884E75" w14:textId="6FD41AE6" w:rsidTr="00DC2C80">
        <w:tc>
          <w:tcPr>
            <w:tcW w:w="587" w:type="dxa"/>
          </w:tcPr>
          <w:p w14:paraId="2C4C694A" w14:textId="77777777" w:rsidR="00A90373" w:rsidRPr="00B430A0" w:rsidRDefault="00A90373" w:rsidP="00A90373">
            <w:pPr>
              <w:spacing w:beforeLines="40" w:before="96" w:afterLines="40" w:after="96" w:line="24" w:lineRule="atLeast"/>
              <w:rPr>
                <w:rFonts w:ascii="Times New Roman" w:eastAsia="Times New Roman" w:hAnsi="Times New Roman" w:cs="Times New Roman"/>
                <w:b/>
                <w:bCs/>
                <w:sz w:val="18"/>
                <w:szCs w:val="18"/>
                <w:lang w:val="en-GB" w:eastAsia="en-GB"/>
              </w:rPr>
            </w:pPr>
          </w:p>
        </w:tc>
        <w:tc>
          <w:tcPr>
            <w:tcW w:w="968" w:type="dxa"/>
          </w:tcPr>
          <w:p w14:paraId="0A6FFE33" w14:textId="77777777" w:rsidR="00A90373" w:rsidRPr="00B430A0" w:rsidRDefault="00A90373" w:rsidP="00A90373">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OTHER INFORMATION</w:t>
            </w:r>
          </w:p>
        </w:tc>
        <w:tc>
          <w:tcPr>
            <w:tcW w:w="2126" w:type="dxa"/>
          </w:tcPr>
          <w:p w14:paraId="0577947E" w14:textId="77777777" w:rsidR="00A90373" w:rsidRPr="00B430A0" w:rsidRDefault="00A90373" w:rsidP="00A90373">
            <w:pPr>
              <w:spacing w:beforeLines="40" w:before="96" w:afterLines="40" w:after="96" w:line="24" w:lineRule="atLeast"/>
              <w:rPr>
                <w:rFonts w:ascii="Times New Roman" w:eastAsia="Cambria" w:hAnsi="Times New Roman" w:cs="Times New Roman"/>
                <w:sz w:val="18"/>
                <w:szCs w:val="18"/>
                <w:lang w:val="en-GB" w:eastAsia="en-US"/>
              </w:rPr>
            </w:pPr>
          </w:p>
        </w:tc>
        <w:tc>
          <w:tcPr>
            <w:tcW w:w="4678" w:type="dxa"/>
          </w:tcPr>
          <w:p w14:paraId="7561574C" w14:textId="77777777" w:rsidR="00A90373" w:rsidRPr="00B430A0" w:rsidRDefault="00A90373" w:rsidP="00A90373">
            <w:pPr>
              <w:spacing w:beforeLines="40" w:before="96" w:afterLines="40" w:after="96" w:line="24" w:lineRule="atLeast"/>
              <w:rPr>
                <w:rFonts w:ascii="Times New Roman" w:eastAsia="Cambria" w:hAnsi="Times New Roman" w:cs="Times New Roman"/>
                <w:sz w:val="18"/>
                <w:szCs w:val="18"/>
                <w:lang w:val="en-GB" w:eastAsia="en-US"/>
              </w:rPr>
            </w:pPr>
          </w:p>
        </w:tc>
        <w:tc>
          <w:tcPr>
            <w:tcW w:w="5528" w:type="dxa"/>
          </w:tcPr>
          <w:p w14:paraId="1BE8EDC5" w14:textId="77777777" w:rsidR="00A90373" w:rsidRPr="00B430A0" w:rsidRDefault="00A90373" w:rsidP="00A90373">
            <w:pPr>
              <w:spacing w:beforeLines="40" w:before="96" w:afterLines="40" w:after="96" w:line="24" w:lineRule="atLeast"/>
              <w:rPr>
                <w:rFonts w:ascii="Times New Roman" w:eastAsia="Cambria" w:hAnsi="Times New Roman" w:cs="Times New Roman"/>
                <w:sz w:val="18"/>
                <w:szCs w:val="18"/>
                <w:lang w:val="en-GB" w:eastAsia="en-US"/>
              </w:rPr>
            </w:pPr>
          </w:p>
        </w:tc>
        <w:tc>
          <w:tcPr>
            <w:tcW w:w="710" w:type="dxa"/>
          </w:tcPr>
          <w:p w14:paraId="3718ED5B" w14:textId="33854D08" w:rsidR="00A90373" w:rsidRPr="00B430A0" w:rsidRDefault="00A90373" w:rsidP="00A90373">
            <w:pPr>
              <w:spacing w:beforeLines="40" w:before="96" w:afterLines="40" w:after="96" w:line="24" w:lineRule="atLeast"/>
              <w:rPr>
                <w:rFonts w:ascii="Times New Roman" w:eastAsia="Cambria" w:hAnsi="Times New Roman" w:cs="Times New Roman"/>
                <w:sz w:val="18"/>
                <w:szCs w:val="18"/>
                <w:lang w:val="en-GB" w:eastAsia="en-US"/>
              </w:rPr>
            </w:pPr>
          </w:p>
        </w:tc>
      </w:tr>
      <w:tr w:rsidR="00A90373" w:rsidRPr="00B430A0" w14:paraId="0014C6D1" w14:textId="2FC4D004" w:rsidTr="00DE549E">
        <w:tc>
          <w:tcPr>
            <w:tcW w:w="587" w:type="dxa"/>
          </w:tcPr>
          <w:p w14:paraId="2336D08C" w14:textId="77777777" w:rsidR="00A90373" w:rsidRPr="00B430A0" w:rsidRDefault="00A90373" w:rsidP="00A90373">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18</w:t>
            </w:r>
          </w:p>
        </w:tc>
        <w:tc>
          <w:tcPr>
            <w:tcW w:w="968" w:type="dxa"/>
          </w:tcPr>
          <w:p w14:paraId="08EB4FDF" w14:textId="77777777" w:rsidR="00A90373" w:rsidRPr="00B430A0" w:rsidRDefault="00A90373" w:rsidP="00A90373">
            <w:pPr>
              <w:spacing w:beforeLines="40" w:before="96" w:afterLines="40" w:after="96" w:line="24" w:lineRule="atLeast"/>
              <w:rPr>
                <w:rFonts w:ascii="Times New Roman" w:eastAsia="Cambria" w:hAnsi="Times New Roman" w:cs="Times New Roman"/>
                <w:sz w:val="18"/>
                <w:szCs w:val="18"/>
                <w:lang w:val="en-GB" w:eastAsia="en-US"/>
              </w:rPr>
            </w:pPr>
            <w:r w:rsidRPr="00B430A0">
              <w:rPr>
                <w:rFonts w:ascii="Times New Roman" w:eastAsia="Times New Roman" w:hAnsi="Times New Roman" w:cs="Times New Roman"/>
                <w:b/>
                <w:bCs/>
                <w:sz w:val="18"/>
                <w:szCs w:val="18"/>
                <w:lang w:val="en-GB" w:eastAsia="en-GB"/>
              </w:rPr>
              <w:t>Funding</w:t>
            </w:r>
          </w:p>
        </w:tc>
        <w:tc>
          <w:tcPr>
            <w:tcW w:w="2126" w:type="dxa"/>
          </w:tcPr>
          <w:p w14:paraId="4663DCA7" w14:textId="77777777" w:rsidR="00A90373" w:rsidRPr="00B430A0" w:rsidRDefault="00A90373" w:rsidP="00A90373">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4678" w:type="dxa"/>
          </w:tcPr>
          <w:p w14:paraId="33E2D855" w14:textId="1AD11027" w:rsidR="00A90373" w:rsidRPr="00B430A0" w:rsidRDefault="00A90373" w:rsidP="00A90373">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 xml:space="preserve">We have described funding sources and roles in the present study. </w:t>
            </w:r>
          </w:p>
        </w:tc>
        <w:tc>
          <w:tcPr>
            <w:tcW w:w="5528" w:type="dxa"/>
          </w:tcPr>
          <w:p w14:paraId="6134A28D" w14:textId="1BEF437B" w:rsidR="00A90373" w:rsidRPr="00B430A0" w:rsidRDefault="00DE549E" w:rsidP="00A90373">
            <w:pPr>
              <w:spacing w:beforeLines="40" w:before="96" w:afterLines="40" w:after="96" w:line="24" w:lineRule="atLeast"/>
              <w:rPr>
                <w:rFonts w:ascii="Times New Roman" w:eastAsia="Times New Roman" w:hAnsi="Times New Roman" w:cs="Times New Roman"/>
                <w:sz w:val="18"/>
                <w:szCs w:val="18"/>
                <w:lang w:eastAsia="en-GB"/>
              </w:rPr>
            </w:pPr>
            <w:r w:rsidRPr="00DE549E">
              <w:rPr>
                <w:rFonts w:ascii="Times New Roman" w:eastAsia="Times New Roman" w:hAnsi="Times New Roman" w:cs="Times New Roman"/>
                <w:sz w:val="18"/>
                <w:szCs w:val="18"/>
                <w:lang w:eastAsia="en-GB"/>
              </w:rPr>
              <w:t>E.O.A. was supported by an NHMRC Investigator Fellowship (GNT2025837). The funding body had no role in the design, analysis, interpretation, or reporting of the study findings.</w:t>
            </w:r>
          </w:p>
        </w:tc>
        <w:tc>
          <w:tcPr>
            <w:tcW w:w="710" w:type="dxa"/>
          </w:tcPr>
          <w:p w14:paraId="2C6CE5FF" w14:textId="7E0ACFF4" w:rsidR="00A90373" w:rsidRPr="00B430A0" w:rsidRDefault="00DE549E" w:rsidP="00A90373">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46</w:t>
            </w:r>
          </w:p>
        </w:tc>
      </w:tr>
      <w:tr w:rsidR="00A90373" w:rsidRPr="00B430A0" w14:paraId="1B22CB41" w14:textId="102364C9" w:rsidTr="00B70795">
        <w:tc>
          <w:tcPr>
            <w:tcW w:w="587" w:type="dxa"/>
          </w:tcPr>
          <w:p w14:paraId="381BF2BA" w14:textId="77777777" w:rsidR="00A90373" w:rsidRPr="00B430A0" w:rsidRDefault="00A90373" w:rsidP="00A90373">
            <w:pPr>
              <w:spacing w:beforeLines="40" w:before="96" w:afterLines="40" w:after="96" w:line="24" w:lineRule="atLeast"/>
              <w:rPr>
                <w:rFonts w:ascii="Times New Roman" w:eastAsia="Times New Roman" w:hAnsi="Times New Roman" w:cs="Times New Roman"/>
                <w:b/>
                <w:bCs/>
                <w:sz w:val="18"/>
                <w:szCs w:val="18"/>
                <w:lang w:val="en-GB" w:eastAsia="en-GB"/>
              </w:rPr>
            </w:pPr>
            <w:bookmarkStart w:id="0" w:name="_Hlk187704215"/>
            <w:r w:rsidRPr="00B430A0">
              <w:rPr>
                <w:rFonts w:ascii="Times New Roman" w:eastAsia="Times New Roman" w:hAnsi="Times New Roman" w:cs="Times New Roman"/>
                <w:sz w:val="18"/>
                <w:szCs w:val="18"/>
                <w:lang w:val="en-GB" w:eastAsia="en-GB"/>
              </w:rPr>
              <w:t>19</w:t>
            </w:r>
          </w:p>
        </w:tc>
        <w:tc>
          <w:tcPr>
            <w:tcW w:w="968" w:type="dxa"/>
          </w:tcPr>
          <w:p w14:paraId="233BA942" w14:textId="77777777" w:rsidR="00A90373" w:rsidRPr="00B430A0" w:rsidRDefault="00A90373" w:rsidP="00A90373">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Data and data sharing </w:t>
            </w:r>
          </w:p>
        </w:tc>
        <w:tc>
          <w:tcPr>
            <w:tcW w:w="2126" w:type="dxa"/>
          </w:tcPr>
          <w:p w14:paraId="42D9085E" w14:textId="77777777" w:rsidR="00A90373" w:rsidRPr="00B430A0" w:rsidRDefault="00A90373" w:rsidP="00A90373">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 xml:space="preserve">Provide the data used to perform all analyses or report where and how the data can be </w:t>
            </w:r>
            <w:proofErr w:type="gramStart"/>
            <w:r w:rsidRPr="00B430A0">
              <w:rPr>
                <w:rFonts w:ascii="Times New Roman" w:eastAsia="Times New Roman" w:hAnsi="Times New Roman" w:cs="Times New Roman"/>
                <w:sz w:val="18"/>
                <w:szCs w:val="18"/>
                <w:lang w:val="en-GB" w:eastAsia="en-GB"/>
              </w:rPr>
              <w:t>accessed, and</w:t>
            </w:r>
            <w:proofErr w:type="gramEnd"/>
            <w:r w:rsidRPr="00B430A0">
              <w:rPr>
                <w:rFonts w:ascii="Times New Roman" w:eastAsia="Times New Roman" w:hAnsi="Times New Roman" w:cs="Times New Roman"/>
                <w:sz w:val="18"/>
                <w:szCs w:val="18"/>
                <w:lang w:val="en-GB" w:eastAsia="en-GB"/>
              </w:rPr>
              <w:t xml:space="preserve"> reference these sources in the article. Provide the statistical code needed to reproduce the results in the article, or report whether the code is publicly accessible and if so, where</w:t>
            </w:r>
          </w:p>
        </w:tc>
        <w:tc>
          <w:tcPr>
            <w:tcW w:w="4678" w:type="dxa"/>
          </w:tcPr>
          <w:p w14:paraId="5FB0D599" w14:textId="77777777" w:rsidR="00A90373" w:rsidRDefault="00A90373" w:rsidP="00A90373">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 xml:space="preserve">We provide detailed information on the data used for analysis in our study in-text with additional cohort-specific details and links to publications and/or download sources in Supplementary Table 1. </w:t>
            </w:r>
          </w:p>
          <w:p w14:paraId="657B9254" w14:textId="77777777" w:rsidR="00A90373" w:rsidRDefault="00A90373" w:rsidP="00A90373">
            <w:pPr>
              <w:spacing w:beforeLines="40" w:before="96" w:afterLines="40" w:after="96" w:line="24" w:lineRule="atLeast"/>
              <w:rPr>
                <w:rFonts w:ascii="Times New Roman" w:eastAsiaTheme="minorEastAsia" w:hAnsi="Times New Roman" w:cs="Times New Roman"/>
                <w:sz w:val="18"/>
                <w:szCs w:val="18"/>
                <w:lang w:val="en-GB" w:eastAsia="zh-CN"/>
              </w:rPr>
            </w:pPr>
          </w:p>
          <w:p w14:paraId="5725EE6D" w14:textId="0904E8C6" w:rsidR="00A90373" w:rsidRPr="00B430A0" w:rsidRDefault="00A90373" w:rsidP="00A90373">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 xml:space="preserve">Also, we have indicated that the codes used in our </w:t>
            </w:r>
            <w:r w:rsidR="00B70795">
              <w:rPr>
                <w:rFonts w:ascii="Times New Roman" w:eastAsiaTheme="minorEastAsia" w:hAnsi="Times New Roman" w:cs="Times New Roman"/>
                <w:sz w:val="18"/>
                <w:szCs w:val="18"/>
                <w:lang w:val="en-GB" w:eastAsia="zh-CN"/>
              </w:rPr>
              <w:t xml:space="preserve">work </w:t>
            </w:r>
            <w:r>
              <w:rPr>
                <w:rFonts w:ascii="Times New Roman" w:eastAsiaTheme="minorEastAsia" w:hAnsi="Times New Roman" w:cs="Times New Roman"/>
                <w:sz w:val="18"/>
                <w:szCs w:val="18"/>
                <w:lang w:val="en-GB" w:eastAsia="zh-CN"/>
              </w:rPr>
              <w:t xml:space="preserve">are publicly available with links to their sources </w:t>
            </w:r>
          </w:p>
        </w:tc>
        <w:tc>
          <w:tcPr>
            <w:tcW w:w="5528" w:type="dxa"/>
          </w:tcPr>
          <w:p w14:paraId="58642283" w14:textId="77777777" w:rsidR="001B4BFD" w:rsidRPr="001B4BFD" w:rsidRDefault="001B4BFD" w:rsidP="001B4BFD">
            <w:pPr>
              <w:spacing w:beforeLines="40" w:before="96" w:afterLines="40" w:after="96" w:line="24" w:lineRule="atLeast"/>
              <w:rPr>
                <w:rFonts w:ascii="Times New Roman" w:eastAsia="Times New Roman" w:hAnsi="Times New Roman" w:cs="Times New Roman"/>
                <w:sz w:val="18"/>
                <w:szCs w:val="18"/>
                <w:lang w:val="en-GB" w:eastAsia="en-GB"/>
              </w:rPr>
            </w:pPr>
            <w:r w:rsidRPr="001B4BFD">
              <w:rPr>
                <w:rFonts w:ascii="Times New Roman" w:eastAsia="Times New Roman" w:hAnsi="Times New Roman" w:cs="Times New Roman"/>
                <w:sz w:val="18"/>
                <w:szCs w:val="18"/>
                <w:lang w:val="en-GB" w:eastAsia="en-GB"/>
              </w:rPr>
              <w:t>Data Availability</w:t>
            </w:r>
          </w:p>
          <w:p w14:paraId="148CE76A" w14:textId="77777777" w:rsidR="001B4BFD" w:rsidRPr="001B4BFD" w:rsidRDefault="001B4BFD" w:rsidP="001B4BFD">
            <w:pPr>
              <w:spacing w:beforeLines="40" w:before="96" w:afterLines="40" w:after="96" w:line="24" w:lineRule="atLeast"/>
              <w:rPr>
                <w:rFonts w:ascii="Times New Roman" w:eastAsia="Times New Roman" w:hAnsi="Times New Roman" w:cs="Times New Roman"/>
                <w:sz w:val="18"/>
                <w:szCs w:val="18"/>
                <w:lang w:val="en-GB" w:eastAsia="en-GB"/>
              </w:rPr>
            </w:pPr>
            <w:r w:rsidRPr="001B4BFD">
              <w:rPr>
                <w:rFonts w:ascii="Times New Roman" w:eastAsia="Times New Roman" w:hAnsi="Times New Roman" w:cs="Times New Roman"/>
                <w:sz w:val="18"/>
                <w:szCs w:val="18"/>
                <w:lang w:val="en-GB" w:eastAsia="en-GB"/>
              </w:rPr>
              <w:t>All data analysed in this study are fully described in the main manuscript and Supplementary Materials. GWAS summary statistics were obtained from publicly accessible repositories and international research consortia, as detailed in the data sources section. Supplementary Table 1 provides a comprehensive overview of all datasets, including accession details and direct links for data access where appropriate.</w:t>
            </w:r>
          </w:p>
          <w:p w14:paraId="7C968F97" w14:textId="77777777" w:rsidR="001B4BFD" w:rsidRPr="001B4BFD" w:rsidRDefault="001B4BFD" w:rsidP="001B4BFD">
            <w:pPr>
              <w:spacing w:beforeLines="40" w:before="96" w:afterLines="40" w:after="96" w:line="24" w:lineRule="atLeast"/>
              <w:rPr>
                <w:rFonts w:ascii="Times New Roman" w:eastAsia="Times New Roman" w:hAnsi="Times New Roman" w:cs="Times New Roman"/>
                <w:sz w:val="18"/>
                <w:szCs w:val="18"/>
                <w:lang w:val="en-GB" w:eastAsia="en-GB"/>
              </w:rPr>
            </w:pPr>
            <w:r w:rsidRPr="001B4BFD">
              <w:rPr>
                <w:rFonts w:ascii="Times New Roman" w:eastAsia="Times New Roman" w:hAnsi="Times New Roman" w:cs="Times New Roman"/>
                <w:sz w:val="18"/>
                <w:szCs w:val="18"/>
                <w:lang w:val="en-GB" w:eastAsia="en-GB"/>
              </w:rPr>
              <w:t>Code availability</w:t>
            </w:r>
          </w:p>
          <w:p w14:paraId="48049A71" w14:textId="370F9C00" w:rsidR="00A90373" w:rsidRPr="00B70795" w:rsidRDefault="001B4BFD" w:rsidP="001B4BFD">
            <w:pPr>
              <w:spacing w:beforeLines="40" w:before="96" w:afterLines="40" w:after="96" w:line="24" w:lineRule="atLeast"/>
              <w:rPr>
                <w:rFonts w:ascii="Times New Roman" w:eastAsia="Times New Roman" w:hAnsi="Times New Roman" w:cs="Times New Roman"/>
                <w:sz w:val="18"/>
                <w:szCs w:val="18"/>
                <w:lang w:val="en-GB" w:eastAsia="en-GB"/>
              </w:rPr>
            </w:pPr>
            <w:r w:rsidRPr="001B4BFD">
              <w:rPr>
                <w:rFonts w:ascii="Times New Roman" w:eastAsia="Times New Roman" w:hAnsi="Times New Roman" w:cs="Times New Roman"/>
                <w:sz w:val="18"/>
                <w:szCs w:val="18"/>
                <w:lang w:val="en-GB" w:eastAsia="en-GB"/>
              </w:rPr>
              <w:t xml:space="preserve">Analyses were conducted using publicly available software. URLs for each tool, along with relevant documentation and code, where applicable, are listed below: </w:t>
            </w:r>
          </w:p>
        </w:tc>
        <w:tc>
          <w:tcPr>
            <w:tcW w:w="710" w:type="dxa"/>
          </w:tcPr>
          <w:p w14:paraId="38DE3AA7" w14:textId="3D8F34EB" w:rsidR="00A90373" w:rsidRPr="00B430A0" w:rsidRDefault="0020667D" w:rsidP="00A90373">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40</w:t>
            </w:r>
          </w:p>
        </w:tc>
      </w:tr>
      <w:bookmarkEnd w:id="0"/>
      <w:tr w:rsidR="00A90373" w:rsidRPr="00B430A0" w14:paraId="1BFE6A86" w14:textId="26747AA0" w:rsidTr="00366441">
        <w:tc>
          <w:tcPr>
            <w:tcW w:w="587" w:type="dxa"/>
          </w:tcPr>
          <w:p w14:paraId="20DC2C92" w14:textId="77777777" w:rsidR="00A90373" w:rsidRPr="00B430A0" w:rsidRDefault="00A90373" w:rsidP="00A90373">
            <w:pPr>
              <w:spacing w:beforeLines="40" w:before="96" w:afterLines="40" w:after="96" w:line="24" w:lineRule="atLeast"/>
              <w:rPr>
                <w:rFonts w:ascii="Times New Roman" w:eastAsia="Times New Roman" w:hAnsi="Times New Roman" w:cs="Times New Roman"/>
                <w:b/>
                <w:bCs/>
                <w:sz w:val="18"/>
                <w:szCs w:val="18"/>
                <w:lang w:val="en-GB" w:eastAsia="en-GB"/>
              </w:rPr>
            </w:pPr>
            <w:r w:rsidRPr="00B430A0">
              <w:rPr>
                <w:rFonts w:ascii="Times New Roman" w:eastAsia="Times New Roman" w:hAnsi="Times New Roman" w:cs="Times New Roman"/>
                <w:sz w:val="18"/>
                <w:szCs w:val="18"/>
                <w:lang w:val="en-GB" w:eastAsia="en-GB"/>
              </w:rPr>
              <w:t>20</w:t>
            </w:r>
          </w:p>
        </w:tc>
        <w:tc>
          <w:tcPr>
            <w:tcW w:w="968" w:type="dxa"/>
          </w:tcPr>
          <w:p w14:paraId="39A69A1B" w14:textId="77777777" w:rsidR="00A90373" w:rsidRPr="00B430A0" w:rsidRDefault="00A90373" w:rsidP="00A90373">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b/>
                <w:bCs/>
                <w:sz w:val="18"/>
                <w:szCs w:val="18"/>
                <w:lang w:val="en-GB" w:eastAsia="en-GB"/>
              </w:rPr>
              <w:t>Conflicts of Interest  </w:t>
            </w:r>
          </w:p>
        </w:tc>
        <w:tc>
          <w:tcPr>
            <w:tcW w:w="2126" w:type="dxa"/>
          </w:tcPr>
          <w:p w14:paraId="4772D912" w14:textId="77777777" w:rsidR="00A90373" w:rsidRPr="00B430A0" w:rsidRDefault="00A90373" w:rsidP="00A90373">
            <w:pPr>
              <w:spacing w:beforeLines="40" w:before="96" w:afterLines="40" w:after="96" w:line="24" w:lineRule="atLeast"/>
              <w:rPr>
                <w:rFonts w:ascii="Times New Roman" w:eastAsia="Times New Roman" w:hAnsi="Times New Roman" w:cs="Times New Roman"/>
                <w:sz w:val="18"/>
                <w:szCs w:val="18"/>
                <w:lang w:val="en-GB" w:eastAsia="en-GB"/>
              </w:rPr>
            </w:pPr>
            <w:r w:rsidRPr="00B430A0">
              <w:rPr>
                <w:rFonts w:ascii="Times New Roman" w:eastAsia="Times New Roman" w:hAnsi="Times New Roman" w:cs="Times New Roman"/>
                <w:sz w:val="18"/>
                <w:szCs w:val="18"/>
                <w:lang w:val="en-GB" w:eastAsia="en-GB"/>
              </w:rPr>
              <w:t>All authors should declare all potential conflicts of interest</w:t>
            </w:r>
          </w:p>
        </w:tc>
        <w:tc>
          <w:tcPr>
            <w:tcW w:w="4678" w:type="dxa"/>
          </w:tcPr>
          <w:p w14:paraId="1B63BC8B" w14:textId="21C4D01A" w:rsidR="00A90373" w:rsidRPr="00B430A0" w:rsidRDefault="00A90373" w:rsidP="00A90373">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sz w:val="18"/>
                <w:szCs w:val="18"/>
                <w:lang w:val="en-GB" w:eastAsia="zh-CN"/>
              </w:rPr>
              <w:t>We have provided information that we have no conflict of interest to declare.</w:t>
            </w:r>
          </w:p>
        </w:tc>
        <w:tc>
          <w:tcPr>
            <w:tcW w:w="5528" w:type="dxa"/>
          </w:tcPr>
          <w:p w14:paraId="2BED9CC7" w14:textId="77777777" w:rsidR="008B67EB" w:rsidRPr="008B67EB" w:rsidRDefault="008B67EB" w:rsidP="008B67EB">
            <w:pPr>
              <w:spacing w:beforeLines="40" w:before="96" w:afterLines="40" w:after="96" w:line="24" w:lineRule="atLeast"/>
              <w:rPr>
                <w:rFonts w:ascii="Times New Roman" w:eastAsia="Times New Roman" w:hAnsi="Times New Roman" w:cs="Times New Roman"/>
                <w:sz w:val="18"/>
                <w:szCs w:val="18"/>
                <w:lang w:eastAsia="en-GB"/>
              </w:rPr>
            </w:pPr>
            <w:r w:rsidRPr="008B67EB">
              <w:rPr>
                <w:rFonts w:ascii="Times New Roman" w:eastAsia="Times New Roman" w:hAnsi="Times New Roman" w:cs="Times New Roman"/>
                <w:sz w:val="18"/>
                <w:szCs w:val="18"/>
                <w:lang w:eastAsia="en-GB"/>
              </w:rPr>
              <w:t>Competing interests</w:t>
            </w:r>
          </w:p>
          <w:p w14:paraId="6D2DAB28" w14:textId="55A453B6" w:rsidR="00A90373" w:rsidRPr="00B430A0" w:rsidRDefault="008B67EB" w:rsidP="008B67EB">
            <w:pPr>
              <w:spacing w:beforeLines="40" w:before="96" w:afterLines="40" w:after="96" w:line="24" w:lineRule="atLeast"/>
              <w:rPr>
                <w:rFonts w:ascii="Times New Roman" w:eastAsia="Times New Roman" w:hAnsi="Times New Roman" w:cs="Times New Roman"/>
                <w:sz w:val="18"/>
                <w:szCs w:val="18"/>
                <w:lang w:eastAsia="en-GB"/>
              </w:rPr>
            </w:pPr>
            <w:r w:rsidRPr="008B67EB">
              <w:rPr>
                <w:rFonts w:ascii="Times New Roman" w:eastAsia="Times New Roman" w:hAnsi="Times New Roman" w:cs="Times New Roman"/>
                <w:sz w:val="18"/>
                <w:szCs w:val="18"/>
                <w:lang w:eastAsia="en-GB"/>
              </w:rPr>
              <w:t>All authors declare no competing interests</w:t>
            </w:r>
          </w:p>
        </w:tc>
        <w:tc>
          <w:tcPr>
            <w:tcW w:w="710" w:type="dxa"/>
          </w:tcPr>
          <w:p w14:paraId="5D9123A4" w14:textId="3CB43F01" w:rsidR="00A90373" w:rsidRPr="00B430A0" w:rsidRDefault="00366441" w:rsidP="00A90373">
            <w:pPr>
              <w:spacing w:beforeLines="40" w:before="96" w:afterLines="40" w:after="96" w:line="24" w:lineRule="atLeas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47</w:t>
            </w:r>
          </w:p>
        </w:tc>
      </w:tr>
    </w:tbl>
    <w:p w14:paraId="386115B2" w14:textId="17D6D8D3" w:rsidR="000F12A0" w:rsidRDefault="00D65199" w:rsidP="005520ED">
      <w:pPr>
        <w:spacing w:before="240" w:after="240"/>
        <w:rPr>
          <w:rFonts w:ascii="Times New Roman" w:hAnsi="Times New Roman" w:cs="Times New Roman"/>
          <w:sz w:val="19"/>
          <w:szCs w:val="19"/>
        </w:rPr>
      </w:pPr>
      <w:r w:rsidRPr="00B430A0">
        <w:rPr>
          <w:rFonts w:ascii="Times New Roman" w:hAnsi="Times New Roman" w:cs="Times New Roman"/>
          <w:sz w:val="19"/>
          <w:szCs w:val="19"/>
        </w:rPr>
        <w:t xml:space="preserve">This checklist is copyrighted by the Equator Network under the Creative Commons Attribution 3.0 </w:t>
      </w:r>
      <w:proofErr w:type="spellStart"/>
      <w:r w:rsidRPr="00B430A0">
        <w:rPr>
          <w:rFonts w:ascii="Times New Roman" w:hAnsi="Times New Roman" w:cs="Times New Roman"/>
          <w:sz w:val="19"/>
          <w:szCs w:val="19"/>
        </w:rPr>
        <w:t>Unported</w:t>
      </w:r>
      <w:proofErr w:type="spellEnd"/>
      <w:r w:rsidRPr="00B430A0">
        <w:rPr>
          <w:rFonts w:ascii="Times New Roman" w:hAnsi="Times New Roman" w:cs="Times New Roman"/>
          <w:sz w:val="19"/>
          <w:szCs w:val="19"/>
        </w:rPr>
        <w:t xml:space="preserve"> (CC BY 3.0) license.</w:t>
      </w:r>
    </w:p>
    <w:p w14:paraId="2B533380" w14:textId="77777777" w:rsidR="00FE15B8" w:rsidRDefault="00FE15B8" w:rsidP="005520ED">
      <w:pPr>
        <w:spacing w:before="240" w:after="240"/>
        <w:rPr>
          <w:rFonts w:ascii="Times New Roman" w:hAnsi="Times New Roman" w:cs="Times New Roman"/>
          <w:sz w:val="19"/>
          <w:szCs w:val="19"/>
        </w:rPr>
      </w:pPr>
    </w:p>
    <w:p w14:paraId="7D3B7C11" w14:textId="77777777" w:rsidR="009013B1" w:rsidRDefault="009013B1" w:rsidP="005520ED">
      <w:pPr>
        <w:spacing w:before="240" w:after="240"/>
        <w:rPr>
          <w:rFonts w:ascii="Times New Roman" w:hAnsi="Times New Roman" w:cs="Times New Roman"/>
          <w:sz w:val="19"/>
          <w:szCs w:val="19"/>
        </w:rPr>
      </w:pPr>
    </w:p>
    <w:p w14:paraId="022E02F4" w14:textId="77777777" w:rsidR="009013B1" w:rsidRDefault="009013B1" w:rsidP="005520ED">
      <w:pPr>
        <w:spacing w:before="240" w:after="240"/>
        <w:rPr>
          <w:rFonts w:ascii="Times New Roman" w:hAnsi="Times New Roman" w:cs="Times New Roman"/>
          <w:sz w:val="19"/>
          <w:szCs w:val="19"/>
        </w:rPr>
      </w:pPr>
    </w:p>
    <w:p w14:paraId="76CE2066" w14:textId="77777777" w:rsidR="009013B1" w:rsidRDefault="009013B1" w:rsidP="005520ED">
      <w:pPr>
        <w:spacing w:before="240" w:after="240"/>
        <w:rPr>
          <w:rFonts w:ascii="Times New Roman" w:hAnsi="Times New Roman" w:cs="Times New Roman"/>
          <w:sz w:val="19"/>
          <w:szCs w:val="19"/>
        </w:rPr>
      </w:pPr>
    </w:p>
    <w:p w14:paraId="7B3D4B12" w14:textId="77777777" w:rsidR="009013B1" w:rsidRDefault="009013B1" w:rsidP="005520ED">
      <w:pPr>
        <w:spacing w:before="240" w:after="240"/>
        <w:rPr>
          <w:rFonts w:ascii="Times New Roman" w:hAnsi="Times New Roman" w:cs="Times New Roman"/>
          <w:sz w:val="19"/>
          <w:szCs w:val="19"/>
        </w:rPr>
      </w:pPr>
    </w:p>
    <w:p w14:paraId="3268AAFD" w14:textId="5BADE569" w:rsidR="00FE15B8" w:rsidRPr="00B430A0" w:rsidRDefault="00FE15B8" w:rsidP="005520ED">
      <w:pPr>
        <w:spacing w:before="240" w:after="240"/>
        <w:rPr>
          <w:rFonts w:ascii="Times New Roman" w:hAnsi="Times New Roman" w:cs="Times New Roman"/>
          <w:sz w:val="19"/>
          <w:szCs w:val="19"/>
        </w:rPr>
      </w:pPr>
      <w:r>
        <w:rPr>
          <w:rFonts w:ascii="Times New Roman" w:hAnsi="Times New Roman" w:cs="Times New Roman"/>
          <w:sz w:val="19"/>
          <w:szCs w:val="19"/>
        </w:rPr>
        <w:lastRenderedPageBreak/>
        <w:t>References</w:t>
      </w:r>
    </w:p>
    <w:p w14:paraId="6041E94E" w14:textId="77777777" w:rsidR="00AB0D82" w:rsidRDefault="008B67EB" w:rsidP="00AB0D82">
      <w:pPr>
        <w:pStyle w:val="EndNoteBibliography"/>
        <w:ind w:left="720" w:hanging="720"/>
        <w:rPr>
          <w:rFonts w:ascii="Times New Roman" w:hAnsi="Times New Roman" w:cs="Times New Roman"/>
          <w:sz w:val="18"/>
          <w:szCs w:val="18"/>
        </w:rPr>
      </w:pPr>
      <w:r w:rsidRPr="009013B1">
        <w:rPr>
          <w:rFonts w:ascii="Times New Roman" w:hAnsi="Times New Roman" w:cs="Times New Roman"/>
          <w:sz w:val="18"/>
          <w:szCs w:val="18"/>
        </w:rPr>
        <w:fldChar w:fldCharType="begin"/>
      </w:r>
      <w:r w:rsidRPr="009013B1">
        <w:rPr>
          <w:rFonts w:ascii="Times New Roman" w:hAnsi="Times New Roman" w:cs="Times New Roman"/>
          <w:sz w:val="18"/>
          <w:szCs w:val="18"/>
        </w:rPr>
        <w:instrText xml:space="preserve"> ADDIN EN.REFLIST </w:instrText>
      </w:r>
      <w:r w:rsidRPr="009013B1">
        <w:rPr>
          <w:rFonts w:ascii="Times New Roman" w:hAnsi="Times New Roman" w:cs="Times New Roman"/>
          <w:sz w:val="18"/>
          <w:szCs w:val="18"/>
        </w:rPr>
        <w:fldChar w:fldCharType="separate"/>
      </w:r>
      <w:r w:rsidR="00AB0D82" w:rsidRPr="009013B1">
        <w:rPr>
          <w:rFonts w:ascii="Times New Roman" w:hAnsi="Times New Roman" w:cs="Times New Roman"/>
          <w:sz w:val="18"/>
          <w:szCs w:val="18"/>
        </w:rPr>
        <w:t>1</w:t>
      </w:r>
      <w:r w:rsidR="00AB0D82" w:rsidRPr="009013B1">
        <w:rPr>
          <w:rFonts w:ascii="Times New Roman" w:hAnsi="Times New Roman" w:cs="Times New Roman"/>
          <w:sz w:val="18"/>
          <w:szCs w:val="18"/>
        </w:rPr>
        <w:tab/>
        <w:t>Skrivankova, V. W.</w:t>
      </w:r>
      <w:r w:rsidR="00AB0D82" w:rsidRPr="009013B1">
        <w:rPr>
          <w:rFonts w:ascii="Times New Roman" w:hAnsi="Times New Roman" w:cs="Times New Roman"/>
          <w:i/>
          <w:sz w:val="18"/>
          <w:szCs w:val="18"/>
        </w:rPr>
        <w:t xml:space="preserve"> et al.</w:t>
      </w:r>
      <w:r w:rsidR="00AB0D82" w:rsidRPr="009013B1">
        <w:rPr>
          <w:rFonts w:ascii="Times New Roman" w:hAnsi="Times New Roman" w:cs="Times New Roman"/>
          <w:sz w:val="18"/>
          <w:szCs w:val="18"/>
        </w:rPr>
        <w:t xml:space="preserve"> Strengthening the reporting of observational studies in epidemiology using mendelian randomisation (STROBE-MR): explanation and elaboration. </w:t>
      </w:r>
      <w:r w:rsidR="00AB0D82" w:rsidRPr="009013B1">
        <w:rPr>
          <w:rFonts w:ascii="Times New Roman" w:hAnsi="Times New Roman" w:cs="Times New Roman"/>
          <w:i/>
          <w:sz w:val="18"/>
          <w:szCs w:val="18"/>
        </w:rPr>
        <w:t>bmj</w:t>
      </w:r>
      <w:r w:rsidR="00AB0D82" w:rsidRPr="009013B1">
        <w:rPr>
          <w:rFonts w:ascii="Times New Roman" w:hAnsi="Times New Roman" w:cs="Times New Roman"/>
          <w:sz w:val="18"/>
          <w:szCs w:val="18"/>
        </w:rPr>
        <w:t xml:space="preserve"> </w:t>
      </w:r>
      <w:r w:rsidR="00AB0D82" w:rsidRPr="009013B1">
        <w:rPr>
          <w:rFonts w:ascii="Times New Roman" w:hAnsi="Times New Roman" w:cs="Times New Roman"/>
          <w:b/>
          <w:sz w:val="18"/>
          <w:szCs w:val="18"/>
        </w:rPr>
        <w:t>375</w:t>
      </w:r>
      <w:r w:rsidR="00AB0D82" w:rsidRPr="009013B1">
        <w:rPr>
          <w:rFonts w:ascii="Times New Roman" w:hAnsi="Times New Roman" w:cs="Times New Roman"/>
          <w:sz w:val="18"/>
          <w:szCs w:val="18"/>
        </w:rPr>
        <w:t xml:space="preserve"> (2021). </w:t>
      </w:r>
    </w:p>
    <w:p w14:paraId="6BB307E0" w14:textId="77777777" w:rsidR="00876CDC" w:rsidRPr="009013B1" w:rsidRDefault="00876CDC" w:rsidP="00AB0D82">
      <w:pPr>
        <w:pStyle w:val="EndNoteBibliography"/>
        <w:ind w:left="720" w:hanging="720"/>
        <w:rPr>
          <w:rFonts w:ascii="Times New Roman" w:hAnsi="Times New Roman" w:cs="Times New Roman"/>
          <w:sz w:val="18"/>
          <w:szCs w:val="18"/>
        </w:rPr>
      </w:pPr>
    </w:p>
    <w:p w14:paraId="1ABC94D3" w14:textId="77777777" w:rsidR="00AB0D82" w:rsidRDefault="00AB0D82" w:rsidP="00AB0D82">
      <w:pPr>
        <w:pStyle w:val="EndNoteBibliography"/>
        <w:ind w:left="720" w:hanging="720"/>
        <w:rPr>
          <w:rFonts w:ascii="Times New Roman" w:hAnsi="Times New Roman" w:cs="Times New Roman"/>
          <w:sz w:val="18"/>
          <w:szCs w:val="18"/>
        </w:rPr>
      </w:pPr>
      <w:r w:rsidRPr="009013B1">
        <w:rPr>
          <w:rFonts w:ascii="Times New Roman" w:hAnsi="Times New Roman" w:cs="Times New Roman"/>
          <w:sz w:val="18"/>
          <w:szCs w:val="18"/>
        </w:rPr>
        <w:t>2</w:t>
      </w:r>
      <w:r w:rsidRPr="009013B1">
        <w:rPr>
          <w:rFonts w:ascii="Times New Roman" w:hAnsi="Times New Roman" w:cs="Times New Roman"/>
          <w:sz w:val="18"/>
          <w:szCs w:val="18"/>
        </w:rPr>
        <w:tab/>
        <w:t>Skrivankova, V. W.</w:t>
      </w:r>
      <w:r w:rsidRPr="009013B1">
        <w:rPr>
          <w:rFonts w:ascii="Times New Roman" w:hAnsi="Times New Roman" w:cs="Times New Roman"/>
          <w:i/>
          <w:sz w:val="18"/>
          <w:szCs w:val="18"/>
        </w:rPr>
        <w:t xml:space="preserve"> et al.</w:t>
      </w:r>
      <w:r w:rsidRPr="009013B1">
        <w:rPr>
          <w:rFonts w:ascii="Times New Roman" w:hAnsi="Times New Roman" w:cs="Times New Roman"/>
          <w:sz w:val="18"/>
          <w:szCs w:val="18"/>
        </w:rPr>
        <w:t xml:space="preserve"> Strengthening the reporting of observational studies in epidemiology using Mendelian randomization: the STROBE-MR statement. </w:t>
      </w:r>
      <w:r w:rsidRPr="009013B1">
        <w:rPr>
          <w:rFonts w:ascii="Times New Roman" w:hAnsi="Times New Roman" w:cs="Times New Roman"/>
          <w:i/>
          <w:sz w:val="18"/>
          <w:szCs w:val="18"/>
        </w:rPr>
        <w:t>Jama</w:t>
      </w:r>
      <w:r w:rsidRPr="009013B1">
        <w:rPr>
          <w:rFonts w:ascii="Times New Roman" w:hAnsi="Times New Roman" w:cs="Times New Roman"/>
          <w:sz w:val="18"/>
          <w:szCs w:val="18"/>
        </w:rPr>
        <w:t xml:space="preserve"> </w:t>
      </w:r>
      <w:r w:rsidRPr="009013B1">
        <w:rPr>
          <w:rFonts w:ascii="Times New Roman" w:hAnsi="Times New Roman" w:cs="Times New Roman"/>
          <w:b/>
          <w:sz w:val="18"/>
          <w:szCs w:val="18"/>
        </w:rPr>
        <w:t>326</w:t>
      </w:r>
      <w:r w:rsidRPr="009013B1">
        <w:rPr>
          <w:rFonts w:ascii="Times New Roman" w:hAnsi="Times New Roman" w:cs="Times New Roman"/>
          <w:sz w:val="18"/>
          <w:szCs w:val="18"/>
        </w:rPr>
        <w:t xml:space="preserve">, 1614-1621 (2021). </w:t>
      </w:r>
    </w:p>
    <w:p w14:paraId="5835782F" w14:textId="77777777" w:rsidR="00876CDC" w:rsidRPr="009013B1" w:rsidRDefault="00876CDC" w:rsidP="00AB0D82">
      <w:pPr>
        <w:pStyle w:val="EndNoteBibliography"/>
        <w:ind w:left="720" w:hanging="720"/>
        <w:rPr>
          <w:rFonts w:ascii="Times New Roman" w:hAnsi="Times New Roman" w:cs="Times New Roman"/>
          <w:sz w:val="18"/>
          <w:szCs w:val="18"/>
        </w:rPr>
      </w:pPr>
    </w:p>
    <w:p w14:paraId="48663BCA" w14:textId="1358C81D" w:rsidR="00AB0D82" w:rsidRDefault="00AB0D82" w:rsidP="00AB0D82">
      <w:pPr>
        <w:pStyle w:val="EndNoteBibliography"/>
        <w:ind w:left="720" w:hanging="720"/>
        <w:rPr>
          <w:rFonts w:ascii="Times New Roman" w:hAnsi="Times New Roman" w:cs="Times New Roman"/>
          <w:sz w:val="18"/>
          <w:szCs w:val="18"/>
        </w:rPr>
      </w:pPr>
      <w:r w:rsidRPr="009013B1">
        <w:rPr>
          <w:rFonts w:ascii="Times New Roman" w:hAnsi="Times New Roman" w:cs="Times New Roman"/>
          <w:sz w:val="18"/>
          <w:szCs w:val="18"/>
        </w:rPr>
        <w:t>3</w:t>
      </w:r>
      <w:r w:rsidRPr="009013B1">
        <w:rPr>
          <w:rFonts w:ascii="Times New Roman" w:hAnsi="Times New Roman" w:cs="Times New Roman"/>
          <w:sz w:val="18"/>
          <w:szCs w:val="18"/>
        </w:rPr>
        <w:tab/>
        <w:t xml:space="preserve">Davies, N. M., Holmes, M. V. &amp; Davey Smith, G. Reading Mendelian randomisation studies: a guide, glossary, and checklist for clinicians. </w:t>
      </w:r>
      <w:r w:rsidRPr="009013B1">
        <w:rPr>
          <w:rFonts w:ascii="Times New Roman" w:hAnsi="Times New Roman" w:cs="Times New Roman"/>
          <w:i/>
          <w:sz w:val="18"/>
          <w:szCs w:val="18"/>
        </w:rPr>
        <w:t>BMJ</w:t>
      </w:r>
      <w:r w:rsidRPr="009013B1">
        <w:rPr>
          <w:rFonts w:ascii="Times New Roman" w:hAnsi="Times New Roman" w:cs="Times New Roman"/>
          <w:sz w:val="18"/>
          <w:szCs w:val="18"/>
        </w:rPr>
        <w:t xml:space="preserve"> </w:t>
      </w:r>
      <w:r w:rsidRPr="009013B1">
        <w:rPr>
          <w:rFonts w:ascii="Times New Roman" w:hAnsi="Times New Roman" w:cs="Times New Roman"/>
          <w:b/>
          <w:sz w:val="18"/>
          <w:szCs w:val="18"/>
        </w:rPr>
        <w:t>362</w:t>
      </w:r>
      <w:r w:rsidRPr="009013B1">
        <w:rPr>
          <w:rFonts w:ascii="Times New Roman" w:hAnsi="Times New Roman" w:cs="Times New Roman"/>
          <w:sz w:val="18"/>
          <w:szCs w:val="18"/>
        </w:rPr>
        <w:t>, k601 (2018). https://doi.org/10.1136/bmj.k601</w:t>
      </w:r>
    </w:p>
    <w:p w14:paraId="2CD72083" w14:textId="77777777" w:rsidR="00876CDC" w:rsidRPr="009013B1" w:rsidRDefault="00876CDC" w:rsidP="00AB0D82">
      <w:pPr>
        <w:pStyle w:val="EndNoteBibliography"/>
        <w:ind w:left="720" w:hanging="720"/>
        <w:rPr>
          <w:rFonts w:ascii="Times New Roman" w:hAnsi="Times New Roman" w:cs="Times New Roman"/>
          <w:sz w:val="18"/>
          <w:szCs w:val="18"/>
        </w:rPr>
      </w:pPr>
    </w:p>
    <w:p w14:paraId="36DF55DF" w14:textId="6DC258FB" w:rsidR="00AB0D82" w:rsidRDefault="00AB0D82" w:rsidP="00AB0D82">
      <w:pPr>
        <w:pStyle w:val="EndNoteBibliography"/>
        <w:ind w:left="720" w:hanging="720"/>
        <w:rPr>
          <w:rFonts w:ascii="Times New Roman" w:hAnsi="Times New Roman" w:cs="Times New Roman"/>
          <w:sz w:val="18"/>
          <w:szCs w:val="18"/>
        </w:rPr>
      </w:pPr>
      <w:r w:rsidRPr="009013B1">
        <w:rPr>
          <w:rFonts w:ascii="Times New Roman" w:hAnsi="Times New Roman" w:cs="Times New Roman"/>
          <w:sz w:val="18"/>
          <w:szCs w:val="18"/>
        </w:rPr>
        <w:t>4</w:t>
      </w:r>
      <w:r w:rsidRPr="009013B1">
        <w:rPr>
          <w:rFonts w:ascii="Times New Roman" w:hAnsi="Times New Roman" w:cs="Times New Roman"/>
          <w:sz w:val="18"/>
          <w:szCs w:val="18"/>
        </w:rPr>
        <w:tab/>
        <w:t xml:space="preserve">Richmond, R. C. &amp; Davey Smith, G. Mendelian Randomization: Concepts and Scope. </w:t>
      </w:r>
      <w:r w:rsidRPr="009013B1">
        <w:rPr>
          <w:rFonts w:ascii="Times New Roman" w:hAnsi="Times New Roman" w:cs="Times New Roman"/>
          <w:i/>
          <w:sz w:val="18"/>
          <w:szCs w:val="18"/>
        </w:rPr>
        <w:t>Cold Spring Harb Perspect Med</w:t>
      </w:r>
      <w:r w:rsidRPr="009013B1">
        <w:rPr>
          <w:rFonts w:ascii="Times New Roman" w:hAnsi="Times New Roman" w:cs="Times New Roman"/>
          <w:sz w:val="18"/>
          <w:szCs w:val="18"/>
        </w:rPr>
        <w:t xml:space="preserve"> </w:t>
      </w:r>
      <w:r w:rsidRPr="009013B1">
        <w:rPr>
          <w:rFonts w:ascii="Times New Roman" w:hAnsi="Times New Roman" w:cs="Times New Roman"/>
          <w:b/>
          <w:sz w:val="18"/>
          <w:szCs w:val="18"/>
        </w:rPr>
        <w:t>12</w:t>
      </w:r>
      <w:r w:rsidRPr="009013B1">
        <w:rPr>
          <w:rFonts w:ascii="Times New Roman" w:hAnsi="Times New Roman" w:cs="Times New Roman"/>
          <w:sz w:val="18"/>
          <w:szCs w:val="18"/>
        </w:rPr>
        <w:t xml:space="preserve"> (2022). https://doi.org/10.1101/cshperspect.a040501</w:t>
      </w:r>
    </w:p>
    <w:p w14:paraId="2DA0548F" w14:textId="77777777" w:rsidR="00876CDC" w:rsidRPr="009013B1" w:rsidRDefault="00876CDC" w:rsidP="00AB0D82">
      <w:pPr>
        <w:pStyle w:val="EndNoteBibliography"/>
        <w:ind w:left="720" w:hanging="720"/>
        <w:rPr>
          <w:rFonts w:ascii="Times New Roman" w:hAnsi="Times New Roman" w:cs="Times New Roman"/>
          <w:sz w:val="18"/>
          <w:szCs w:val="18"/>
        </w:rPr>
      </w:pPr>
    </w:p>
    <w:p w14:paraId="04BAA346" w14:textId="53F8231A" w:rsidR="00AB0D82" w:rsidRDefault="00AB0D82" w:rsidP="00AB0D82">
      <w:pPr>
        <w:pStyle w:val="EndNoteBibliography"/>
        <w:ind w:left="720" w:hanging="720"/>
        <w:rPr>
          <w:rFonts w:ascii="Times New Roman" w:hAnsi="Times New Roman" w:cs="Times New Roman"/>
          <w:sz w:val="18"/>
          <w:szCs w:val="18"/>
        </w:rPr>
      </w:pPr>
      <w:r w:rsidRPr="009013B1">
        <w:rPr>
          <w:rFonts w:ascii="Times New Roman" w:hAnsi="Times New Roman" w:cs="Times New Roman"/>
          <w:sz w:val="18"/>
          <w:szCs w:val="18"/>
        </w:rPr>
        <w:t>5</w:t>
      </w:r>
      <w:r w:rsidRPr="009013B1">
        <w:rPr>
          <w:rFonts w:ascii="Times New Roman" w:hAnsi="Times New Roman" w:cs="Times New Roman"/>
          <w:sz w:val="18"/>
          <w:szCs w:val="18"/>
        </w:rPr>
        <w:tab/>
        <w:t>Zhu, Z.</w:t>
      </w:r>
      <w:r w:rsidRPr="009013B1">
        <w:rPr>
          <w:rFonts w:ascii="Times New Roman" w:hAnsi="Times New Roman" w:cs="Times New Roman"/>
          <w:i/>
          <w:sz w:val="18"/>
          <w:szCs w:val="18"/>
        </w:rPr>
        <w:t xml:space="preserve"> et al.</w:t>
      </w:r>
      <w:r w:rsidRPr="009013B1">
        <w:rPr>
          <w:rFonts w:ascii="Times New Roman" w:hAnsi="Times New Roman" w:cs="Times New Roman"/>
          <w:sz w:val="18"/>
          <w:szCs w:val="18"/>
        </w:rPr>
        <w:t xml:space="preserve"> Causal associations between risk factors and common diseases inferred from GWAS summary data. </w:t>
      </w:r>
      <w:r w:rsidRPr="009013B1">
        <w:rPr>
          <w:rFonts w:ascii="Times New Roman" w:hAnsi="Times New Roman" w:cs="Times New Roman"/>
          <w:i/>
          <w:sz w:val="18"/>
          <w:szCs w:val="18"/>
        </w:rPr>
        <w:t>Nature Communications</w:t>
      </w:r>
      <w:r w:rsidRPr="009013B1">
        <w:rPr>
          <w:rFonts w:ascii="Times New Roman" w:hAnsi="Times New Roman" w:cs="Times New Roman"/>
          <w:sz w:val="18"/>
          <w:szCs w:val="18"/>
        </w:rPr>
        <w:t xml:space="preserve"> </w:t>
      </w:r>
      <w:r w:rsidRPr="009013B1">
        <w:rPr>
          <w:rFonts w:ascii="Times New Roman" w:hAnsi="Times New Roman" w:cs="Times New Roman"/>
          <w:b/>
          <w:sz w:val="18"/>
          <w:szCs w:val="18"/>
        </w:rPr>
        <w:t>9</w:t>
      </w:r>
      <w:r w:rsidRPr="009013B1">
        <w:rPr>
          <w:rFonts w:ascii="Times New Roman" w:hAnsi="Times New Roman" w:cs="Times New Roman"/>
          <w:sz w:val="18"/>
          <w:szCs w:val="18"/>
        </w:rPr>
        <w:t>, 224 (2018). https://doi.org/10.1038/s41467-017-02317-2</w:t>
      </w:r>
    </w:p>
    <w:p w14:paraId="6942BF3C" w14:textId="77777777" w:rsidR="00876CDC" w:rsidRPr="009013B1" w:rsidRDefault="00876CDC" w:rsidP="00AB0D82">
      <w:pPr>
        <w:pStyle w:val="EndNoteBibliography"/>
        <w:ind w:left="720" w:hanging="720"/>
        <w:rPr>
          <w:rFonts w:ascii="Times New Roman" w:hAnsi="Times New Roman" w:cs="Times New Roman"/>
          <w:sz w:val="18"/>
          <w:szCs w:val="18"/>
        </w:rPr>
      </w:pPr>
    </w:p>
    <w:p w14:paraId="03083229" w14:textId="77777777" w:rsidR="00AB0D82" w:rsidRDefault="00AB0D82" w:rsidP="00AB0D82">
      <w:pPr>
        <w:pStyle w:val="EndNoteBibliography"/>
        <w:ind w:left="720" w:hanging="720"/>
        <w:rPr>
          <w:rFonts w:ascii="Times New Roman" w:hAnsi="Times New Roman" w:cs="Times New Roman"/>
          <w:sz w:val="18"/>
          <w:szCs w:val="18"/>
        </w:rPr>
      </w:pPr>
      <w:r w:rsidRPr="009013B1">
        <w:rPr>
          <w:rFonts w:ascii="Times New Roman" w:hAnsi="Times New Roman" w:cs="Times New Roman"/>
          <w:sz w:val="18"/>
          <w:szCs w:val="18"/>
        </w:rPr>
        <w:t>6</w:t>
      </w:r>
      <w:r w:rsidRPr="009013B1">
        <w:rPr>
          <w:rFonts w:ascii="Times New Roman" w:hAnsi="Times New Roman" w:cs="Times New Roman"/>
          <w:sz w:val="18"/>
          <w:szCs w:val="18"/>
        </w:rPr>
        <w:tab/>
        <w:t xml:space="preserve">Verbanck, M., Chen, C.-y., Neale, B. &amp; Do, R. Detection of widespread horizontal pleiotropy in causal relationships inferred from Mendelian randomization between complex traits and diseases. </w:t>
      </w:r>
      <w:r w:rsidRPr="009013B1">
        <w:rPr>
          <w:rFonts w:ascii="Times New Roman" w:hAnsi="Times New Roman" w:cs="Times New Roman"/>
          <w:i/>
          <w:sz w:val="18"/>
          <w:szCs w:val="18"/>
        </w:rPr>
        <w:t>Nature genetics</w:t>
      </w:r>
      <w:r w:rsidRPr="009013B1">
        <w:rPr>
          <w:rFonts w:ascii="Times New Roman" w:hAnsi="Times New Roman" w:cs="Times New Roman"/>
          <w:sz w:val="18"/>
          <w:szCs w:val="18"/>
        </w:rPr>
        <w:t xml:space="preserve"> </w:t>
      </w:r>
      <w:r w:rsidRPr="009013B1">
        <w:rPr>
          <w:rFonts w:ascii="Times New Roman" w:hAnsi="Times New Roman" w:cs="Times New Roman"/>
          <w:b/>
          <w:sz w:val="18"/>
          <w:szCs w:val="18"/>
        </w:rPr>
        <w:t>50</w:t>
      </w:r>
      <w:r w:rsidRPr="009013B1">
        <w:rPr>
          <w:rFonts w:ascii="Times New Roman" w:hAnsi="Times New Roman" w:cs="Times New Roman"/>
          <w:sz w:val="18"/>
          <w:szCs w:val="18"/>
        </w:rPr>
        <w:t xml:space="preserve">, 693-698 (2018). </w:t>
      </w:r>
    </w:p>
    <w:p w14:paraId="20F5A806" w14:textId="77777777" w:rsidR="00876CDC" w:rsidRPr="009013B1" w:rsidRDefault="00876CDC" w:rsidP="00AB0D82">
      <w:pPr>
        <w:pStyle w:val="EndNoteBibliography"/>
        <w:ind w:left="720" w:hanging="720"/>
        <w:rPr>
          <w:rFonts w:ascii="Times New Roman" w:hAnsi="Times New Roman" w:cs="Times New Roman"/>
          <w:sz w:val="18"/>
          <w:szCs w:val="18"/>
        </w:rPr>
      </w:pPr>
    </w:p>
    <w:p w14:paraId="494DA27D" w14:textId="72E90182" w:rsidR="00AB0D82" w:rsidRPr="009013B1" w:rsidRDefault="00AB0D82" w:rsidP="00AB0D82">
      <w:pPr>
        <w:pStyle w:val="EndNoteBibliography"/>
        <w:ind w:left="720" w:hanging="720"/>
        <w:rPr>
          <w:rFonts w:ascii="Times New Roman" w:hAnsi="Times New Roman" w:cs="Times New Roman"/>
          <w:sz w:val="18"/>
          <w:szCs w:val="18"/>
        </w:rPr>
      </w:pPr>
      <w:r w:rsidRPr="009013B1">
        <w:rPr>
          <w:rFonts w:ascii="Times New Roman" w:hAnsi="Times New Roman" w:cs="Times New Roman"/>
          <w:sz w:val="18"/>
          <w:szCs w:val="18"/>
        </w:rPr>
        <w:t>7</w:t>
      </w:r>
      <w:r w:rsidRPr="009013B1">
        <w:rPr>
          <w:rFonts w:ascii="Times New Roman" w:hAnsi="Times New Roman" w:cs="Times New Roman"/>
          <w:sz w:val="18"/>
          <w:szCs w:val="18"/>
        </w:rPr>
        <w:tab/>
        <w:t xml:space="preserve">O’Connor, L. J. &amp; Price, A. L. Distinguishing genetic correlation from causation across 52 diseases and complex traits. </w:t>
      </w:r>
      <w:r w:rsidRPr="009013B1">
        <w:rPr>
          <w:rFonts w:ascii="Times New Roman" w:hAnsi="Times New Roman" w:cs="Times New Roman"/>
          <w:i/>
          <w:sz w:val="18"/>
          <w:szCs w:val="18"/>
        </w:rPr>
        <w:t>Nature Genetics</w:t>
      </w:r>
      <w:r w:rsidRPr="009013B1">
        <w:rPr>
          <w:rFonts w:ascii="Times New Roman" w:hAnsi="Times New Roman" w:cs="Times New Roman"/>
          <w:sz w:val="18"/>
          <w:szCs w:val="18"/>
        </w:rPr>
        <w:t xml:space="preserve"> </w:t>
      </w:r>
      <w:r w:rsidRPr="009013B1">
        <w:rPr>
          <w:rFonts w:ascii="Times New Roman" w:hAnsi="Times New Roman" w:cs="Times New Roman"/>
          <w:b/>
          <w:sz w:val="18"/>
          <w:szCs w:val="18"/>
        </w:rPr>
        <w:t>50</w:t>
      </w:r>
      <w:r w:rsidRPr="009013B1">
        <w:rPr>
          <w:rFonts w:ascii="Times New Roman" w:hAnsi="Times New Roman" w:cs="Times New Roman"/>
          <w:sz w:val="18"/>
          <w:szCs w:val="18"/>
        </w:rPr>
        <w:t xml:space="preserve">, 1728-1734 (2018). </w:t>
      </w:r>
      <w:r w:rsidRPr="00876CDC">
        <w:rPr>
          <w:rFonts w:ascii="Times New Roman" w:hAnsi="Times New Roman" w:cs="Times New Roman"/>
          <w:sz w:val="18"/>
          <w:szCs w:val="18"/>
        </w:rPr>
        <w:t>https://doi.org/10.1038/s41588-018-0255-0</w:t>
      </w:r>
    </w:p>
    <w:p w14:paraId="25DB435D" w14:textId="7BAA24AB" w:rsidR="00804498" w:rsidRPr="00B430A0" w:rsidRDefault="008B67EB" w:rsidP="005520ED">
      <w:pPr>
        <w:spacing w:before="240" w:after="240"/>
        <w:rPr>
          <w:rFonts w:ascii="Times New Roman" w:hAnsi="Times New Roman" w:cs="Times New Roman"/>
        </w:rPr>
      </w:pPr>
      <w:r w:rsidRPr="009013B1">
        <w:rPr>
          <w:rFonts w:ascii="Times New Roman" w:hAnsi="Times New Roman" w:cs="Times New Roman"/>
          <w:sz w:val="18"/>
          <w:szCs w:val="18"/>
        </w:rPr>
        <w:fldChar w:fldCharType="end"/>
      </w:r>
    </w:p>
    <w:sectPr w:rsidR="00804498" w:rsidRPr="00B430A0" w:rsidSect="003D447D">
      <w:footerReference w:type="even" r:id="rId11"/>
      <w:footerReference w:type="default" r:id="rId12"/>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99495" w14:textId="77777777" w:rsidR="00EA3DCF" w:rsidRDefault="00EA3DCF">
      <w:pPr>
        <w:spacing w:line="240" w:lineRule="auto"/>
      </w:pPr>
      <w:r>
        <w:separator/>
      </w:r>
    </w:p>
  </w:endnote>
  <w:endnote w:type="continuationSeparator" w:id="0">
    <w:p w14:paraId="08F2C0C0" w14:textId="77777777" w:rsidR="00EA3DCF" w:rsidRDefault="00EA3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A166" w14:textId="77777777" w:rsidR="000F12A0" w:rsidRDefault="000F12A0" w:rsidP="00A365E5">
    <w:pPr>
      <w:pStyle w:val="Footer"/>
      <w:framePr w:wrap="none" w:vAnchor="text" w:hAnchor="margin" w:xAlign="right" w:y="1"/>
      <w:rPr>
        <w:rStyle w:val="PageNumber"/>
      </w:rPr>
    </w:pPr>
  </w:p>
  <w:p w14:paraId="40A0897E" w14:textId="77777777" w:rsidR="000F12A0" w:rsidRDefault="000F12A0" w:rsidP="00C141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7B5E" w14:textId="0AA16358" w:rsidR="000F12A0" w:rsidRDefault="003D447D">
    <w:pPr>
      <w:pStyle w:val="Footer"/>
      <w:jc w:val="right"/>
    </w:pPr>
    <w:r>
      <w:fldChar w:fldCharType="begin"/>
    </w:r>
    <w:r>
      <w:instrText xml:space="preserve"> PAGE   \* MERGEFORMAT </w:instrText>
    </w:r>
    <w:r>
      <w:fldChar w:fldCharType="separate"/>
    </w:r>
    <w:r w:rsidR="00BB6328">
      <w:rPr>
        <w:noProof/>
      </w:rPr>
      <w:t>1</w:t>
    </w:r>
    <w:r>
      <w:rPr>
        <w:noProof/>
      </w:rPr>
      <w:fldChar w:fldCharType="end"/>
    </w:r>
  </w:p>
  <w:p w14:paraId="41D89672" w14:textId="77777777" w:rsidR="000F12A0" w:rsidRDefault="000F12A0" w:rsidP="00C141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6E76" w14:textId="77777777" w:rsidR="00EA3DCF" w:rsidRDefault="00EA3DCF">
      <w:pPr>
        <w:spacing w:line="240" w:lineRule="auto"/>
      </w:pPr>
      <w:r>
        <w:separator/>
      </w:r>
    </w:p>
  </w:footnote>
  <w:footnote w:type="continuationSeparator" w:id="0">
    <w:p w14:paraId="27C069C7" w14:textId="77777777" w:rsidR="00EA3DCF" w:rsidRDefault="00EA3D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35C5"/>
    <w:multiLevelType w:val="hybridMultilevel"/>
    <w:tmpl w:val="5CDE2218"/>
    <w:lvl w:ilvl="0" w:tplc="26EA3EB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3A2ED1"/>
    <w:multiLevelType w:val="hybridMultilevel"/>
    <w:tmpl w:val="9F8C31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7B75AE"/>
    <w:multiLevelType w:val="hybridMultilevel"/>
    <w:tmpl w:val="7F7AD01C"/>
    <w:lvl w:ilvl="0" w:tplc="144878BE">
      <w:start w:val="1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4A2962"/>
    <w:multiLevelType w:val="hybridMultilevel"/>
    <w:tmpl w:val="4A9A84B2"/>
    <w:lvl w:ilvl="0" w:tplc="974230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20016356">
    <w:abstractNumId w:val="0"/>
  </w:num>
  <w:num w:numId="2" w16cid:durableId="481195691">
    <w:abstractNumId w:val="3"/>
  </w:num>
  <w:num w:numId="3" w16cid:durableId="1662464419">
    <w:abstractNumId w:val="2"/>
  </w:num>
  <w:num w:numId="4" w16cid:durableId="613833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e0xf0wmder5uesrssvr291vrzds5t2vsse&quot;&gt;Vascular-calcification&lt;record-ids&gt;&lt;item&gt;11&lt;/item&gt;&lt;item&gt;3150&lt;/item&gt;&lt;item&gt;3328&lt;/item&gt;&lt;item&gt;3369&lt;/item&gt;&lt;/record-ids&gt;&lt;/item&gt;&lt;/Libraries&gt;"/>
  </w:docVars>
  <w:rsids>
    <w:rsidRoot w:val="00914C56"/>
    <w:rsid w:val="000010D9"/>
    <w:rsid w:val="00004966"/>
    <w:rsid w:val="00007727"/>
    <w:rsid w:val="000078B0"/>
    <w:rsid w:val="0001099D"/>
    <w:rsid w:val="00015CA8"/>
    <w:rsid w:val="00016BB6"/>
    <w:rsid w:val="00030044"/>
    <w:rsid w:val="00031985"/>
    <w:rsid w:val="00042579"/>
    <w:rsid w:val="00043A64"/>
    <w:rsid w:val="00045A4B"/>
    <w:rsid w:val="0005083C"/>
    <w:rsid w:val="000510D5"/>
    <w:rsid w:val="00060D12"/>
    <w:rsid w:val="0007009F"/>
    <w:rsid w:val="00070861"/>
    <w:rsid w:val="0007261A"/>
    <w:rsid w:val="00074031"/>
    <w:rsid w:val="00076616"/>
    <w:rsid w:val="00090AC8"/>
    <w:rsid w:val="00091952"/>
    <w:rsid w:val="000921AF"/>
    <w:rsid w:val="00095665"/>
    <w:rsid w:val="000A28C9"/>
    <w:rsid w:val="000A4CE8"/>
    <w:rsid w:val="000B119C"/>
    <w:rsid w:val="000B20CB"/>
    <w:rsid w:val="000B6410"/>
    <w:rsid w:val="000C1939"/>
    <w:rsid w:val="000D2DA3"/>
    <w:rsid w:val="000D3030"/>
    <w:rsid w:val="000E3A08"/>
    <w:rsid w:val="000F12A0"/>
    <w:rsid w:val="000F4273"/>
    <w:rsid w:val="000F7CBA"/>
    <w:rsid w:val="00103D60"/>
    <w:rsid w:val="00114CE8"/>
    <w:rsid w:val="0013216C"/>
    <w:rsid w:val="00133AAD"/>
    <w:rsid w:val="00133CF0"/>
    <w:rsid w:val="0013627B"/>
    <w:rsid w:val="00136ED3"/>
    <w:rsid w:val="00147346"/>
    <w:rsid w:val="001528C7"/>
    <w:rsid w:val="0015309E"/>
    <w:rsid w:val="0015462C"/>
    <w:rsid w:val="00175A8D"/>
    <w:rsid w:val="00182AB8"/>
    <w:rsid w:val="001835F7"/>
    <w:rsid w:val="00185B10"/>
    <w:rsid w:val="00193905"/>
    <w:rsid w:val="00194671"/>
    <w:rsid w:val="001A7425"/>
    <w:rsid w:val="001B0D0A"/>
    <w:rsid w:val="001B4AFA"/>
    <w:rsid w:val="001B4BFD"/>
    <w:rsid w:val="001B763A"/>
    <w:rsid w:val="001C173B"/>
    <w:rsid w:val="001C281D"/>
    <w:rsid w:val="001C3158"/>
    <w:rsid w:val="001C57AD"/>
    <w:rsid w:val="001C5A27"/>
    <w:rsid w:val="001D0F25"/>
    <w:rsid w:val="001D720F"/>
    <w:rsid w:val="001E4EF7"/>
    <w:rsid w:val="001E5C08"/>
    <w:rsid w:val="001F219D"/>
    <w:rsid w:val="001F2425"/>
    <w:rsid w:val="001F72CE"/>
    <w:rsid w:val="0020153B"/>
    <w:rsid w:val="00202059"/>
    <w:rsid w:val="0020667D"/>
    <w:rsid w:val="00206972"/>
    <w:rsid w:val="00206C53"/>
    <w:rsid w:val="00206E04"/>
    <w:rsid w:val="002115A9"/>
    <w:rsid w:val="002226ED"/>
    <w:rsid w:val="00224D7F"/>
    <w:rsid w:val="0022604D"/>
    <w:rsid w:val="00232FFB"/>
    <w:rsid w:val="00234562"/>
    <w:rsid w:val="0023525C"/>
    <w:rsid w:val="002408F9"/>
    <w:rsid w:val="00250182"/>
    <w:rsid w:val="0025074A"/>
    <w:rsid w:val="00252FD8"/>
    <w:rsid w:val="00253600"/>
    <w:rsid w:val="002563B7"/>
    <w:rsid w:val="002649E2"/>
    <w:rsid w:val="002663E6"/>
    <w:rsid w:val="0028425E"/>
    <w:rsid w:val="002B0699"/>
    <w:rsid w:val="002C20B8"/>
    <w:rsid w:val="002D1AEE"/>
    <w:rsid w:val="002D553C"/>
    <w:rsid w:val="002D61F9"/>
    <w:rsid w:val="002D7433"/>
    <w:rsid w:val="002E16DC"/>
    <w:rsid w:val="002F5D6D"/>
    <w:rsid w:val="002F7477"/>
    <w:rsid w:val="00303BF6"/>
    <w:rsid w:val="00304611"/>
    <w:rsid w:val="003049F1"/>
    <w:rsid w:val="00305A41"/>
    <w:rsid w:val="00311CDE"/>
    <w:rsid w:val="00314118"/>
    <w:rsid w:val="00314FA2"/>
    <w:rsid w:val="00316C54"/>
    <w:rsid w:val="003178FA"/>
    <w:rsid w:val="003229A6"/>
    <w:rsid w:val="003311CD"/>
    <w:rsid w:val="00333153"/>
    <w:rsid w:val="0033390A"/>
    <w:rsid w:val="00335D14"/>
    <w:rsid w:val="00347F38"/>
    <w:rsid w:val="003533B1"/>
    <w:rsid w:val="00353A1E"/>
    <w:rsid w:val="00354550"/>
    <w:rsid w:val="00357F57"/>
    <w:rsid w:val="003601B4"/>
    <w:rsid w:val="003617D0"/>
    <w:rsid w:val="003625C4"/>
    <w:rsid w:val="003628FA"/>
    <w:rsid w:val="0036488D"/>
    <w:rsid w:val="00366441"/>
    <w:rsid w:val="00366F9F"/>
    <w:rsid w:val="003818DF"/>
    <w:rsid w:val="003845D2"/>
    <w:rsid w:val="003869B8"/>
    <w:rsid w:val="00387910"/>
    <w:rsid w:val="0039405C"/>
    <w:rsid w:val="003950FE"/>
    <w:rsid w:val="003A712F"/>
    <w:rsid w:val="003A76A7"/>
    <w:rsid w:val="003B4102"/>
    <w:rsid w:val="003B55FE"/>
    <w:rsid w:val="003C7AE7"/>
    <w:rsid w:val="003D255F"/>
    <w:rsid w:val="003D447D"/>
    <w:rsid w:val="003D47DD"/>
    <w:rsid w:val="003F704C"/>
    <w:rsid w:val="003F7126"/>
    <w:rsid w:val="004025AF"/>
    <w:rsid w:val="00404275"/>
    <w:rsid w:val="004101BD"/>
    <w:rsid w:val="00417DEA"/>
    <w:rsid w:val="00417F67"/>
    <w:rsid w:val="00420DEE"/>
    <w:rsid w:val="0042539B"/>
    <w:rsid w:val="00432C34"/>
    <w:rsid w:val="00436B60"/>
    <w:rsid w:val="0044051D"/>
    <w:rsid w:val="004440CC"/>
    <w:rsid w:val="00444945"/>
    <w:rsid w:val="0045057C"/>
    <w:rsid w:val="00461F11"/>
    <w:rsid w:val="004621BF"/>
    <w:rsid w:val="00462E63"/>
    <w:rsid w:val="00463B07"/>
    <w:rsid w:val="00465A63"/>
    <w:rsid w:val="00475AC8"/>
    <w:rsid w:val="00482A9D"/>
    <w:rsid w:val="004832EC"/>
    <w:rsid w:val="0049066F"/>
    <w:rsid w:val="0049183E"/>
    <w:rsid w:val="00497371"/>
    <w:rsid w:val="004A5AD1"/>
    <w:rsid w:val="004B4807"/>
    <w:rsid w:val="004B5CBB"/>
    <w:rsid w:val="004C08C5"/>
    <w:rsid w:val="004C29E9"/>
    <w:rsid w:val="004C7E17"/>
    <w:rsid w:val="004D3D2D"/>
    <w:rsid w:val="004D4D88"/>
    <w:rsid w:val="004D7C5F"/>
    <w:rsid w:val="004E11D4"/>
    <w:rsid w:val="004E22B2"/>
    <w:rsid w:val="004E3DC3"/>
    <w:rsid w:val="004E67FD"/>
    <w:rsid w:val="004F543A"/>
    <w:rsid w:val="004F56AC"/>
    <w:rsid w:val="004F7709"/>
    <w:rsid w:val="00502E2B"/>
    <w:rsid w:val="00506307"/>
    <w:rsid w:val="00510542"/>
    <w:rsid w:val="00513BC8"/>
    <w:rsid w:val="00514462"/>
    <w:rsid w:val="00515336"/>
    <w:rsid w:val="00521465"/>
    <w:rsid w:val="00523BC5"/>
    <w:rsid w:val="00530DA1"/>
    <w:rsid w:val="00531751"/>
    <w:rsid w:val="005334AE"/>
    <w:rsid w:val="00537AB6"/>
    <w:rsid w:val="00540601"/>
    <w:rsid w:val="00541254"/>
    <w:rsid w:val="00542256"/>
    <w:rsid w:val="005520ED"/>
    <w:rsid w:val="00552519"/>
    <w:rsid w:val="005534F6"/>
    <w:rsid w:val="00554B61"/>
    <w:rsid w:val="0056633F"/>
    <w:rsid w:val="0056749E"/>
    <w:rsid w:val="005676F8"/>
    <w:rsid w:val="00567EC0"/>
    <w:rsid w:val="00577B8A"/>
    <w:rsid w:val="00581378"/>
    <w:rsid w:val="00584362"/>
    <w:rsid w:val="00584845"/>
    <w:rsid w:val="0058494A"/>
    <w:rsid w:val="00587A3E"/>
    <w:rsid w:val="00592435"/>
    <w:rsid w:val="005951A7"/>
    <w:rsid w:val="00597CC6"/>
    <w:rsid w:val="005A0D0D"/>
    <w:rsid w:val="005A2146"/>
    <w:rsid w:val="005B0F7E"/>
    <w:rsid w:val="005B1065"/>
    <w:rsid w:val="005B28D0"/>
    <w:rsid w:val="005C150C"/>
    <w:rsid w:val="005C1F92"/>
    <w:rsid w:val="005C7FCB"/>
    <w:rsid w:val="005E25B1"/>
    <w:rsid w:val="005E2DDB"/>
    <w:rsid w:val="005E4969"/>
    <w:rsid w:val="005E4B14"/>
    <w:rsid w:val="005F0815"/>
    <w:rsid w:val="005F14B3"/>
    <w:rsid w:val="005F68C6"/>
    <w:rsid w:val="00613D63"/>
    <w:rsid w:val="00617DBC"/>
    <w:rsid w:val="006240A7"/>
    <w:rsid w:val="00625B03"/>
    <w:rsid w:val="00630AF7"/>
    <w:rsid w:val="00631AF4"/>
    <w:rsid w:val="00632C04"/>
    <w:rsid w:val="0063338B"/>
    <w:rsid w:val="00634748"/>
    <w:rsid w:val="006413AD"/>
    <w:rsid w:val="00641CCF"/>
    <w:rsid w:val="00643650"/>
    <w:rsid w:val="0064415F"/>
    <w:rsid w:val="00645724"/>
    <w:rsid w:val="006470BD"/>
    <w:rsid w:val="00647779"/>
    <w:rsid w:val="0065066B"/>
    <w:rsid w:val="006547DF"/>
    <w:rsid w:val="00656EF1"/>
    <w:rsid w:val="00657EE1"/>
    <w:rsid w:val="00663947"/>
    <w:rsid w:val="0067124E"/>
    <w:rsid w:val="00671A7B"/>
    <w:rsid w:val="00671DC7"/>
    <w:rsid w:val="006754C0"/>
    <w:rsid w:val="00680D81"/>
    <w:rsid w:val="00685A59"/>
    <w:rsid w:val="00685D31"/>
    <w:rsid w:val="006912BF"/>
    <w:rsid w:val="00693EE2"/>
    <w:rsid w:val="00696067"/>
    <w:rsid w:val="006A1BFD"/>
    <w:rsid w:val="006A41D0"/>
    <w:rsid w:val="006A5078"/>
    <w:rsid w:val="006B02A3"/>
    <w:rsid w:val="006B08D5"/>
    <w:rsid w:val="006B3737"/>
    <w:rsid w:val="006B45DB"/>
    <w:rsid w:val="006B571A"/>
    <w:rsid w:val="006B71DF"/>
    <w:rsid w:val="006C0DCF"/>
    <w:rsid w:val="006C72E3"/>
    <w:rsid w:val="006D58B2"/>
    <w:rsid w:val="006E2A9F"/>
    <w:rsid w:val="006E6274"/>
    <w:rsid w:val="006F0CF4"/>
    <w:rsid w:val="006F1622"/>
    <w:rsid w:val="00702E64"/>
    <w:rsid w:val="007055ED"/>
    <w:rsid w:val="00712D46"/>
    <w:rsid w:val="0071398C"/>
    <w:rsid w:val="00713BA2"/>
    <w:rsid w:val="0071619F"/>
    <w:rsid w:val="0072183B"/>
    <w:rsid w:val="00730E36"/>
    <w:rsid w:val="00731C49"/>
    <w:rsid w:val="007338E3"/>
    <w:rsid w:val="00735C94"/>
    <w:rsid w:val="00737D5B"/>
    <w:rsid w:val="0075384B"/>
    <w:rsid w:val="007605D7"/>
    <w:rsid w:val="00761BFA"/>
    <w:rsid w:val="007750E8"/>
    <w:rsid w:val="007960CE"/>
    <w:rsid w:val="007A4979"/>
    <w:rsid w:val="007A62A9"/>
    <w:rsid w:val="007B2F7D"/>
    <w:rsid w:val="007B667C"/>
    <w:rsid w:val="007B692D"/>
    <w:rsid w:val="007B7CE1"/>
    <w:rsid w:val="007C5E19"/>
    <w:rsid w:val="007C6AB0"/>
    <w:rsid w:val="007D109D"/>
    <w:rsid w:val="007D1B46"/>
    <w:rsid w:val="007E044B"/>
    <w:rsid w:val="007E1706"/>
    <w:rsid w:val="007F0067"/>
    <w:rsid w:val="007F1E6E"/>
    <w:rsid w:val="007F3257"/>
    <w:rsid w:val="007F6E89"/>
    <w:rsid w:val="007F6E8A"/>
    <w:rsid w:val="00802B44"/>
    <w:rsid w:val="00804498"/>
    <w:rsid w:val="0082706E"/>
    <w:rsid w:val="00827E38"/>
    <w:rsid w:val="00832750"/>
    <w:rsid w:val="008354B7"/>
    <w:rsid w:val="00837C01"/>
    <w:rsid w:val="00843A35"/>
    <w:rsid w:val="00872F3F"/>
    <w:rsid w:val="008769FD"/>
    <w:rsid w:val="00876CDC"/>
    <w:rsid w:val="008804E4"/>
    <w:rsid w:val="008834F9"/>
    <w:rsid w:val="00887B4F"/>
    <w:rsid w:val="00892A64"/>
    <w:rsid w:val="00893BB5"/>
    <w:rsid w:val="00896B02"/>
    <w:rsid w:val="008B0B0A"/>
    <w:rsid w:val="008B19AF"/>
    <w:rsid w:val="008B67B6"/>
    <w:rsid w:val="008B67EB"/>
    <w:rsid w:val="008C084A"/>
    <w:rsid w:val="008C17D3"/>
    <w:rsid w:val="008C1E57"/>
    <w:rsid w:val="008C2C75"/>
    <w:rsid w:val="008C4847"/>
    <w:rsid w:val="008C48E7"/>
    <w:rsid w:val="008C4CE4"/>
    <w:rsid w:val="008D0409"/>
    <w:rsid w:val="008D53D8"/>
    <w:rsid w:val="008E021A"/>
    <w:rsid w:val="008F02E3"/>
    <w:rsid w:val="008F4579"/>
    <w:rsid w:val="008F7CF0"/>
    <w:rsid w:val="0090007D"/>
    <w:rsid w:val="009013B1"/>
    <w:rsid w:val="009048A1"/>
    <w:rsid w:val="00906018"/>
    <w:rsid w:val="0090697B"/>
    <w:rsid w:val="0090755D"/>
    <w:rsid w:val="0091331A"/>
    <w:rsid w:val="00913F50"/>
    <w:rsid w:val="0091499F"/>
    <w:rsid w:val="00914C56"/>
    <w:rsid w:val="00917261"/>
    <w:rsid w:val="0092250D"/>
    <w:rsid w:val="00925D23"/>
    <w:rsid w:val="009323E0"/>
    <w:rsid w:val="0093251C"/>
    <w:rsid w:val="0093424D"/>
    <w:rsid w:val="0093478F"/>
    <w:rsid w:val="00942FD0"/>
    <w:rsid w:val="0094543F"/>
    <w:rsid w:val="00946210"/>
    <w:rsid w:val="009504DC"/>
    <w:rsid w:val="00950729"/>
    <w:rsid w:val="00956DE6"/>
    <w:rsid w:val="0096383F"/>
    <w:rsid w:val="00963CB1"/>
    <w:rsid w:val="009667CE"/>
    <w:rsid w:val="009737DA"/>
    <w:rsid w:val="00975B07"/>
    <w:rsid w:val="009854A9"/>
    <w:rsid w:val="009914B5"/>
    <w:rsid w:val="00994767"/>
    <w:rsid w:val="00995F34"/>
    <w:rsid w:val="009A0040"/>
    <w:rsid w:val="009A124F"/>
    <w:rsid w:val="009A16F0"/>
    <w:rsid w:val="009A381D"/>
    <w:rsid w:val="009C2356"/>
    <w:rsid w:val="009C63F7"/>
    <w:rsid w:val="009C659B"/>
    <w:rsid w:val="009D418E"/>
    <w:rsid w:val="009D467E"/>
    <w:rsid w:val="009D5082"/>
    <w:rsid w:val="009E033F"/>
    <w:rsid w:val="009E2C47"/>
    <w:rsid w:val="009E2D14"/>
    <w:rsid w:val="009E5AAA"/>
    <w:rsid w:val="009F2F40"/>
    <w:rsid w:val="009F40F1"/>
    <w:rsid w:val="009F51A3"/>
    <w:rsid w:val="00A02B29"/>
    <w:rsid w:val="00A07FF4"/>
    <w:rsid w:val="00A1010D"/>
    <w:rsid w:val="00A1042F"/>
    <w:rsid w:val="00A11E3A"/>
    <w:rsid w:val="00A1254E"/>
    <w:rsid w:val="00A166C7"/>
    <w:rsid w:val="00A17AAA"/>
    <w:rsid w:val="00A2049A"/>
    <w:rsid w:val="00A3448E"/>
    <w:rsid w:val="00A53C8C"/>
    <w:rsid w:val="00A57409"/>
    <w:rsid w:val="00A57856"/>
    <w:rsid w:val="00A60665"/>
    <w:rsid w:val="00A77566"/>
    <w:rsid w:val="00A819F4"/>
    <w:rsid w:val="00A854BC"/>
    <w:rsid w:val="00A90373"/>
    <w:rsid w:val="00A93AA7"/>
    <w:rsid w:val="00AA2518"/>
    <w:rsid w:val="00AA4884"/>
    <w:rsid w:val="00AB0D82"/>
    <w:rsid w:val="00AC6B9E"/>
    <w:rsid w:val="00AC6DE6"/>
    <w:rsid w:val="00AC73B1"/>
    <w:rsid w:val="00AC7476"/>
    <w:rsid w:val="00AE4607"/>
    <w:rsid w:val="00AF1482"/>
    <w:rsid w:val="00AF3C92"/>
    <w:rsid w:val="00B06461"/>
    <w:rsid w:val="00B07C37"/>
    <w:rsid w:val="00B14FBF"/>
    <w:rsid w:val="00B36817"/>
    <w:rsid w:val="00B40450"/>
    <w:rsid w:val="00B4165B"/>
    <w:rsid w:val="00B4189E"/>
    <w:rsid w:val="00B430A0"/>
    <w:rsid w:val="00B438FF"/>
    <w:rsid w:val="00B4413D"/>
    <w:rsid w:val="00B47C87"/>
    <w:rsid w:val="00B52AA6"/>
    <w:rsid w:val="00B6088F"/>
    <w:rsid w:val="00B61F4F"/>
    <w:rsid w:val="00B66DFA"/>
    <w:rsid w:val="00B70795"/>
    <w:rsid w:val="00B759FD"/>
    <w:rsid w:val="00B778C2"/>
    <w:rsid w:val="00B835A6"/>
    <w:rsid w:val="00B83659"/>
    <w:rsid w:val="00B84ED2"/>
    <w:rsid w:val="00B85336"/>
    <w:rsid w:val="00B87F5F"/>
    <w:rsid w:val="00B90C12"/>
    <w:rsid w:val="00BA2007"/>
    <w:rsid w:val="00BB5C96"/>
    <w:rsid w:val="00BB6328"/>
    <w:rsid w:val="00BB6A22"/>
    <w:rsid w:val="00BC0ED8"/>
    <w:rsid w:val="00BD2824"/>
    <w:rsid w:val="00BD46C9"/>
    <w:rsid w:val="00BE01CF"/>
    <w:rsid w:val="00BE2BCF"/>
    <w:rsid w:val="00BE4901"/>
    <w:rsid w:val="00C00FBB"/>
    <w:rsid w:val="00C02291"/>
    <w:rsid w:val="00C16485"/>
    <w:rsid w:val="00C217E4"/>
    <w:rsid w:val="00C22FBB"/>
    <w:rsid w:val="00C23724"/>
    <w:rsid w:val="00C42373"/>
    <w:rsid w:val="00C4309A"/>
    <w:rsid w:val="00C5018D"/>
    <w:rsid w:val="00C509B4"/>
    <w:rsid w:val="00C54941"/>
    <w:rsid w:val="00C56D6B"/>
    <w:rsid w:val="00C600A9"/>
    <w:rsid w:val="00C6238A"/>
    <w:rsid w:val="00C65FD1"/>
    <w:rsid w:val="00C7566E"/>
    <w:rsid w:val="00C779A1"/>
    <w:rsid w:val="00C77DEF"/>
    <w:rsid w:val="00C806D4"/>
    <w:rsid w:val="00C86EF5"/>
    <w:rsid w:val="00C91C58"/>
    <w:rsid w:val="00C96EC9"/>
    <w:rsid w:val="00CA1297"/>
    <w:rsid w:val="00CA5AAC"/>
    <w:rsid w:val="00CA72B7"/>
    <w:rsid w:val="00CB2CC9"/>
    <w:rsid w:val="00CB351C"/>
    <w:rsid w:val="00CB713C"/>
    <w:rsid w:val="00CC1363"/>
    <w:rsid w:val="00CC3776"/>
    <w:rsid w:val="00CD2637"/>
    <w:rsid w:val="00CD285D"/>
    <w:rsid w:val="00CD49C9"/>
    <w:rsid w:val="00CD519A"/>
    <w:rsid w:val="00CE2825"/>
    <w:rsid w:val="00CE4577"/>
    <w:rsid w:val="00CE4810"/>
    <w:rsid w:val="00CE58DE"/>
    <w:rsid w:val="00CF2719"/>
    <w:rsid w:val="00CF7F5B"/>
    <w:rsid w:val="00D04B60"/>
    <w:rsid w:val="00D055AD"/>
    <w:rsid w:val="00D05861"/>
    <w:rsid w:val="00D0630C"/>
    <w:rsid w:val="00D1458B"/>
    <w:rsid w:val="00D163FB"/>
    <w:rsid w:val="00D16FD2"/>
    <w:rsid w:val="00D1765E"/>
    <w:rsid w:val="00D2774B"/>
    <w:rsid w:val="00D34FAD"/>
    <w:rsid w:val="00D35F65"/>
    <w:rsid w:val="00D36944"/>
    <w:rsid w:val="00D36CD2"/>
    <w:rsid w:val="00D370C3"/>
    <w:rsid w:val="00D556C4"/>
    <w:rsid w:val="00D56771"/>
    <w:rsid w:val="00D57702"/>
    <w:rsid w:val="00D65192"/>
    <w:rsid w:val="00D65199"/>
    <w:rsid w:val="00D65D3E"/>
    <w:rsid w:val="00D76712"/>
    <w:rsid w:val="00D778CA"/>
    <w:rsid w:val="00D8098C"/>
    <w:rsid w:val="00D82440"/>
    <w:rsid w:val="00D84121"/>
    <w:rsid w:val="00D8487B"/>
    <w:rsid w:val="00D878F2"/>
    <w:rsid w:val="00D97514"/>
    <w:rsid w:val="00DA1ED5"/>
    <w:rsid w:val="00DA219B"/>
    <w:rsid w:val="00DA7915"/>
    <w:rsid w:val="00DB5850"/>
    <w:rsid w:val="00DC0181"/>
    <w:rsid w:val="00DC0FA7"/>
    <w:rsid w:val="00DC2C80"/>
    <w:rsid w:val="00DC5375"/>
    <w:rsid w:val="00DC5B8D"/>
    <w:rsid w:val="00DD021D"/>
    <w:rsid w:val="00DD64BD"/>
    <w:rsid w:val="00DE0C09"/>
    <w:rsid w:val="00DE1A0C"/>
    <w:rsid w:val="00DE29E5"/>
    <w:rsid w:val="00DE4089"/>
    <w:rsid w:val="00DE4810"/>
    <w:rsid w:val="00DE549E"/>
    <w:rsid w:val="00DE6A1C"/>
    <w:rsid w:val="00DE7CDC"/>
    <w:rsid w:val="00DF322B"/>
    <w:rsid w:val="00DF56CE"/>
    <w:rsid w:val="00E00700"/>
    <w:rsid w:val="00E01AD3"/>
    <w:rsid w:val="00E12A6A"/>
    <w:rsid w:val="00E14012"/>
    <w:rsid w:val="00E2299F"/>
    <w:rsid w:val="00E22BDE"/>
    <w:rsid w:val="00E234F5"/>
    <w:rsid w:val="00E25670"/>
    <w:rsid w:val="00E25D3E"/>
    <w:rsid w:val="00E3161F"/>
    <w:rsid w:val="00E316A7"/>
    <w:rsid w:val="00E32C95"/>
    <w:rsid w:val="00E35752"/>
    <w:rsid w:val="00E375B1"/>
    <w:rsid w:val="00E42F22"/>
    <w:rsid w:val="00E4643E"/>
    <w:rsid w:val="00E46975"/>
    <w:rsid w:val="00E46F7A"/>
    <w:rsid w:val="00E47D04"/>
    <w:rsid w:val="00E50673"/>
    <w:rsid w:val="00E5079E"/>
    <w:rsid w:val="00E54712"/>
    <w:rsid w:val="00E71349"/>
    <w:rsid w:val="00E76376"/>
    <w:rsid w:val="00E77E52"/>
    <w:rsid w:val="00E8656C"/>
    <w:rsid w:val="00E940BD"/>
    <w:rsid w:val="00EA3DCF"/>
    <w:rsid w:val="00EA70FE"/>
    <w:rsid w:val="00EB17FE"/>
    <w:rsid w:val="00EB2849"/>
    <w:rsid w:val="00EC2912"/>
    <w:rsid w:val="00ED0B46"/>
    <w:rsid w:val="00ED43EE"/>
    <w:rsid w:val="00ED48A3"/>
    <w:rsid w:val="00EF0D26"/>
    <w:rsid w:val="00EF3B73"/>
    <w:rsid w:val="00EF43F9"/>
    <w:rsid w:val="00EF4B94"/>
    <w:rsid w:val="00EF66C0"/>
    <w:rsid w:val="00EF7DB1"/>
    <w:rsid w:val="00F05839"/>
    <w:rsid w:val="00F1157A"/>
    <w:rsid w:val="00F13203"/>
    <w:rsid w:val="00F14811"/>
    <w:rsid w:val="00F14EB0"/>
    <w:rsid w:val="00F14F37"/>
    <w:rsid w:val="00F156CC"/>
    <w:rsid w:val="00F23101"/>
    <w:rsid w:val="00F2362C"/>
    <w:rsid w:val="00F25300"/>
    <w:rsid w:val="00F2712A"/>
    <w:rsid w:val="00F45547"/>
    <w:rsid w:val="00F506D1"/>
    <w:rsid w:val="00F64F4D"/>
    <w:rsid w:val="00F65154"/>
    <w:rsid w:val="00F65675"/>
    <w:rsid w:val="00F71CCB"/>
    <w:rsid w:val="00F75F09"/>
    <w:rsid w:val="00F81DC5"/>
    <w:rsid w:val="00F942A8"/>
    <w:rsid w:val="00FA0570"/>
    <w:rsid w:val="00FB1D07"/>
    <w:rsid w:val="00FB36B0"/>
    <w:rsid w:val="00FB44AD"/>
    <w:rsid w:val="00FB6FCD"/>
    <w:rsid w:val="00FC4D5B"/>
    <w:rsid w:val="00FC7CC3"/>
    <w:rsid w:val="00FD294F"/>
    <w:rsid w:val="00FD68FA"/>
    <w:rsid w:val="00FE15B8"/>
    <w:rsid w:val="00FE30CB"/>
    <w:rsid w:val="00FE46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E999F"/>
  <w15:chartTrackingRefBased/>
  <w15:docId w15:val="{3C23E9FF-C4EB-475A-AABF-DB561B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4C56"/>
    <w:pPr>
      <w:spacing w:after="0" w:line="276" w:lineRule="auto"/>
    </w:pPr>
    <w:rPr>
      <w:rFonts w:ascii="Arial" w:eastAsia="Arial" w:hAnsi="Arial" w:cs="Arial"/>
      <w:lang w:val="en" w:eastAsia="de-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4C56"/>
    <w:pPr>
      <w:tabs>
        <w:tab w:val="center" w:pos="4680"/>
        <w:tab w:val="right" w:pos="9360"/>
      </w:tabs>
      <w:spacing w:line="240" w:lineRule="auto"/>
    </w:pPr>
  </w:style>
  <w:style w:type="character" w:customStyle="1" w:styleId="FooterChar">
    <w:name w:val="Footer Char"/>
    <w:basedOn w:val="DefaultParagraphFont"/>
    <w:link w:val="Footer"/>
    <w:uiPriority w:val="99"/>
    <w:rsid w:val="00914C56"/>
    <w:rPr>
      <w:rFonts w:ascii="Arial" w:eastAsia="Arial" w:hAnsi="Arial" w:cs="Arial"/>
      <w:lang w:val="en" w:eastAsia="de-CH"/>
    </w:rPr>
  </w:style>
  <w:style w:type="character" w:styleId="PageNumber">
    <w:name w:val="page number"/>
    <w:basedOn w:val="DefaultParagraphFont"/>
    <w:uiPriority w:val="99"/>
    <w:semiHidden/>
    <w:unhideWhenUsed/>
    <w:rsid w:val="00914C56"/>
  </w:style>
  <w:style w:type="character" w:styleId="LineNumber">
    <w:name w:val="line number"/>
    <w:basedOn w:val="DefaultParagraphFont"/>
    <w:uiPriority w:val="99"/>
    <w:semiHidden/>
    <w:unhideWhenUsed/>
    <w:rsid w:val="00914C56"/>
  </w:style>
  <w:style w:type="paragraph" w:styleId="Header">
    <w:name w:val="header"/>
    <w:basedOn w:val="Normal"/>
    <w:link w:val="HeaderChar"/>
    <w:uiPriority w:val="99"/>
    <w:unhideWhenUsed/>
    <w:rsid w:val="0015309E"/>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5309E"/>
    <w:rPr>
      <w:rFonts w:ascii="Arial" w:eastAsia="Arial" w:hAnsi="Arial" w:cs="Arial"/>
      <w:sz w:val="18"/>
      <w:szCs w:val="18"/>
      <w:lang w:val="en" w:eastAsia="de-CH"/>
    </w:rPr>
  </w:style>
  <w:style w:type="table" w:styleId="TableGrid">
    <w:name w:val="Table Grid"/>
    <w:basedOn w:val="TableNormal"/>
    <w:uiPriority w:val="39"/>
    <w:rsid w:val="007D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065"/>
    <w:pPr>
      <w:ind w:left="720"/>
      <w:contextualSpacing/>
    </w:pPr>
  </w:style>
  <w:style w:type="paragraph" w:customStyle="1" w:styleId="EndNoteBibliographyTitle">
    <w:name w:val="EndNote Bibliography Title"/>
    <w:basedOn w:val="Normal"/>
    <w:link w:val="EndNoteBibliographyTitleChar"/>
    <w:rsid w:val="00FE15B8"/>
    <w:pPr>
      <w:jc w:val="center"/>
    </w:pPr>
    <w:rPr>
      <w:noProof/>
      <w:lang w:val="de-CH"/>
    </w:rPr>
  </w:style>
  <w:style w:type="character" w:customStyle="1" w:styleId="EndNoteBibliographyTitleChar">
    <w:name w:val="EndNote Bibliography Title Char"/>
    <w:basedOn w:val="DefaultParagraphFont"/>
    <w:link w:val="EndNoteBibliographyTitle"/>
    <w:rsid w:val="00FE15B8"/>
    <w:rPr>
      <w:rFonts w:ascii="Arial" w:eastAsia="Arial" w:hAnsi="Arial" w:cs="Arial"/>
      <w:noProof/>
      <w:lang w:val="de-CH" w:eastAsia="de-CH"/>
    </w:rPr>
  </w:style>
  <w:style w:type="paragraph" w:customStyle="1" w:styleId="EndNoteBibliography">
    <w:name w:val="EndNote Bibliography"/>
    <w:basedOn w:val="Normal"/>
    <w:link w:val="EndNoteBibliographyChar"/>
    <w:rsid w:val="00FE15B8"/>
    <w:pPr>
      <w:spacing w:line="240" w:lineRule="auto"/>
    </w:pPr>
    <w:rPr>
      <w:noProof/>
      <w:lang w:val="de-CH"/>
    </w:rPr>
  </w:style>
  <w:style w:type="character" w:customStyle="1" w:styleId="EndNoteBibliographyChar">
    <w:name w:val="EndNote Bibliography Char"/>
    <w:basedOn w:val="DefaultParagraphFont"/>
    <w:link w:val="EndNoteBibliography"/>
    <w:rsid w:val="00FE15B8"/>
    <w:rPr>
      <w:rFonts w:ascii="Arial" w:eastAsia="Arial" w:hAnsi="Arial" w:cs="Arial"/>
      <w:noProof/>
      <w:lang w:val="de-CH" w:eastAsia="de-CH"/>
    </w:rPr>
  </w:style>
  <w:style w:type="character" w:styleId="Hyperlink">
    <w:name w:val="Hyperlink"/>
    <w:basedOn w:val="DefaultParagraphFont"/>
    <w:uiPriority w:val="99"/>
    <w:unhideWhenUsed/>
    <w:rsid w:val="00FE15B8"/>
    <w:rPr>
      <w:color w:val="0563C1" w:themeColor="hyperlink"/>
      <w:u w:val="single"/>
    </w:rPr>
  </w:style>
  <w:style w:type="character" w:styleId="UnresolvedMention">
    <w:name w:val="Unresolved Mention"/>
    <w:basedOn w:val="DefaultParagraphFont"/>
    <w:uiPriority w:val="99"/>
    <w:semiHidden/>
    <w:unhideWhenUsed/>
    <w:rsid w:val="00FE15B8"/>
    <w:rPr>
      <w:color w:val="605E5C"/>
      <w:shd w:val="clear" w:color="auto" w:fill="E1DFDD"/>
    </w:rPr>
  </w:style>
  <w:style w:type="character" w:styleId="CommentReference">
    <w:name w:val="annotation reference"/>
    <w:basedOn w:val="DefaultParagraphFont"/>
    <w:uiPriority w:val="99"/>
    <w:semiHidden/>
    <w:unhideWhenUsed/>
    <w:rsid w:val="00F45547"/>
    <w:rPr>
      <w:sz w:val="16"/>
      <w:szCs w:val="16"/>
    </w:rPr>
  </w:style>
  <w:style w:type="paragraph" w:styleId="CommentText">
    <w:name w:val="annotation text"/>
    <w:basedOn w:val="Normal"/>
    <w:link w:val="CommentTextChar"/>
    <w:uiPriority w:val="99"/>
    <w:unhideWhenUsed/>
    <w:rsid w:val="00F45547"/>
    <w:pPr>
      <w:spacing w:line="240" w:lineRule="auto"/>
    </w:pPr>
    <w:rPr>
      <w:sz w:val="20"/>
      <w:szCs w:val="20"/>
    </w:rPr>
  </w:style>
  <w:style w:type="character" w:customStyle="1" w:styleId="CommentTextChar">
    <w:name w:val="Comment Text Char"/>
    <w:basedOn w:val="DefaultParagraphFont"/>
    <w:link w:val="CommentText"/>
    <w:uiPriority w:val="99"/>
    <w:rsid w:val="00F45547"/>
    <w:rPr>
      <w:rFonts w:ascii="Arial" w:eastAsia="Arial" w:hAnsi="Arial" w:cs="Arial"/>
      <w:sz w:val="20"/>
      <w:szCs w:val="20"/>
      <w:lang w:val="en" w:eastAsia="de-CH"/>
    </w:rPr>
  </w:style>
  <w:style w:type="paragraph" w:styleId="CommentSubject">
    <w:name w:val="annotation subject"/>
    <w:basedOn w:val="CommentText"/>
    <w:next w:val="CommentText"/>
    <w:link w:val="CommentSubjectChar"/>
    <w:uiPriority w:val="99"/>
    <w:semiHidden/>
    <w:unhideWhenUsed/>
    <w:rsid w:val="00F45547"/>
    <w:rPr>
      <w:b/>
      <w:bCs/>
    </w:rPr>
  </w:style>
  <w:style w:type="character" w:customStyle="1" w:styleId="CommentSubjectChar">
    <w:name w:val="Comment Subject Char"/>
    <w:basedOn w:val="CommentTextChar"/>
    <w:link w:val="CommentSubject"/>
    <w:uiPriority w:val="99"/>
    <w:semiHidden/>
    <w:rsid w:val="00F45547"/>
    <w:rPr>
      <w:rFonts w:ascii="Arial" w:eastAsia="Arial" w:hAnsi="Arial" w:cs="Arial"/>
      <w:b/>
      <w:bCs/>
      <w:sz w:val="20"/>
      <w:szCs w:val="20"/>
      <w:lang w:val="en"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20111-77FD-4F18-8E31-D737874646AB}">
  <ds:schemaRefs>
    <ds:schemaRef ds:uri="http://schemas.microsoft.com/sharepoint/v3/contenttype/forms"/>
  </ds:schemaRefs>
</ds:datastoreItem>
</file>

<file path=customXml/itemProps2.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A32DB-E5B8-4E32-AD11-08F2E668867B}">
  <ds:schemaRefs>
    <ds:schemaRef ds:uri="http://schemas.openxmlformats.org/officeDocument/2006/bibliography"/>
  </ds:schemaRefs>
</ds:datastoreItem>
</file>

<file path=customXml/itemProps4.xml><?xml version="1.0" encoding="utf-8"?>
<ds:datastoreItem xmlns:ds="http://schemas.openxmlformats.org/officeDocument/2006/customXml" ds:itemID="{9FB0931C-FCE2-4CC4-80DE-15614B41F1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13</Pages>
  <Words>6254</Words>
  <Characters>36965</Characters>
  <Application>Microsoft Office Word</Application>
  <DocSecurity>0</DocSecurity>
  <Lines>1274</Lines>
  <Paragraphs>392</Paragraphs>
  <ScaleCrop>false</ScaleCrop>
  <HeadingPairs>
    <vt:vector size="2" baseType="variant">
      <vt:variant>
        <vt:lpstr>Title</vt:lpstr>
      </vt:variant>
      <vt:variant>
        <vt:i4>1</vt:i4>
      </vt:variant>
    </vt:vector>
  </HeadingPairs>
  <TitlesOfParts>
    <vt:vector size="1" baseType="lpstr">
      <vt:lpstr/>
    </vt:vector>
  </TitlesOfParts>
  <Company>University of Bern</Company>
  <LinksUpToDate>false</LinksUpToDate>
  <CharactersWithSpaces>42827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Whitesell, Veronika (ISPM)</dc:creator>
  <cp:keywords/>
  <dc:description/>
  <cp:lastModifiedBy>Emmanuel Adewuyi</cp:lastModifiedBy>
  <cp:revision>152</cp:revision>
  <cp:lastPrinted>2021-09-28T07:08:00Z</cp:lastPrinted>
  <dcterms:created xsi:type="dcterms:W3CDTF">2025-11-09T04:41:00Z</dcterms:created>
  <dcterms:modified xsi:type="dcterms:W3CDTF">2025-11-09T15:57:00Z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y fmtid="{D5CDD505-2E9C-101B-9397-08002B2CF9AE}" pid="26" name="GrammarlyDocumentId">
    <vt:lpwstr>c20f3423f3045ecd63765ebc3d6c1cb34f72e49200b041f043144b790edd5fe3</vt:lpwstr>
  </property>
</Properties>
</file>