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DCE4A" w14:textId="77777777" w:rsidR="00672DCC" w:rsidRDefault="00000000">
      <w:pPr>
        <w:rPr>
          <w:sz w:val="44"/>
          <w:szCs w:val="44"/>
        </w:rPr>
      </w:pPr>
      <w:r>
        <w:rPr>
          <w:sz w:val="44"/>
          <w:szCs w:val="44"/>
        </w:rPr>
        <w:t xml:space="preserve">Supplementary Data </w:t>
      </w:r>
    </w:p>
    <w:p w14:paraId="68DF9DF5" w14:textId="77777777" w:rsidR="00672DCC" w:rsidRDefault="00672DCC"/>
    <w:p w14:paraId="65BBBF3B" w14:textId="77777777" w:rsidR="00672DCC" w:rsidRDefault="00000000">
      <w:pPr>
        <w:jc w:val="both"/>
        <w:rPr>
          <w:b/>
        </w:rPr>
      </w:pPr>
      <w:r>
        <w:rPr>
          <w:b/>
        </w:rPr>
        <w:t xml:space="preserve">H/ACA snoRNAs and </w:t>
      </w:r>
      <w:proofErr w:type="spellStart"/>
      <w:r>
        <w:rPr>
          <w:b/>
        </w:rPr>
        <w:t>snoRNPs</w:t>
      </w:r>
      <w:proofErr w:type="spellEnd"/>
      <w:r>
        <w:rPr>
          <w:b/>
        </w:rPr>
        <w:t xml:space="preserve"> Dysregulation Links rRNA Modification to Glioblastoma Progression</w:t>
      </w:r>
    </w:p>
    <w:p w14:paraId="6EA4249B" w14:textId="77777777" w:rsidR="00672DCC" w:rsidRDefault="00000000">
      <w:pPr>
        <w:spacing w:line="240" w:lineRule="auto"/>
        <w:jc w:val="both"/>
      </w:pPr>
      <w:r>
        <w:t>Gabriela D. A. Guardia</w:t>
      </w:r>
      <w:r>
        <w:rPr>
          <w:vertAlign w:val="superscript"/>
        </w:rPr>
        <w:t>1#</w:t>
      </w:r>
      <w:r>
        <w:t>, Xiufen Lei</w:t>
      </w:r>
      <w:r>
        <w:rPr>
          <w:vertAlign w:val="superscript"/>
        </w:rPr>
        <w:t>2#</w:t>
      </w:r>
      <w:r>
        <w:t>, Christina Middle</w:t>
      </w:r>
      <w:r>
        <w:rPr>
          <w:vertAlign w:val="superscript"/>
        </w:rPr>
        <w:t>3</w:t>
      </w:r>
      <w:r>
        <w:t>, Morgan Roos</w:t>
      </w:r>
      <w:r>
        <w:rPr>
          <w:vertAlign w:val="superscript"/>
        </w:rPr>
        <w:t>3</w:t>
      </w:r>
      <w:r>
        <w:t xml:space="preserve">, Lea Damaschke </w:t>
      </w:r>
      <w:r>
        <w:rPr>
          <w:vertAlign w:val="superscript"/>
        </w:rPr>
        <w:t>2</w:t>
      </w:r>
      <w:r>
        <w:t>, Sreenevash Ramesh</w:t>
      </w:r>
      <w:r>
        <w:rPr>
          <w:vertAlign w:val="superscript"/>
        </w:rPr>
        <w:t>2</w:t>
      </w:r>
      <w:r>
        <w:t>, Stella Auth</w:t>
      </w:r>
      <w:r>
        <w:rPr>
          <w:vertAlign w:val="superscript"/>
        </w:rPr>
        <w:t>2</w:t>
      </w:r>
      <w:r>
        <w:t>, Gabriel Lucas da Fonseca</w:t>
      </w:r>
      <w:r>
        <w:rPr>
          <w:vertAlign w:val="superscript"/>
        </w:rPr>
        <w:t>2</w:t>
      </w:r>
      <w:r>
        <w:t>, Nicole Acevedo</w:t>
      </w:r>
      <w:r>
        <w:rPr>
          <w:vertAlign w:val="superscript"/>
        </w:rPr>
        <w:t>2</w:t>
      </w:r>
      <w:r>
        <w:t>, Frederico G. C. Oliveira</w:t>
      </w:r>
      <w:r>
        <w:rPr>
          <w:vertAlign w:val="superscript"/>
        </w:rPr>
        <w:t>1,4</w:t>
      </w:r>
      <w:r>
        <w:t>, Nidhi Shah</w:t>
      </w:r>
      <w:r>
        <w:rPr>
          <w:vertAlign w:val="superscript"/>
        </w:rPr>
        <w:t>3</w:t>
      </w:r>
      <w:r>
        <w:t>, Gary Schroth</w:t>
      </w:r>
      <w:r>
        <w:rPr>
          <w:vertAlign w:val="superscript"/>
        </w:rPr>
        <w:t>3</w:t>
      </w:r>
      <w:r>
        <w:t>, Susanne Angelow</w:t>
      </w:r>
      <w:r>
        <w:rPr>
          <w:vertAlign w:val="superscript"/>
        </w:rPr>
        <w:t>3</w:t>
      </w:r>
      <w:r>
        <w:t>, Andrew Brenner</w:t>
      </w:r>
      <w:r>
        <w:rPr>
          <w:vertAlign w:val="superscript"/>
        </w:rPr>
        <w:t>5</w:t>
      </w:r>
      <w:r>
        <w:t>, Scott Kuersten</w:t>
      </w:r>
      <w:r>
        <w:rPr>
          <w:vertAlign w:val="superscript"/>
        </w:rPr>
        <w:t>3*</w:t>
      </w:r>
      <w:r>
        <w:t>. Pedro A. F. Galante</w:t>
      </w:r>
      <w:r>
        <w:rPr>
          <w:vertAlign w:val="superscript"/>
        </w:rPr>
        <w:t>1*</w:t>
      </w:r>
      <w:r>
        <w:t>, Luiz O. Penalva</w:t>
      </w:r>
      <w:r>
        <w:rPr>
          <w:vertAlign w:val="superscript"/>
        </w:rPr>
        <w:t>2,6,*</w:t>
      </w:r>
    </w:p>
    <w:p w14:paraId="2A1D36E9" w14:textId="77777777" w:rsidR="00672DCC" w:rsidRDefault="00000000">
      <w:pPr>
        <w:spacing w:after="0" w:line="240" w:lineRule="auto"/>
        <w:jc w:val="both"/>
      </w:pPr>
      <w:r>
        <w:t xml:space="preserve">1 - Hospital </w:t>
      </w:r>
      <w:proofErr w:type="spellStart"/>
      <w:r>
        <w:t>Sírio-Libanês</w:t>
      </w:r>
      <w:proofErr w:type="spellEnd"/>
      <w:r>
        <w:t>, São Paulo, SP</w:t>
      </w:r>
    </w:p>
    <w:p w14:paraId="3DD05200" w14:textId="77777777" w:rsidR="00672DCC" w:rsidRDefault="00000000">
      <w:pPr>
        <w:spacing w:after="0" w:line="240" w:lineRule="auto"/>
        <w:jc w:val="both"/>
      </w:pPr>
      <w:r>
        <w:t>2- Children’s Cancer Research Institute, UT Health San Antonio, San Antonio, TX.</w:t>
      </w:r>
    </w:p>
    <w:p w14:paraId="7BE69D2B" w14:textId="77777777" w:rsidR="00672DCC" w:rsidRDefault="00000000">
      <w:pPr>
        <w:spacing w:after="0" w:line="240" w:lineRule="auto"/>
        <w:jc w:val="both"/>
      </w:pPr>
      <w:r>
        <w:t>3-</w:t>
      </w:r>
      <w:r>
        <w:rPr>
          <w:vertAlign w:val="superscript"/>
        </w:rPr>
        <w:t xml:space="preserve"> </w:t>
      </w:r>
      <w:r>
        <w:t>Illumina, Inc., San Diego, CA</w:t>
      </w:r>
    </w:p>
    <w:p w14:paraId="59286C49" w14:textId="77777777" w:rsidR="00672DCC" w:rsidRDefault="00000000">
      <w:pPr>
        <w:spacing w:after="0" w:line="240" w:lineRule="auto"/>
        <w:jc w:val="both"/>
      </w:pPr>
      <w:r>
        <w:t xml:space="preserve">4- Departamento de </w:t>
      </w:r>
      <w:proofErr w:type="spellStart"/>
      <w:r>
        <w:t>Bioquímica</w:t>
      </w:r>
      <w:proofErr w:type="spellEnd"/>
      <w:r>
        <w:t xml:space="preserve">, </w:t>
      </w:r>
      <w:proofErr w:type="spellStart"/>
      <w:r>
        <w:t>Universidade</w:t>
      </w:r>
      <w:proofErr w:type="spellEnd"/>
      <w:r>
        <w:t xml:space="preserve"> de São Paulo, SP.</w:t>
      </w:r>
    </w:p>
    <w:p w14:paraId="7ECF1B7C" w14:textId="77777777" w:rsidR="00672DCC" w:rsidRDefault="00000000">
      <w:pPr>
        <w:spacing w:after="0" w:line="240" w:lineRule="auto"/>
        <w:jc w:val="both"/>
      </w:pPr>
      <w:r>
        <w:t>5- Mays Cancer Center, UT Health San Antonio, San Antonio, TX.</w:t>
      </w:r>
    </w:p>
    <w:p w14:paraId="6A5E649F" w14:textId="77777777" w:rsidR="00672DCC" w:rsidRDefault="00000000">
      <w:pPr>
        <w:spacing w:after="0" w:line="240" w:lineRule="auto"/>
        <w:jc w:val="both"/>
      </w:pPr>
      <w:r>
        <w:t>6- Department of Cell Systems and Anatomy, UT Health San Antonio, San Antonio, TX.</w:t>
      </w:r>
    </w:p>
    <w:p w14:paraId="42471C47" w14:textId="77777777" w:rsidR="00672DCC" w:rsidRDefault="00000000">
      <w:pPr>
        <w:spacing w:after="0" w:line="240" w:lineRule="auto"/>
        <w:jc w:val="both"/>
      </w:pPr>
      <w:r>
        <w:t># co- first authors</w:t>
      </w:r>
    </w:p>
    <w:p w14:paraId="3D149494" w14:textId="77777777" w:rsidR="00672DCC" w:rsidRDefault="00000000">
      <w:pPr>
        <w:spacing w:after="0" w:line="240" w:lineRule="auto"/>
        <w:jc w:val="both"/>
        <w:rPr>
          <w:b/>
        </w:rPr>
      </w:pPr>
      <w:r>
        <w:t>*co-senior authors</w:t>
      </w:r>
    </w:p>
    <w:p w14:paraId="5994C1DD" w14:textId="77777777" w:rsidR="00672DCC" w:rsidRDefault="00672DCC">
      <w:pPr>
        <w:jc w:val="both"/>
      </w:pPr>
    </w:p>
    <w:p w14:paraId="5991B0C3" w14:textId="77777777" w:rsidR="00587E61" w:rsidRPr="00E5064E" w:rsidRDefault="00587E61" w:rsidP="00587E61">
      <w:pPr>
        <w:spacing w:line="480" w:lineRule="auto"/>
        <w:jc w:val="both"/>
        <w:rPr>
          <w:bCs/>
        </w:rPr>
      </w:pPr>
      <w:r w:rsidRPr="00E5064E">
        <w:rPr>
          <w:bCs/>
        </w:rPr>
        <w:t>Corresponding authors</w:t>
      </w:r>
      <w:r>
        <w:rPr>
          <w:bCs/>
        </w:rPr>
        <w:t xml:space="preserve">: </w:t>
      </w:r>
      <w:r>
        <w:t>Luiz O. Penalva, Pedro A. F. Galante and Scott Kuersten</w:t>
      </w:r>
    </w:p>
    <w:p w14:paraId="3ADE1BCB" w14:textId="77777777" w:rsidR="00672DCC" w:rsidRDefault="00672DCC">
      <w:pPr>
        <w:jc w:val="both"/>
      </w:pPr>
    </w:p>
    <w:p w14:paraId="75DD12C9" w14:textId="77777777" w:rsidR="00672DCC" w:rsidRDefault="00672DCC"/>
    <w:p w14:paraId="3D269345" w14:textId="77777777" w:rsidR="00672DCC" w:rsidRDefault="00672DCC"/>
    <w:p w14:paraId="0BEC876D" w14:textId="77777777" w:rsidR="00672DCC" w:rsidRDefault="00672DCC">
      <w:pPr>
        <w:rPr>
          <w:sz w:val="44"/>
          <w:szCs w:val="44"/>
        </w:rPr>
      </w:pPr>
    </w:p>
    <w:p w14:paraId="0C140D69" w14:textId="77777777" w:rsidR="00672DCC" w:rsidRDefault="00000000">
      <w:pPr>
        <w:spacing w:after="0" w:line="480" w:lineRule="auto"/>
        <w:jc w:val="both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28E437E7" wp14:editId="564168CA">
            <wp:extent cx="6858000" cy="52705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7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531A15" w14:textId="77777777" w:rsidR="00672DCC" w:rsidRDefault="00000000">
      <w:pPr>
        <w:spacing w:line="480" w:lineRule="auto"/>
        <w:jc w:val="both"/>
        <w:rPr>
          <w:b/>
        </w:rPr>
      </w:pPr>
      <w:r>
        <w:rPr>
          <w:b/>
        </w:rPr>
        <w:t>Figure S1. Sequence of ASOs used in this study.</w:t>
      </w:r>
    </w:p>
    <w:p w14:paraId="271C8686" w14:textId="77777777" w:rsidR="00672DCC" w:rsidRDefault="00672DCC">
      <w:pPr>
        <w:rPr>
          <w:sz w:val="44"/>
          <w:szCs w:val="44"/>
        </w:rPr>
      </w:pPr>
    </w:p>
    <w:p w14:paraId="0C6195EE" w14:textId="77777777" w:rsidR="00672DCC" w:rsidRDefault="00672DCC"/>
    <w:p w14:paraId="16C1775F" w14:textId="77777777" w:rsidR="00672DCC" w:rsidRDefault="00000000">
      <w:pPr>
        <w:spacing w:after="0" w:line="480" w:lineRule="auto"/>
        <w:jc w:val="center"/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114300" distB="114300" distL="114300" distR="114300" wp14:anchorId="265DFF5A" wp14:editId="7F19DDBB">
            <wp:extent cx="6858000" cy="76835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0D3BED" w14:textId="77777777" w:rsidR="00672DCC" w:rsidRDefault="00000000">
      <w:pPr>
        <w:jc w:val="both"/>
      </w:pPr>
      <w:r>
        <w:rPr>
          <w:b/>
        </w:rPr>
        <w:t>Figure S2. Schematic representation of the experimental approach and bioinformatics pipeline to assess snoRNA expression. A)</w:t>
      </w:r>
      <w:r>
        <w:t xml:space="preserve"> Overview of the </w:t>
      </w:r>
      <w:proofErr w:type="spellStart"/>
      <w:r>
        <w:t>Ampliseq</w:t>
      </w:r>
      <w:proofErr w:type="spellEnd"/>
      <w:r>
        <w:t xml:space="preserve"> approach used to obtain snoRNA expression profiles. </w:t>
      </w:r>
      <w:r>
        <w:rPr>
          <w:b/>
        </w:rPr>
        <w:t>B)</w:t>
      </w:r>
      <w:r>
        <w:t xml:space="preserve"> Bioinformatics pipeline detailing the steps to process and analyze snoRNA expression data.</w:t>
      </w:r>
    </w:p>
    <w:p w14:paraId="71C0A05A" w14:textId="77777777" w:rsidR="00672DCC" w:rsidRDefault="00672DCC">
      <w:pPr>
        <w:jc w:val="both"/>
        <w:rPr>
          <w:b/>
        </w:rPr>
      </w:pPr>
    </w:p>
    <w:p w14:paraId="05D491D0" w14:textId="77777777" w:rsidR="00672DCC" w:rsidRDefault="00000000">
      <w:pPr>
        <w:jc w:val="both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1E5C5E6C" wp14:editId="589F2914">
            <wp:extent cx="6858000" cy="67056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0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EA8871" w14:textId="77777777" w:rsidR="00672DCC" w:rsidRDefault="00000000">
      <w:pPr>
        <w:jc w:val="both"/>
      </w:pPr>
      <w:r>
        <w:rPr>
          <w:b/>
        </w:rPr>
        <w:t xml:space="preserve">Figure S3.  snoRNAs are differentially expressed in neural progenitor cells (NPCs). A) </w:t>
      </w:r>
      <w:r>
        <w:t xml:space="preserve">Volcano plot illustrating differentially expressed snoRNAs in NPCs vs. normal brain (astrocytes/AST and human brain/HBR). </w:t>
      </w:r>
      <w:r>
        <w:rPr>
          <w:b/>
        </w:rPr>
        <w:t>B)</w:t>
      </w:r>
      <w:r>
        <w:t xml:space="preserve"> Heatmap showing snoRNAs differentially expressed in NPCs vs. AST + HBR cells. snoRNAs differentially expressed in both NPCs and GSCs in comparison to AST + HBR are shown in bold. </w:t>
      </w:r>
      <w:r>
        <w:rPr>
          <w:b/>
        </w:rPr>
        <w:t xml:space="preserve">C) </w:t>
      </w:r>
      <w:r>
        <w:t xml:space="preserve">Venn diagrams indicate the number of up or downregulated snoRNAs in NPCs and/or GSCs in comparison to AST + HBR. </w:t>
      </w:r>
      <w:r>
        <w:rPr>
          <w:b/>
        </w:rPr>
        <w:t xml:space="preserve">D) </w:t>
      </w:r>
      <w:r>
        <w:t>Table lists snoRNAs related to Venn diagrams.</w:t>
      </w:r>
    </w:p>
    <w:p w14:paraId="2E813384" w14:textId="77777777" w:rsidR="00672DCC" w:rsidRDefault="00672DCC">
      <w:pPr>
        <w:jc w:val="both"/>
        <w:rPr>
          <w:b/>
        </w:rPr>
      </w:pPr>
    </w:p>
    <w:p w14:paraId="2DA207FA" w14:textId="77777777" w:rsidR="00672DCC" w:rsidRDefault="00672DCC">
      <w:pPr>
        <w:jc w:val="both"/>
        <w:rPr>
          <w:b/>
        </w:rPr>
      </w:pPr>
    </w:p>
    <w:p w14:paraId="3C18BE10" w14:textId="77777777" w:rsidR="00672DCC" w:rsidRDefault="00000000">
      <w:pPr>
        <w:jc w:val="both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6CF7C7EB" wp14:editId="78BD7289">
            <wp:extent cx="6858000" cy="27813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404727" w14:textId="77777777" w:rsidR="00672DCC" w:rsidRDefault="00000000">
      <w:pPr>
        <w:jc w:val="both"/>
      </w:pPr>
      <w:r>
        <w:rPr>
          <w:b/>
        </w:rPr>
        <w:t>Figure S4. Factors implicated in H/ACA</w:t>
      </w:r>
      <w:r>
        <w:t xml:space="preserve"> </w:t>
      </w:r>
      <w:r>
        <w:rPr>
          <w:b/>
        </w:rPr>
        <w:t xml:space="preserve">snoRNA processing and rRNA modification are highly expressed in GBM. </w:t>
      </w:r>
      <w:r>
        <w:t>Expression levels of NHP2, GAR1, and NOP10 in normal cortex, gliomas grade II and III, and glioblastoma. Statistical differences were assessed by Mann–Whitney U tests (p-value * &lt; 0.05, ** &lt; 0.01, *** &lt; 0.001, **** &lt; 0.0001).</w:t>
      </w:r>
    </w:p>
    <w:p w14:paraId="68F666C0" w14:textId="77777777" w:rsidR="00672DCC" w:rsidRDefault="00672DCC">
      <w:pPr>
        <w:jc w:val="both"/>
      </w:pPr>
    </w:p>
    <w:p w14:paraId="4FD0CDCF" w14:textId="77777777" w:rsidR="00672DCC" w:rsidRDefault="00000000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16DFEED4" wp14:editId="27D9F4A3">
            <wp:extent cx="6019800" cy="3119959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l="7083" t="5569" r="5138" b="1345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119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7453EC" w14:textId="77777777" w:rsidR="00672DCC" w:rsidRDefault="00000000">
      <w:pPr>
        <w:jc w:val="both"/>
      </w:pPr>
      <w:r>
        <w:rPr>
          <w:b/>
        </w:rPr>
        <w:t xml:space="preserve">Figure S5. Impact of DKC1 knockdown on splicing. </w:t>
      </w:r>
      <w:r>
        <w:t>The pie chart shows the distribution of splicing events affected by a partial DKC1 knockdown in U251 cells. Abbreviations: Alternative 5’ splice site (A5S); Alternative 3’ splice site (A3S); Mutually exclusive exon (MX); Retained intron (RI); Skipping exon (SE).</w:t>
      </w:r>
    </w:p>
    <w:p w14:paraId="41C4306B" w14:textId="77777777" w:rsidR="00672DCC" w:rsidRDefault="00000000">
      <w:r>
        <w:br w:type="page"/>
      </w:r>
    </w:p>
    <w:p w14:paraId="081388A6" w14:textId="08A712E2" w:rsidR="00672DCC" w:rsidRDefault="00000000">
      <w:pPr>
        <w:spacing w:line="480" w:lineRule="auto"/>
        <w:jc w:val="both"/>
        <w:rPr>
          <w:b/>
        </w:rPr>
      </w:pPr>
      <w:r>
        <w:rPr>
          <w:b/>
        </w:rPr>
        <w:lastRenderedPageBreak/>
        <w:t>Supplementary Tables</w:t>
      </w:r>
    </w:p>
    <w:p w14:paraId="706DEF91" w14:textId="77777777" w:rsidR="00672DCC" w:rsidRDefault="00000000">
      <w:pPr>
        <w:spacing w:line="480" w:lineRule="auto"/>
        <w:jc w:val="both"/>
        <w:rPr>
          <w:b/>
        </w:rPr>
      </w:pPr>
      <w:r>
        <w:rPr>
          <w:b/>
        </w:rPr>
        <w:t xml:space="preserve">Table S1. Sequence of </w:t>
      </w:r>
      <w:proofErr w:type="spellStart"/>
      <w:r>
        <w:rPr>
          <w:b/>
        </w:rPr>
        <w:t>qRT</w:t>
      </w:r>
      <w:proofErr w:type="spellEnd"/>
      <w:r>
        <w:rPr>
          <w:b/>
        </w:rPr>
        <w:t>-PCR primers used in this study.</w:t>
      </w:r>
    </w:p>
    <w:p w14:paraId="448C6E69" w14:textId="77777777" w:rsidR="00672DCC" w:rsidRDefault="00000000">
      <w:pPr>
        <w:spacing w:line="480" w:lineRule="auto"/>
        <w:jc w:val="both"/>
        <w:rPr>
          <w:b/>
        </w:rPr>
      </w:pPr>
      <w:r>
        <w:rPr>
          <w:b/>
        </w:rPr>
        <w:t xml:space="preserve">Table S2. Information about the </w:t>
      </w:r>
      <w:proofErr w:type="spellStart"/>
      <w:r>
        <w:rPr>
          <w:b/>
        </w:rPr>
        <w:t>Ampliseq</w:t>
      </w:r>
      <w:proofErr w:type="spellEnd"/>
      <w:r>
        <w:rPr>
          <w:b/>
        </w:rPr>
        <w:t xml:space="preserve"> platform for snoRNAs and </w:t>
      </w:r>
      <w:proofErr w:type="spellStart"/>
      <w:r>
        <w:rPr>
          <w:b/>
        </w:rPr>
        <w:t>scaRNAs</w:t>
      </w:r>
      <w:proofErr w:type="spellEnd"/>
      <w:r>
        <w:rPr>
          <w:b/>
        </w:rPr>
        <w:t xml:space="preserve"> analysis.</w:t>
      </w:r>
    </w:p>
    <w:p w14:paraId="5A7478CD" w14:textId="77777777" w:rsidR="00672DCC" w:rsidRDefault="00000000">
      <w:pPr>
        <w:spacing w:line="480" w:lineRule="auto"/>
        <w:jc w:val="both"/>
      </w:pPr>
      <w:r>
        <w:rPr>
          <w:b/>
        </w:rPr>
        <w:t xml:space="preserve">Table S3. Genomic localization of snoRNAs and </w:t>
      </w:r>
      <w:proofErr w:type="spellStart"/>
      <w:r>
        <w:rPr>
          <w:b/>
        </w:rPr>
        <w:t>scaRNAs</w:t>
      </w:r>
      <w:proofErr w:type="spellEnd"/>
      <w:r>
        <w:rPr>
          <w:b/>
        </w:rPr>
        <w:t xml:space="preserve"> in the </w:t>
      </w:r>
      <w:proofErr w:type="spellStart"/>
      <w:r>
        <w:rPr>
          <w:b/>
        </w:rPr>
        <w:t>Ampliseq</w:t>
      </w:r>
      <w:proofErr w:type="spellEnd"/>
      <w:r>
        <w:rPr>
          <w:b/>
        </w:rPr>
        <w:t xml:space="preserve"> platform and their host genes.</w:t>
      </w:r>
    </w:p>
    <w:p w14:paraId="414B3554" w14:textId="77777777" w:rsidR="00672DCC" w:rsidRDefault="00000000">
      <w:pPr>
        <w:spacing w:line="480" w:lineRule="auto"/>
        <w:jc w:val="both"/>
        <w:rPr>
          <w:color w:val="FF0000"/>
        </w:rPr>
      </w:pPr>
      <w:r>
        <w:rPr>
          <w:b/>
        </w:rPr>
        <w:t xml:space="preserve">Table S4. List of snoRNAs displaying altered expression in GSC and/or GBM cells and their pertinent pseudo-uridylation sites in 18S and 28S rRNA. </w:t>
      </w:r>
      <w:r>
        <w:t>Conserved</w:t>
      </w:r>
      <w:r>
        <w:rPr>
          <w:b/>
        </w:rPr>
        <w:t xml:space="preserve"> </w:t>
      </w:r>
      <w:r>
        <w:t>pseudo-uridylation sites according to</w:t>
      </w:r>
      <w:r>
        <w:rPr>
          <w:b/>
        </w:rPr>
        <w:t xml:space="preserve"> </w:t>
      </w:r>
      <w:hyperlink r:id="rId11">
        <w:r w:rsidR="00672DCC">
          <w:t>(1)</w:t>
        </w:r>
      </w:hyperlink>
      <w:r>
        <w:t xml:space="preserve">  are indicated, as well as the frequency of pseudo-uridylation for each site according to BACS analysis </w:t>
      </w:r>
      <w:hyperlink r:id="rId12">
        <w:r w:rsidR="00672DCC">
          <w:t>(2)</w:t>
        </w:r>
      </w:hyperlink>
      <w:r>
        <w:t>.</w:t>
      </w:r>
    </w:p>
    <w:p w14:paraId="7D499DB8" w14:textId="77777777" w:rsidR="00672DCC" w:rsidRDefault="00000000">
      <w:pPr>
        <w:spacing w:line="480" w:lineRule="auto"/>
        <w:jc w:val="both"/>
        <w:rPr>
          <w:b/>
        </w:rPr>
      </w:pPr>
      <w:r>
        <w:rPr>
          <w:b/>
        </w:rPr>
        <w:t>Table S5. List of snoRNA/</w:t>
      </w:r>
      <w:proofErr w:type="spellStart"/>
      <w:r>
        <w:rPr>
          <w:b/>
        </w:rPr>
        <w:t>scaRNAs</w:t>
      </w:r>
      <w:proofErr w:type="spellEnd"/>
      <w:r>
        <w:rPr>
          <w:b/>
        </w:rPr>
        <w:t xml:space="preserve"> whose expression was reduced after partial DKC1 knockdown in U251 cells.</w:t>
      </w:r>
    </w:p>
    <w:p w14:paraId="0C34A39E" w14:textId="77777777" w:rsidR="00672DCC" w:rsidRDefault="00000000">
      <w:pPr>
        <w:spacing w:line="480" w:lineRule="auto"/>
        <w:jc w:val="both"/>
      </w:pPr>
      <w:r>
        <w:rPr>
          <w:b/>
        </w:rPr>
        <w:t xml:space="preserve">Table S6. List of splicing alterations observed in U251 cells after partial DKC1 knockdown. </w:t>
      </w:r>
      <w:r>
        <w:t>A5/A3: Alternative 5'/3' Splice Sites, MX: Mutually Exclusive Exons, RI: Retained Intron, SE: Skipping Exon.</w:t>
      </w:r>
      <w:r>
        <w:br/>
      </w:r>
    </w:p>
    <w:p w14:paraId="5A759CF8" w14:textId="77777777" w:rsidR="00672DCC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REFERENCES</w:t>
      </w:r>
    </w:p>
    <w:p w14:paraId="6D13B540" w14:textId="77777777" w:rsidR="00672DCC" w:rsidRDefault="00672DCC">
      <w:pPr>
        <w:spacing w:after="0" w:line="276" w:lineRule="auto"/>
        <w:rPr>
          <w:rFonts w:ascii="Arial" w:eastAsia="Arial" w:hAnsi="Arial" w:cs="Arial"/>
        </w:rPr>
      </w:pPr>
    </w:p>
    <w:p w14:paraId="281D4C51" w14:textId="77777777" w:rsidR="00672DCC" w:rsidRDefault="00000000">
      <w:pPr>
        <w:widowControl w:val="0"/>
        <w:spacing w:before="220" w:after="220" w:line="240" w:lineRule="auto"/>
        <w:ind w:left="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</w:t>
      </w:r>
      <w:r>
        <w:rPr>
          <w:rFonts w:ascii="Arial" w:eastAsia="Arial" w:hAnsi="Arial" w:cs="Arial"/>
        </w:rPr>
        <w:tab/>
      </w:r>
      <w:hyperlink r:id="rId13">
        <w:r w:rsidR="00672DCC">
          <w:rPr>
            <w:rFonts w:ascii="Arial" w:eastAsia="Arial" w:hAnsi="Arial" w:cs="Arial"/>
          </w:rPr>
          <w:t xml:space="preserve">Taoka M, Nobe Y, Yamaki Y, Sato K, Ishikawa H, </w:t>
        </w:r>
        <w:proofErr w:type="spellStart"/>
        <w:r w:rsidR="00672DCC">
          <w:rPr>
            <w:rFonts w:ascii="Arial" w:eastAsia="Arial" w:hAnsi="Arial" w:cs="Arial"/>
          </w:rPr>
          <w:t>Izumikawa</w:t>
        </w:r>
        <w:proofErr w:type="spellEnd"/>
        <w:r w:rsidR="00672DCC">
          <w:rPr>
            <w:rFonts w:ascii="Arial" w:eastAsia="Arial" w:hAnsi="Arial" w:cs="Arial"/>
          </w:rPr>
          <w:t xml:space="preserve"> K, et al. Landscape of the complete RNA chemical modifications in the human 80S ribosome. Nucleic Acids Res. 2018 Oct 12;46(18):9289–98.</w:t>
        </w:r>
      </w:hyperlink>
    </w:p>
    <w:p w14:paraId="070580D8" w14:textId="77777777" w:rsidR="00672DCC" w:rsidRDefault="00000000">
      <w:pPr>
        <w:widowControl w:val="0"/>
        <w:spacing w:after="220" w:line="240" w:lineRule="auto"/>
        <w:ind w:left="440"/>
      </w:pPr>
      <w:r>
        <w:rPr>
          <w:rFonts w:ascii="Arial" w:eastAsia="Arial" w:hAnsi="Arial" w:cs="Arial"/>
        </w:rPr>
        <w:t>2.</w:t>
      </w:r>
      <w:r>
        <w:rPr>
          <w:rFonts w:ascii="Arial" w:eastAsia="Arial" w:hAnsi="Arial" w:cs="Arial"/>
        </w:rPr>
        <w:tab/>
      </w:r>
      <w:hyperlink r:id="rId14">
        <w:r w:rsidR="00672DCC">
          <w:rPr>
            <w:rFonts w:ascii="Arial" w:eastAsia="Arial" w:hAnsi="Arial" w:cs="Arial"/>
          </w:rPr>
          <w:t xml:space="preserve">Xu H, Kong L, Cheng J, Al Moussawi K, Chen X, Iqbal A, et al. Absolute quantitative and base-resolution sequencing reveals comprehensive landscape of </w:t>
        </w:r>
        <w:proofErr w:type="spellStart"/>
        <w:r w:rsidR="00672DCC">
          <w:rPr>
            <w:rFonts w:ascii="Arial" w:eastAsia="Arial" w:hAnsi="Arial" w:cs="Arial"/>
          </w:rPr>
          <w:t>pseudouridine</w:t>
        </w:r>
        <w:proofErr w:type="spellEnd"/>
        <w:r w:rsidR="00672DCC">
          <w:rPr>
            <w:rFonts w:ascii="Arial" w:eastAsia="Arial" w:hAnsi="Arial" w:cs="Arial"/>
          </w:rPr>
          <w:t xml:space="preserve"> across the human transcriptome. Nat Methods. 2024 Nov;21(11):2024–33.</w:t>
        </w:r>
      </w:hyperlink>
    </w:p>
    <w:p w14:paraId="792C8188" w14:textId="77777777" w:rsidR="00672DCC" w:rsidRDefault="00672DCC">
      <w:pPr>
        <w:spacing w:line="480" w:lineRule="auto"/>
        <w:jc w:val="both"/>
      </w:pPr>
    </w:p>
    <w:p w14:paraId="3B723EE9" w14:textId="77777777" w:rsidR="00672DCC" w:rsidRDefault="00672DCC">
      <w:pPr>
        <w:spacing w:line="480" w:lineRule="auto"/>
        <w:jc w:val="both"/>
      </w:pPr>
    </w:p>
    <w:sectPr w:rsidR="00672DCC" w:rsidSect="0010775E">
      <w:footerReference w:type="default" r:id="rId15"/>
      <w:pgSz w:w="12240" w:h="15840"/>
      <w:pgMar w:top="720" w:right="720" w:bottom="720" w:left="720" w:header="720" w:footer="720" w:gutter="0"/>
      <w:lnNumType w:countBy="1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9957D" w14:textId="77777777" w:rsidR="00EC4C2C" w:rsidRDefault="00EC4C2C" w:rsidP="0033584C">
      <w:pPr>
        <w:spacing w:after="0" w:line="240" w:lineRule="auto"/>
      </w:pPr>
      <w:r>
        <w:separator/>
      </w:r>
    </w:p>
  </w:endnote>
  <w:endnote w:type="continuationSeparator" w:id="0">
    <w:p w14:paraId="0A20DE22" w14:textId="77777777" w:rsidR="00EC4C2C" w:rsidRDefault="00EC4C2C" w:rsidP="0033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07CE805-2F38-4024-BBC2-06525785E700}"/>
    <w:embedBold r:id="rId2" w:fontKey="{4264CA1B-7153-4F0E-A6F0-26504848741C}"/>
    <w:embedItalic r:id="rId3" w:fontKey="{3ABFC441-9A07-4364-B8DD-1B0F2A19B4C7}"/>
  </w:font>
  <w:font w:name="Play">
    <w:charset w:val="00"/>
    <w:family w:val="auto"/>
    <w:pitch w:val="default"/>
    <w:embedRegular r:id="rId4" w:fontKey="{CA86A5EE-3CFF-4940-A145-D5FD6256E7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05FB75E-E60A-40B6-9550-E6D9F1C616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72DB634-CE49-479D-B0C3-8945491214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92187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0134AE" w14:textId="34529874" w:rsidR="0033584C" w:rsidRDefault="003358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A98CA5" w14:textId="77777777" w:rsidR="0033584C" w:rsidRDefault="003358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4359D" w14:textId="77777777" w:rsidR="00EC4C2C" w:rsidRDefault="00EC4C2C" w:rsidP="0033584C">
      <w:pPr>
        <w:spacing w:after="0" w:line="240" w:lineRule="auto"/>
      </w:pPr>
      <w:r>
        <w:separator/>
      </w:r>
    </w:p>
  </w:footnote>
  <w:footnote w:type="continuationSeparator" w:id="0">
    <w:p w14:paraId="3E7D12BE" w14:textId="77777777" w:rsidR="00EC4C2C" w:rsidRDefault="00EC4C2C" w:rsidP="003358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DCC"/>
    <w:rsid w:val="00086326"/>
    <w:rsid w:val="0010775E"/>
    <w:rsid w:val="0033584C"/>
    <w:rsid w:val="00506EA5"/>
    <w:rsid w:val="00587E61"/>
    <w:rsid w:val="005D1A95"/>
    <w:rsid w:val="00672DCC"/>
    <w:rsid w:val="00AA6531"/>
    <w:rsid w:val="00B645D3"/>
    <w:rsid w:val="00E6241E"/>
    <w:rsid w:val="00EC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C91B1"/>
  <w15:docId w15:val="{3E78A3C5-21C4-472D-9D31-C4097AB2B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335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84C"/>
  </w:style>
  <w:style w:type="paragraph" w:styleId="Footer">
    <w:name w:val="footer"/>
    <w:basedOn w:val="Normal"/>
    <w:link w:val="FooterChar"/>
    <w:uiPriority w:val="99"/>
    <w:unhideWhenUsed/>
    <w:rsid w:val="00335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84C"/>
  </w:style>
  <w:style w:type="character" w:styleId="LineNumber">
    <w:name w:val="line number"/>
    <w:basedOn w:val="DefaultParagraphFont"/>
    <w:uiPriority w:val="99"/>
    <w:semiHidden/>
    <w:unhideWhenUsed/>
    <w:rsid w:val="001077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paperpile.com/b/Ms9SKg/IFN6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paperpile.com/c/Ms9SKg/JDU4n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paperpile.com/c/Ms9SKg/IFN6K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paperpile.com/b/Ms9SKg/JDU4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590</Words>
  <Characters>3441</Characters>
  <Application>Microsoft Office Word</Application>
  <DocSecurity>0</DocSecurity>
  <Lines>49</Lines>
  <Paragraphs>17</Paragraphs>
  <ScaleCrop>false</ScaleCrop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Penalva, Luiz O</dc:creator>
  <cp:lastModifiedBy>Penalva, Luiz O</cp:lastModifiedBy>
  <cp:revision>6</cp:revision>
  <dcterms:created xsi:type="dcterms:W3CDTF">2025-11-07T23:50:00Z</dcterms:created>
  <dcterms:modified xsi:type="dcterms:W3CDTF">2025-11-18T20:41:00Z</dcterms:modified>
</cp:coreProperties>
</file>