
<file path=[Content_Types].xml><?xml version="1.0" encoding="utf-8"?>
<Types xmlns="http://schemas.openxmlformats.org/package/2006/content-types">
  <Default Extension="tiff" ContentType="image/tif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8A1515">
      <w:pPr>
        <w:widowControl w:val="0"/>
        <w:spacing w:line="360" w:lineRule="auto"/>
        <w:jc w:val="center"/>
        <w:rPr>
          <w:rFonts w:ascii="Times New Roman" w:hAnsi="Times New Roman" w:eastAsia="等线" w:cs="Times New Roman"/>
          <w:b/>
          <w:kern w:val="2"/>
        </w:rPr>
      </w:pPr>
      <w:r>
        <w:rPr>
          <w:rFonts w:hint="eastAsia" w:ascii="Times New Roman" w:hAnsi="Times New Roman" w:eastAsia="等线" w:cs="Times New Roman"/>
          <w:b/>
          <w:kern w:val="2"/>
        </w:rPr>
        <w:t>Ionic Complex</w:t>
      </w:r>
      <w:r>
        <w:rPr>
          <w:rFonts w:ascii="Times New Roman" w:hAnsi="Times New Roman" w:eastAsia="等线" w:cs="Times New Roman"/>
          <w:b/>
          <w:kern w:val="2"/>
        </w:rPr>
        <w:t xml:space="preserve"> Engineered </w:t>
      </w:r>
      <w:bookmarkStart w:id="0" w:name="_Hlk200183250"/>
      <w:bookmarkEnd w:id="0"/>
      <w:r>
        <w:rPr>
          <w:rFonts w:hint="eastAsia" w:ascii="Times New Roman" w:hAnsi="Times New Roman" w:eastAsia="等线" w:cs="Times New Roman"/>
          <w:b/>
          <w:kern w:val="2"/>
        </w:rPr>
        <w:t>T</w:t>
      </w:r>
      <w:r>
        <w:rPr>
          <w:rFonts w:ascii="Times New Roman" w:hAnsi="Times New Roman" w:eastAsia="等线" w:cs="Times New Roman"/>
          <w:b/>
          <w:kern w:val="2"/>
        </w:rPr>
        <w:t xml:space="preserve">opologically </w:t>
      </w:r>
      <w:bookmarkStart w:id="1" w:name="OLE_LINK14"/>
      <w:bookmarkEnd w:id="1"/>
      <w:r>
        <w:rPr>
          <w:rFonts w:hint="eastAsia" w:ascii="Times New Roman" w:hAnsi="Times New Roman" w:eastAsia="等线" w:cs="Times New Roman"/>
          <w:b/>
          <w:kern w:val="2"/>
        </w:rPr>
        <w:t xml:space="preserve">Reconfigurable </w:t>
      </w:r>
      <w:bookmarkStart w:id="2" w:name="_Hlk200312210"/>
      <w:r>
        <w:rPr>
          <w:rFonts w:hint="eastAsia" w:ascii="Times New Roman" w:hAnsi="Times New Roman" w:eastAsia="等线" w:cs="Times New Roman"/>
          <w:b/>
          <w:kern w:val="2"/>
        </w:rPr>
        <w:t xml:space="preserve">Salt-Resistant Hydrogels </w:t>
      </w:r>
      <w:bookmarkEnd w:id="2"/>
      <w:r>
        <w:rPr>
          <w:rFonts w:ascii="Times New Roman" w:hAnsi="Times New Roman" w:eastAsia="等线" w:cs="Times New Roman"/>
          <w:b/>
          <w:kern w:val="2"/>
        </w:rPr>
        <w:t xml:space="preserve">with </w:t>
      </w:r>
      <w:bookmarkStart w:id="3" w:name="OLE_LINK9"/>
      <w:bookmarkEnd w:id="3"/>
      <w:r>
        <w:rPr>
          <w:rFonts w:ascii="Times New Roman" w:hAnsi="Times New Roman" w:eastAsia="等线" w:cs="Times New Roman"/>
          <w:b/>
          <w:kern w:val="2"/>
        </w:rPr>
        <w:t xml:space="preserve">Simultaneously </w:t>
      </w:r>
      <w:bookmarkStart w:id="4" w:name="_Hlk200185310"/>
      <w:bookmarkEnd w:id="4"/>
      <w:r>
        <w:rPr>
          <w:rFonts w:ascii="Times New Roman" w:hAnsi="Times New Roman" w:eastAsia="等线" w:cs="Times New Roman"/>
          <w:b/>
          <w:kern w:val="2"/>
        </w:rPr>
        <w:t>Enhanced Swelling and Mechanical Properties</w:t>
      </w:r>
    </w:p>
    <w:p w14:paraId="73992F11">
      <w:pPr>
        <w:spacing w:before="156" w:beforeLines="50" w:line="360" w:lineRule="auto"/>
        <w:jc w:val="center"/>
        <w:rPr>
          <w:rFonts w:ascii="Times New Roman" w:hAnsi="Times New Roman" w:eastAsia="等线" w:cs="Times New Roman"/>
          <w:i/>
          <w:iCs/>
          <w:sz w:val="15"/>
          <w:szCs w:val="15"/>
        </w:rPr>
      </w:pPr>
      <w:r>
        <w:rPr>
          <w:rFonts w:ascii="Times New Roman" w:hAnsi="Times New Roman" w:eastAsia="等线" w:cs="Times New Roman"/>
          <w:i/>
          <w:iCs/>
          <w:sz w:val="15"/>
          <w:szCs w:val="15"/>
        </w:rPr>
        <w:t>Lingling Ren</w:t>
      </w:r>
      <w:r>
        <w:rPr>
          <w:rFonts w:ascii="Times New Roman" w:hAnsi="Times New Roman" w:eastAsia="等线" w:cs="Times New Roman"/>
          <w:i/>
          <w:iCs/>
          <w:sz w:val="15"/>
          <w:szCs w:val="15"/>
          <w:vertAlign w:val="superscript"/>
        </w:rPr>
        <w:t>1</w:t>
      </w:r>
      <w:r>
        <w:rPr>
          <w:rFonts w:ascii="Times New Roman" w:hAnsi="Times New Roman" w:eastAsia="等线" w:cs="Times New Roman"/>
          <w:i/>
          <w:iCs/>
          <w:sz w:val="15"/>
          <w:szCs w:val="15"/>
        </w:rPr>
        <w:t xml:space="preserve">, </w:t>
      </w:r>
      <w:r>
        <w:rPr>
          <w:rFonts w:hint="eastAsia" w:ascii="Times New Roman" w:hAnsi="Times New Roman" w:eastAsia="等线" w:cs="Times New Roman"/>
          <w:i/>
          <w:iCs/>
          <w:sz w:val="15"/>
          <w:szCs w:val="15"/>
        </w:rPr>
        <w:t>Guoxuan Ma</w:t>
      </w:r>
      <w:r>
        <w:rPr>
          <w:rFonts w:hint="eastAsia" w:ascii="Times New Roman" w:hAnsi="Times New Roman" w:eastAsia="等线" w:cs="Times New Roman"/>
          <w:i/>
          <w:iCs/>
          <w:sz w:val="15"/>
          <w:szCs w:val="15"/>
          <w:vertAlign w:val="superscript"/>
        </w:rPr>
        <w:t>1</w:t>
      </w:r>
      <w:r>
        <w:rPr>
          <w:rFonts w:hint="eastAsia" w:ascii="Times New Roman" w:hAnsi="Times New Roman" w:eastAsia="等线" w:cs="Times New Roman"/>
          <w:i/>
          <w:iCs/>
          <w:sz w:val="15"/>
          <w:szCs w:val="15"/>
        </w:rPr>
        <w:t xml:space="preserve">, </w:t>
      </w:r>
      <w:r>
        <w:rPr>
          <w:rFonts w:ascii="Times New Roman" w:hAnsi="Times New Roman" w:eastAsia="等线" w:cs="Times New Roman"/>
          <w:i/>
          <w:iCs/>
          <w:sz w:val="15"/>
          <w:szCs w:val="15"/>
        </w:rPr>
        <w:t>Zheng Wang</w:t>
      </w:r>
      <w:r>
        <w:rPr>
          <w:rFonts w:ascii="Times New Roman" w:hAnsi="Times New Roman" w:eastAsia="等线" w:cs="Times New Roman"/>
          <w:i/>
          <w:iCs/>
          <w:sz w:val="15"/>
          <w:szCs w:val="15"/>
          <w:vertAlign w:val="superscript"/>
        </w:rPr>
        <w:t>1</w:t>
      </w:r>
      <w:r>
        <w:rPr>
          <w:rFonts w:ascii="Times New Roman" w:hAnsi="Times New Roman" w:eastAsia="等线" w:cs="Times New Roman"/>
          <w:i/>
          <w:iCs/>
          <w:sz w:val="15"/>
          <w:szCs w:val="15"/>
        </w:rPr>
        <w:t>,</w:t>
      </w:r>
      <w:r>
        <w:rPr>
          <w:rFonts w:hint="eastAsia" w:ascii="Times New Roman" w:hAnsi="Times New Roman" w:eastAsia="等线" w:cs="Times New Roman"/>
          <w:i/>
          <w:iCs/>
          <w:sz w:val="15"/>
          <w:szCs w:val="15"/>
          <w:lang w:val="en-US" w:eastAsia="zh-CN"/>
        </w:rPr>
        <w:t xml:space="preserve"> </w:t>
      </w:r>
      <w:r>
        <w:rPr>
          <w:rFonts w:ascii="Times New Roman" w:hAnsi="Times New Roman" w:eastAsia="等线" w:cs="Times New Roman"/>
          <w:i/>
          <w:iCs/>
          <w:sz w:val="15"/>
          <w:szCs w:val="15"/>
        </w:rPr>
        <w:t>Shuang Liu</w:t>
      </w:r>
      <w:r>
        <w:rPr>
          <w:rFonts w:ascii="Times New Roman" w:hAnsi="Times New Roman" w:eastAsia="等线" w:cs="Times New Roman"/>
          <w:i/>
          <w:iCs/>
          <w:sz w:val="15"/>
          <w:szCs w:val="15"/>
          <w:vertAlign w:val="superscript"/>
        </w:rPr>
        <w:t>1</w:t>
      </w:r>
      <w:r>
        <w:rPr>
          <w:rFonts w:ascii="Times New Roman" w:hAnsi="Times New Roman" w:eastAsia="等线" w:cs="Times New Roman"/>
          <w:i/>
          <w:iCs/>
          <w:sz w:val="15"/>
          <w:szCs w:val="15"/>
        </w:rPr>
        <w:t xml:space="preserve">, </w:t>
      </w:r>
      <w:r>
        <w:rPr>
          <w:rFonts w:hint="eastAsia" w:ascii="Times New Roman" w:hAnsi="Times New Roman" w:eastAsia="等线" w:cs="Times New Roman"/>
          <w:bCs/>
          <w:i/>
          <w:iCs/>
          <w:kern w:val="0"/>
          <w:sz w:val="15"/>
          <w:szCs w:val="15"/>
        </w:rPr>
        <w:t>Haoran Cheng</w:t>
      </w:r>
      <w:r>
        <w:rPr>
          <w:rFonts w:hint="eastAsia" w:ascii="Times New Roman" w:hAnsi="Times New Roman" w:eastAsia="等线" w:cs="Times New Roman"/>
          <w:bCs/>
          <w:i/>
          <w:iCs/>
          <w:kern w:val="0"/>
          <w:sz w:val="15"/>
          <w:szCs w:val="15"/>
          <w:vertAlign w:val="superscript"/>
        </w:rPr>
        <w:t>2</w:t>
      </w:r>
      <w:r>
        <w:rPr>
          <w:rFonts w:hint="eastAsia" w:ascii="Times New Roman" w:hAnsi="Times New Roman" w:eastAsia="等线" w:cs="Times New Roman"/>
          <w:bCs/>
          <w:i/>
          <w:iCs/>
          <w:kern w:val="0"/>
          <w:sz w:val="15"/>
          <w:szCs w:val="15"/>
        </w:rPr>
        <w:t xml:space="preserve">*, </w:t>
      </w:r>
      <w:r>
        <w:rPr>
          <w:rFonts w:ascii="Times New Roman" w:hAnsi="Times New Roman" w:eastAsia="等线" w:cs="Times New Roman"/>
          <w:bCs/>
          <w:i/>
          <w:iCs/>
          <w:kern w:val="0"/>
          <w:sz w:val="15"/>
          <w:szCs w:val="15"/>
        </w:rPr>
        <w:t>David A. Weitz</w:t>
      </w:r>
      <w:r>
        <w:rPr>
          <w:rFonts w:hint="eastAsia" w:ascii="Times New Roman" w:hAnsi="Times New Roman" w:eastAsia="等线" w:cs="Times New Roman"/>
          <w:bCs/>
          <w:i/>
          <w:iCs/>
          <w:kern w:val="0"/>
          <w:sz w:val="15"/>
          <w:szCs w:val="15"/>
          <w:vertAlign w:val="superscript"/>
        </w:rPr>
        <w:t>3</w:t>
      </w:r>
      <w:r>
        <w:rPr>
          <w:rFonts w:ascii="Times New Roman" w:hAnsi="Times New Roman" w:eastAsia="等线" w:cs="Times New Roman"/>
          <w:bCs/>
          <w:i/>
          <w:iCs/>
          <w:kern w:val="0"/>
          <w:sz w:val="15"/>
          <w:szCs w:val="15"/>
        </w:rPr>
        <w:t>,</w:t>
      </w:r>
      <w:r>
        <w:rPr>
          <w:rFonts w:hint="eastAsia" w:ascii="Times New Roman" w:hAnsi="Times New Roman" w:eastAsia="等线" w:cs="Times New Roman"/>
          <w:bCs/>
          <w:i/>
          <w:iCs/>
          <w:kern w:val="0"/>
          <w:sz w:val="15"/>
          <w:szCs w:val="15"/>
        </w:rPr>
        <w:t xml:space="preserve"> </w:t>
      </w:r>
      <w:r>
        <w:rPr>
          <w:rFonts w:ascii="Times New Roman" w:hAnsi="Times New Roman" w:eastAsia="等线" w:cs="Times New Roman"/>
          <w:i/>
          <w:iCs/>
          <w:sz w:val="15"/>
          <w:szCs w:val="15"/>
        </w:rPr>
        <w:t>Liyuan Zhang</w:t>
      </w:r>
      <w:r>
        <w:rPr>
          <w:rFonts w:ascii="Times New Roman" w:hAnsi="Times New Roman" w:eastAsia="等线" w:cs="Times New Roman"/>
          <w:i/>
          <w:iCs/>
          <w:sz w:val="15"/>
          <w:szCs w:val="15"/>
          <w:vertAlign w:val="superscript"/>
        </w:rPr>
        <w:t>1</w:t>
      </w:r>
      <w:r>
        <w:rPr>
          <w:rFonts w:ascii="Times New Roman" w:hAnsi="Times New Roman" w:eastAsia="等线" w:cs="Times New Roman"/>
          <w:i/>
          <w:iCs/>
          <w:sz w:val="15"/>
          <w:szCs w:val="15"/>
        </w:rPr>
        <w:t>*</w:t>
      </w:r>
    </w:p>
    <w:p w14:paraId="04CC9B9C">
      <w:pPr>
        <w:spacing w:before="163" w:beforeLines="50" w:line="360" w:lineRule="auto"/>
        <w:rPr>
          <w:rFonts w:ascii="Times New Roman" w:hAnsi="Times New Roman" w:eastAsia="等线" w:cs="Times New Roman"/>
          <w:sz w:val="18"/>
          <w:szCs w:val="18"/>
        </w:rPr>
      </w:pPr>
      <w:r>
        <w:rPr>
          <w:rFonts w:ascii="Times New Roman" w:hAnsi="Times New Roman" w:eastAsia="等线" w:cs="Times New Roman"/>
          <w:sz w:val="18"/>
          <w:szCs w:val="18"/>
        </w:rPr>
        <w:t>1 State Key Laboratory of Deep Oil and Gas, Shandong Key Laboratory of Oil and Gas Field Chemistry, School of Petroleum Engineering, China University of Petroleum (East China), Qingdao 266580, China;</w:t>
      </w:r>
    </w:p>
    <w:p w14:paraId="14815EA9">
      <w:pPr>
        <w:spacing w:line="360" w:lineRule="auto"/>
        <w:rPr>
          <w:rFonts w:hint="eastAsia" w:ascii="Times New Roman" w:hAnsi="Times New Roman" w:eastAsia="等线" w:cs="Times New Roman"/>
          <w:sz w:val="18"/>
          <w:szCs w:val="18"/>
        </w:rPr>
      </w:pPr>
      <w:r>
        <w:rPr>
          <w:rFonts w:hint="eastAsia" w:ascii="Times New Roman" w:hAnsi="Times New Roman" w:eastAsia="等线" w:cs="Times New Roman"/>
          <w:sz w:val="18"/>
          <w:szCs w:val="18"/>
        </w:rPr>
        <w:t>2</w:t>
      </w:r>
      <w:r>
        <w:rPr>
          <w:rFonts w:ascii="Times New Roman" w:hAnsi="Times New Roman" w:eastAsia="等线" w:cs="Times New Roman"/>
          <w:sz w:val="18"/>
          <w:szCs w:val="18"/>
        </w:rPr>
        <w:t xml:space="preserve"> </w:t>
      </w:r>
      <w:r>
        <w:rPr>
          <w:rFonts w:hint="eastAsia" w:ascii="Times New Roman" w:hAnsi="Times New Roman" w:eastAsia="等线" w:cs="Times New Roman"/>
          <w:sz w:val="18"/>
          <w:szCs w:val="18"/>
        </w:rPr>
        <w:t>College of Chemical Engineering, Qingdao University Science and Technology, Qingdao 266042, China.</w:t>
      </w:r>
    </w:p>
    <w:p w14:paraId="30364AC6">
      <w:pPr>
        <w:spacing w:line="360" w:lineRule="auto"/>
        <w:rPr>
          <w:rFonts w:ascii="Times New Roman" w:hAnsi="Times New Roman" w:eastAsia="等线" w:cs="Times New Roman"/>
          <w:sz w:val="18"/>
          <w:szCs w:val="18"/>
        </w:rPr>
      </w:pPr>
      <w:r>
        <w:rPr>
          <w:rFonts w:hint="eastAsia" w:ascii="Times New Roman" w:hAnsi="Times New Roman" w:eastAsia="等线" w:cs="Times New Roman"/>
          <w:sz w:val="18"/>
          <w:szCs w:val="18"/>
        </w:rPr>
        <w:t xml:space="preserve">3 </w:t>
      </w:r>
      <w:r>
        <w:rPr>
          <w:rFonts w:ascii="Times New Roman" w:hAnsi="Times New Roman" w:eastAsia="等线" w:cs="Times New Roman"/>
          <w:sz w:val="18"/>
          <w:szCs w:val="18"/>
        </w:rPr>
        <w:t xml:space="preserve">School of Engineering and Applied Sciences, Department of Physics, Harvard University, </w:t>
      </w:r>
      <w:bookmarkStart w:id="9" w:name="_GoBack"/>
      <w:bookmarkEnd w:id="9"/>
      <w:r>
        <w:rPr>
          <w:rFonts w:ascii="Times New Roman" w:hAnsi="Times New Roman" w:eastAsia="等线" w:cs="Times New Roman"/>
          <w:sz w:val="18"/>
          <w:szCs w:val="18"/>
        </w:rPr>
        <w:t>Cambridge, Massachusetts 02138, United States.</w:t>
      </w:r>
    </w:p>
    <w:p w14:paraId="72EDA855">
      <w:pPr>
        <w:spacing w:line="360" w:lineRule="auto"/>
        <w:rPr>
          <w:rFonts w:ascii="Times New Roman" w:hAnsi="Times New Roman" w:eastAsia="等线" w:cs="Times New Roman"/>
          <w:sz w:val="18"/>
          <w:szCs w:val="18"/>
        </w:rPr>
      </w:pPr>
    </w:p>
    <w:p w14:paraId="59CE9A13">
      <w:pPr>
        <w:spacing w:line="360" w:lineRule="auto"/>
        <w:rPr>
          <w:rStyle w:val="7"/>
          <w:rFonts w:ascii="Times New Roman" w:hAnsi="Times New Roman" w:eastAsia="等线" w:cs="Times New Roman"/>
          <w:color w:val="auto"/>
          <w:sz w:val="18"/>
          <w:szCs w:val="18"/>
          <w:u w:val="none"/>
        </w:rPr>
      </w:pPr>
      <w:r>
        <w:rPr>
          <w:rFonts w:ascii="Times New Roman" w:hAnsi="Times New Roman" w:eastAsia="等线" w:cs="Times New Roman"/>
          <w:sz w:val="18"/>
          <w:szCs w:val="18"/>
        </w:rPr>
        <w:t xml:space="preserve">Address correspondence to: </w:t>
      </w:r>
      <w:r>
        <w:fldChar w:fldCharType="begin"/>
      </w:r>
      <w:r>
        <w:instrText xml:space="preserve"> HYPERLINK "mailto:liyuanzhang@upc.edu.cn%20" </w:instrText>
      </w:r>
      <w:r>
        <w:fldChar w:fldCharType="separate"/>
      </w:r>
      <w:r>
        <w:rPr>
          <w:rStyle w:val="7"/>
          <w:rFonts w:ascii="Times New Roman" w:hAnsi="Times New Roman" w:eastAsia="等线" w:cs="Times New Roman"/>
          <w:color w:val="auto"/>
          <w:sz w:val="18"/>
          <w:szCs w:val="18"/>
          <w:u w:val="none"/>
        </w:rPr>
        <w:t xml:space="preserve">liyuanzhang@upc.edu.cn </w:t>
      </w:r>
      <w:r>
        <w:rPr>
          <w:rStyle w:val="7"/>
          <w:rFonts w:ascii="Times New Roman" w:hAnsi="Times New Roman" w:eastAsia="等线" w:cs="Times New Roman"/>
          <w:color w:val="auto"/>
          <w:sz w:val="18"/>
          <w:szCs w:val="18"/>
          <w:u w:val="none"/>
        </w:rPr>
        <w:fldChar w:fldCharType="end"/>
      </w:r>
      <w:r>
        <w:rPr>
          <w:rStyle w:val="7"/>
          <w:rFonts w:hint="eastAsia" w:ascii="Times New Roman" w:hAnsi="Times New Roman" w:eastAsia="等线" w:cs="Times New Roman"/>
          <w:color w:val="auto"/>
          <w:sz w:val="18"/>
          <w:szCs w:val="18"/>
          <w:u w:val="none"/>
        </w:rPr>
        <w:t xml:space="preserve">, </w:t>
      </w:r>
      <w:r>
        <w:fldChar w:fldCharType="begin"/>
      </w:r>
      <w:r>
        <w:instrText xml:space="preserve"> HYPERLINK "mailto:chenghaoran@qust.edu.cn" </w:instrText>
      </w:r>
      <w:r>
        <w:fldChar w:fldCharType="separate"/>
      </w:r>
      <w:r>
        <w:rPr>
          <w:rStyle w:val="7"/>
          <w:rFonts w:ascii="Times New Roman" w:hAnsi="Times New Roman" w:eastAsia="等线" w:cs="Times New Roman"/>
          <w:color w:val="auto"/>
          <w:sz w:val="18"/>
          <w:szCs w:val="18"/>
          <w:u w:val="none"/>
        </w:rPr>
        <w:t>chenghaoran@qust.edu.cn</w:t>
      </w:r>
      <w:r>
        <w:rPr>
          <w:rStyle w:val="7"/>
          <w:rFonts w:ascii="Times New Roman" w:hAnsi="Times New Roman" w:eastAsia="等线" w:cs="Times New Roman"/>
          <w:color w:val="auto"/>
          <w:sz w:val="18"/>
          <w:szCs w:val="18"/>
          <w:u w:val="none"/>
        </w:rPr>
        <w:fldChar w:fldCharType="end"/>
      </w:r>
    </w:p>
    <w:p w14:paraId="34E3F36E">
      <w:pPr>
        <w:spacing w:line="360" w:lineRule="auto"/>
        <w:rPr>
          <w:rStyle w:val="7"/>
          <w:rFonts w:ascii="Times New Roman" w:hAnsi="Times New Roman" w:eastAsia="等线" w:cs="Times New Roman"/>
          <w:color w:val="auto"/>
          <w:sz w:val="15"/>
          <w:szCs w:val="15"/>
          <w:u w:val="none"/>
        </w:rPr>
        <w:sectPr>
          <w:pgSz w:w="11906" w:h="16838"/>
          <w:pgMar w:top="1440" w:right="1440" w:bottom="1440" w:left="1440" w:header="851" w:footer="992" w:gutter="0"/>
          <w:cols w:space="425" w:num="1"/>
          <w:docGrid w:type="lines" w:linePitch="326" w:charSpace="0"/>
        </w:sectPr>
      </w:pPr>
    </w:p>
    <w:p w14:paraId="35BBD87D">
      <w:pPr>
        <w:widowControl w:val="0"/>
        <w:spacing w:line="360" w:lineRule="auto"/>
        <w:jc w:val="both"/>
        <w:rPr>
          <w:rFonts w:ascii="Times New Roman" w:hAnsi="Times New Roman" w:cs="Times New Roman" w:eastAsiaTheme="minorEastAsia"/>
          <w:b/>
          <w:bCs/>
          <w:kern w:val="2"/>
        </w:rPr>
      </w:pPr>
      <w:r>
        <w:rPr>
          <w:rFonts w:ascii="Times New Roman" w:hAnsi="Times New Roman" w:cs="Times New Roman" w:eastAsiaTheme="minorEastAsia"/>
          <w:b/>
          <w:bCs/>
          <w:kern w:val="2"/>
        </w:rPr>
        <w:t>Experimental</w:t>
      </w:r>
    </w:p>
    <w:p w14:paraId="026D06CF">
      <w:pPr>
        <w:widowControl w:val="0"/>
        <w:spacing w:line="360" w:lineRule="auto"/>
        <w:jc w:val="both"/>
        <w:rPr>
          <w:rFonts w:ascii="Times New Roman" w:hAnsi="Times New Roman" w:cs="Times New Roman" w:eastAsiaTheme="minorEastAsia"/>
          <w:b/>
          <w:bCs/>
          <w:kern w:val="2"/>
        </w:rPr>
      </w:pPr>
      <w:r>
        <w:rPr>
          <w:rFonts w:ascii="Times New Roman" w:hAnsi="Times New Roman" w:cs="Times New Roman" w:eastAsiaTheme="minorEastAsia"/>
          <w:b/>
          <w:bCs/>
          <w:kern w:val="2"/>
        </w:rPr>
        <w:t>Materials</w:t>
      </w:r>
    </w:p>
    <w:p w14:paraId="2BAAED0C">
      <w:pPr>
        <w:widowControl w:val="0"/>
        <w:spacing w:line="360" w:lineRule="auto"/>
        <w:ind w:firstLine="240" w:firstLineChars="100"/>
        <w:jc w:val="both"/>
        <w:rPr>
          <w:rFonts w:ascii="Times New Roman" w:hAnsi="Times New Roman" w:cs="Times New Roman" w:eastAsiaTheme="minorEastAsia"/>
          <w:kern w:val="2"/>
        </w:rPr>
      </w:pPr>
      <w:r>
        <w:rPr>
          <w:rFonts w:ascii="Times New Roman" w:hAnsi="Times New Roman" w:cs="Times New Roman" w:eastAsiaTheme="minorEastAsia"/>
          <w:kern w:val="2"/>
        </w:rPr>
        <w:t xml:space="preserve">Acrylamide (AM, 99%),2-Acrylamide-2-methylpropanesulfonic acid (AMPS, 98%),  </w:t>
      </w:r>
      <w:r>
        <w:rPr>
          <w:rFonts w:ascii="Times New Roman" w:hAnsi="Times New Roman" w:cs="Times New Roman" w:eastAsiaTheme="minorEastAsia"/>
          <w:color w:val="151515"/>
          <w:kern w:val="2"/>
          <w:shd w:val="clear" w:color="auto" w:fill="FFFFFF"/>
        </w:rPr>
        <w:t xml:space="preserve">1-vinylimidazole (99%), 1,3-propane sultone (99%), acetonitrile (99%), Poly(ethylene glycol) diacrylate 700 (PEGDA700), mineral oil (25cSt), methyl blue, and Sudan III are </w:t>
      </w:r>
      <w:r>
        <w:rPr>
          <w:rFonts w:ascii="Times New Roman" w:hAnsi="Times New Roman" w:cs="Times New Roman" w:eastAsiaTheme="minorEastAsia"/>
          <w:kern w:val="2"/>
        </w:rPr>
        <w:t>purchased from Aladdin.</w:t>
      </w:r>
      <w:r>
        <w:rPr>
          <w:rFonts w:ascii="Times New Roman" w:hAnsi="Times New Roman" w:cs="Times New Roman" w:eastAsiaTheme="minorEastAsia"/>
          <w:color w:val="151515"/>
          <w:kern w:val="2"/>
          <w:shd w:val="clear" w:color="auto" w:fill="FFFFFF"/>
        </w:rPr>
        <w:t xml:space="preserve"> α-Ketoglutaric acid (KA, 98%) is obtained from Macklin.</w:t>
      </w:r>
      <w:r>
        <w:rPr>
          <w:rFonts w:ascii="Times New Roman" w:hAnsi="Times New Roman" w:cs="Times New Roman" w:eastAsiaTheme="minorEastAsia"/>
          <w:kern w:val="2"/>
        </w:rPr>
        <w:t xml:space="preserve"> All chemicals and reagents are used as received. </w:t>
      </w:r>
    </w:p>
    <w:p w14:paraId="5754A187">
      <w:pPr>
        <w:widowControl w:val="0"/>
        <w:spacing w:line="360" w:lineRule="auto"/>
        <w:jc w:val="both"/>
        <w:rPr>
          <w:rFonts w:ascii="Times New Roman" w:hAnsi="Times New Roman" w:cs="Times New Roman" w:eastAsiaTheme="minorEastAsia"/>
          <w:b/>
          <w:bCs/>
          <w:kern w:val="2"/>
        </w:rPr>
      </w:pPr>
      <w:r>
        <w:rPr>
          <w:rFonts w:ascii="Times New Roman" w:hAnsi="Times New Roman" w:cs="Times New Roman" w:eastAsiaTheme="minorEastAsia"/>
          <w:b/>
          <w:bCs/>
          <w:kern w:val="2"/>
        </w:rPr>
        <w:t xml:space="preserve">Preparation of zwitterionic monomers </w:t>
      </w:r>
    </w:p>
    <w:p w14:paraId="64C5A36A">
      <w:pPr>
        <w:widowControl w:val="0"/>
        <w:spacing w:line="360" w:lineRule="auto"/>
        <w:ind w:firstLine="240" w:firstLineChars="100"/>
        <w:jc w:val="both"/>
        <w:rPr>
          <w:rFonts w:ascii="Times New Roman" w:hAnsi="Times New Roman" w:cs="Times New Roman" w:eastAsiaTheme="minorEastAsia"/>
          <w:kern w:val="2"/>
        </w:rPr>
      </w:pPr>
      <w:r>
        <w:rPr>
          <w:rFonts w:ascii="Times New Roman" w:hAnsi="Times New Roman" w:cs="Times New Roman" w:eastAsiaTheme="minorEastAsia"/>
          <w:kern w:val="2"/>
        </w:rPr>
        <w:t>The zwitterionic monomers (</w:t>
      </w:r>
      <w:bookmarkStart w:id="5" w:name="OLE_LINK4"/>
      <w:r>
        <w:rPr>
          <w:rFonts w:ascii="Times New Roman" w:hAnsi="Times New Roman" w:cs="Times New Roman" w:eastAsiaTheme="minorEastAsia"/>
          <w:kern w:val="2"/>
        </w:rPr>
        <w:t>sulfobetaine vinylimidazole</w:t>
      </w:r>
      <w:bookmarkEnd w:id="5"/>
      <w:r>
        <w:rPr>
          <w:rFonts w:ascii="Times New Roman" w:hAnsi="Times New Roman" w:cs="Times New Roman" w:eastAsiaTheme="minorEastAsia"/>
          <w:kern w:val="2"/>
        </w:rPr>
        <w:t>, SBVI) are synthesized by quaternization reaction following the modified procedures reported in the literature. Vinylimidazole (0.2M) and 1,3-propane sultone (0.25M) are dissolved in acetonitrile. The mixture is thoroughly stirred,</w:t>
      </w:r>
      <w:r>
        <w:rPr>
          <w:rFonts w:hint="eastAsia" w:ascii="Times New Roman" w:hAnsi="Times New Roman" w:cs="Times New Roman" w:eastAsiaTheme="minorEastAsia"/>
          <w:kern w:val="2"/>
        </w:rPr>
        <w:t xml:space="preserve"> </w:t>
      </w:r>
      <w:r>
        <w:rPr>
          <w:rFonts w:ascii="Times New Roman" w:hAnsi="Times New Roman" w:cs="Times New Roman" w:eastAsiaTheme="minorEastAsia"/>
          <w:kern w:val="2"/>
        </w:rPr>
        <w:t xml:space="preserve">followed by purging with nitrogen gas to remove oxygen from the solution. Then, the flask is sealed </w:t>
      </w:r>
      <w:r>
        <w:rPr>
          <w:rFonts w:hint="eastAsia" w:ascii="Times New Roman" w:hAnsi="Times New Roman" w:cs="Times New Roman" w:eastAsiaTheme="minorEastAsia"/>
          <w:kern w:val="2"/>
        </w:rPr>
        <w:t>and</w:t>
      </w:r>
      <w:r>
        <w:rPr>
          <w:rFonts w:ascii="Times New Roman" w:hAnsi="Times New Roman" w:cs="Times New Roman" w:eastAsiaTheme="minorEastAsia"/>
          <w:kern w:val="2"/>
        </w:rPr>
        <w:t xml:space="preserve"> allowed to react at 40 °C for 24 h. After the reaction, the resulting precipitate is collected, washed with alcohol, and dried at 45 °C in the </w:t>
      </w:r>
      <w:r>
        <w:rPr>
          <w:rFonts w:hint="eastAsia" w:ascii="Times New Roman" w:hAnsi="Times New Roman" w:cs="Times New Roman" w:eastAsiaTheme="minorEastAsia"/>
          <w:kern w:val="2"/>
        </w:rPr>
        <w:t>o</w:t>
      </w:r>
      <w:r>
        <w:rPr>
          <w:rFonts w:ascii="Times New Roman" w:hAnsi="Times New Roman" w:cs="Times New Roman" w:eastAsiaTheme="minorEastAsia"/>
          <w:kern w:val="2"/>
        </w:rPr>
        <w:t xml:space="preserve">ven. </w:t>
      </w:r>
    </w:p>
    <w:p w14:paraId="0D1AFE84">
      <w:pPr>
        <w:widowControl w:val="0"/>
        <w:spacing w:line="360" w:lineRule="auto"/>
        <w:jc w:val="both"/>
        <w:rPr>
          <w:rFonts w:ascii="Times New Roman" w:hAnsi="Times New Roman" w:cs="Times New Roman" w:eastAsiaTheme="minorEastAsia"/>
          <w:b/>
          <w:bCs/>
          <w:kern w:val="2"/>
        </w:rPr>
      </w:pPr>
      <w:r>
        <w:rPr>
          <w:rFonts w:ascii="Times New Roman" w:hAnsi="Times New Roman" w:cs="Times New Roman" w:eastAsiaTheme="minorEastAsia"/>
          <w:b/>
          <w:bCs/>
          <w:kern w:val="2"/>
        </w:rPr>
        <w:t>Preparation of the single-network hydrogels</w:t>
      </w:r>
    </w:p>
    <w:p w14:paraId="5FA2BBBC">
      <w:pPr>
        <w:widowControl w:val="0"/>
        <w:spacing w:line="360" w:lineRule="auto"/>
        <w:ind w:firstLine="240" w:firstLineChars="100"/>
        <w:jc w:val="both"/>
        <w:rPr>
          <w:rFonts w:ascii="Times New Roman" w:hAnsi="Times New Roman" w:cs="Times New Roman" w:eastAsiaTheme="minorEastAsia"/>
          <w:kern w:val="2"/>
        </w:rPr>
      </w:pPr>
      <w:r>
        <w:rPr>
          <w:rFonts w:ascii="Times New Roman" w:hAnsi="Times New Roman" w:cs="Times New Roman" w:eastAsiaTheme="minorEastAsia"/>
          <w:kern w:val="2"/>
        </w:rPr>
        <w:t xml:space="preserve">Taking the single-network AMPS </w:t>
      </w:r>
      <w:r>
        <w:rPr>
          <w:rFonts w:hint="eastAsia" w:ascii="Times New Roman" w:hAnsi="Times New Roman" w:cs="Times New Roman" w:eastAsiaTheme="minorEastAsia"/>
          <w:kern w:val="2"/>
        </w:rPr>
        <w:t>(</w:t>
      </w:r>
      <w:r>
        <w:rPr>
          <w:rFonts w:ascii="Times New Roman" w:hAnsi="Times New Roman" w:cs="Times New Roman" w:eastAsiaTheme="minorEastAsia"/>
          <w:kern w:val="2"/>
        </w:rPr>
        <w:t>S</w:t>
      </w:r>
      <w:r>
        <w:rPr>
          <w:rFonts w:ascii="Times New Roman" w:hAnsi="Times New Roman" w:cs="Times New Roman" w:eastAsiaTheme="minorEastAsia"/>
          <w:kern w:val="2"/>
          <w:vertAlign w:val="subscript"/>
        </w:rPr>
        <w:t>AMPS</w:t>
      </w:r>
      <w:r>
        <w:rPr>
          <w:rFonts w:hint="eastAsia" w:ascii="Times New Roman" w:hAnsi="Times New Roman" w:cs="Times New Roman" w:eastAsiaTheme="minorEastAsia"/>
          <w:kern w:val="2"/>
        </w:rPr>
        <w:t>)</w:t>
      </w:r>
      <w:r>
        <w:rPr>
          <w:rFonts w:ascii="Times New Roman" w:hAnsi="Times New Roman" w:cs="Times New Roman" w:eastAsiaTheme="minorEastAsia"/>
          <w:kern w:val="2"/>
        </w:rPr>
        <w:t xml:space="preserve"> hydrogel as an example, appropriate amounts of AMPS were dissolved in deionized water, followed by the addition of the crosslinker PEGDA700 and the initiator KA. The mixture was thoroughly mixed to obtain the prepolymer solution of the single-network hydrogels. This prepolymer solution was then injected into a custom-made glass mold and irradiated under a 365 nm ultraviolet lamp for 30 minutes to complete the polymerization reaction. The detailed preparation formula of the single-network hydrogels is shown in</w:t>
      </w:r>
      <w:r>
        <w:rPr>
          <w:rFonts w:ascii="Times New Roman" w:hAnsi="Times New Roman" w:cs="Times New Roman" w:eastAsiaTheme="minorEastAsia"/>
          <w:b/>
          <w:bCs/>
          <w:kern w:val="2"/>
        </w:rPr>
        <w:t xml:space="preserve"> Table S1</w:t>
      </w:r>
      <w:r>
        <w:rPr>
          <w:rFonts w:ascii="Times New Roman" w:hAnsi="Times New Roman" w:cs="Times New Roman" w:eastAsiaTheme="minorEastAsia"/>
          <w:kern w:val="2"/>
        </w:rPr>
        <w:t>. Other single-network hydrogels (S</w:t>
      </w:r>
      <w:r>
        <w:rPr>
          <w:rFonts w:ascii="Times New Roman" w:hAnsi="Times New Roman" w:cs="Times New Roman" w:eastAsiaTheme="minorEastAsia"/>
          <w:kern w:val="2"/>
          <w:vertAlign w:val="subscript"/>
        </w:rPr>
        <w:t>AM-SBVI</w:t>
      </w:r>
      <w:r>
        <w:rPr>
          <w:rFonts w:ascii="Times New Roman" w:hAnsi="Times New Roman" w:cs="Times New Roman" w:eastAsiaTheme="minorEastAsia"/>
          <w:kern w:val="2"/>
        </w:rPr>
        <w:t xml:space="preserve"> and S</w:t>
      </w:r>
      <w:r>
        <w:rPr>
          <w:rFonts w:ascii="Times New Roman" w:hAnsi="Times New Roman" w:cs="Times New Roman" w:eastAsiaTheme="minorEastAsia"/>
          <w:kern w:val="2"/>
          <w:vertAlign w:val="subscript"/>
        </w:rPr>
        <w:t>AM-AMPS-SBVI</w:t>
      </w:r>
      <w:r>
        <w:rPr>
          <w:rFonts w:ascii="Times New Roman" w:hAnsi="Times New Roman" w:cs="Times New Roman" w:eastAsiaTheme="minorEastAsia"/>
          <w:kern w:val="2"/>
        </w:rPr>
        <w:t xml:space="preserve">) </w:t>
      </w:r>
      <w:r>
        <w:rPr>
          <w:rFonts w:hint="eastAsia" w:ascii="Times New Roman" w:hAnsi="Times New Roman" w:cs="Times New Roman" w:eastAsiaTheme="minorEastAsia"/>
          <w:kern w:val="2"/>
        </w:rPr>
        <w:t>are</w:t>
      </w:r>
      <w:r>
        <w:rPr>
          <w:rFonts w:ascii="Times New Roman" w:hAnsi="Times New Roman" w:cs="Times New Roman" w:eastAsiaTheme="minorEastAsia"/>
          <w:kern w:val="2"/>
        </w:rPr>
        <w:t xml:space="preserve"> prepared following the same procedure. </w:t>
      </w:r>
    </w:p>
    <w:p w14:paraId="0108F477">
      <w:pPr>
        <w:spacing w:line="360" w:lineRule="auto"/>
        <w:jc w:val="center"/>
        <w:rPr>
          <w:rFonts w:ascii="Times New Roman" w:hAnsi="Times New Roman" w:cs="Times New Roman"/>
          <w:b/>
          <w:bCs/>
          <w:sz w:val="21"/>
          <w:szCs w:val="21"/>
        </w:rPr>
      </w:pPr>
      <w:r>
        <w:rPr>
          <w:rFonts w:ascii="Times New Roman" w:hAnsi="Times New Roman" w:cs="Times New Roman"/>
          <w:b/>
          <w:bCs/>
          <w:sz w:val="21"/>
          <w:szCs w:val="21"/>
        </w:rPr>
        <w:t>Table S1. The detailed preparation formula of the single-network hydrogels</w:t>
      </w:r>
    </w:p>
    <w:tbl>
      <w:tblPr>
        <w:tblStyle w:val="5"/>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76"/>
        <w:gridCol w:w="992"/>
        <w:gridCol w:w="1417"/>
      </w:tblGrid>
      <w:tr w14:paraId="5735BF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276" w:type="dxa"/>
            <w:tcBorders>
              <w:top w:val="single" w:color="000000" w:sz="12" w:space="0"/>
              <w:bottom w:val="single" w:color="000000" w:sz="6" w:space="0"/>
            </w:tcBorders>
          </w:tcPr>
          <w:p w14:paraId="4F97328D">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
                <w:bCs/>
                <w:sz w:val="21"/>
                <w:szCs w:val="21"/>
              </w:rPr>
            </w:pPr>
            <w:r>
              <w:rPr>
                <w:rFonts w:ascii="Times New Roman" w:hAnsi="Times New Roman" w:cs="Times New Roman"/>
                <w:b/>
                <w:bCs/>
                <w:sz w:val="21"/>
                <w:szCs w:val="21"/>
              </w:rPr>
              <w:t>AMPS/g</w:t>
            </w:r>
          </w:p>
        </w:tc>
        <w:tc>
          <w:tcPr>
            <w:tcW w:w="992" w:type="dxa"/>
            <w:tcBorders>
              <w:top w:val="single" w:color="000000" w:sz="12" w:space="0"/>
              <w:bottom w:val="single" w:color="000000" w:sz="6" w:space="0"/>
            </w:tcBorders>
          </w:tcPr>
          <w:p w14:paraId="767B2356">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
                <w:bCs/>
                <w:sz w:val="21"/>
                <w:szCs w:val="21"/>
              </w:rPr>
            </w:pPr>
            <w:r>
              <w:rPr>
                <w:rFonts w:ascii="Times New Roman" w:hAnsi="Times New Roman" w:cs="Times New Roman"/>
                <w:b/>
                <w:bCs/>
                <w:sz w:val="21"/>
                <w:szCs w:val="21"/>
              </w:rPr>
              <w:t>KA/g</w:t>
            </w:r>
          </w:p>
        </w:tc>
        <w:tc>
          <w:tcPr>
            <w:tcW w:w="1417" w:type="dxa"/>
            <w:tcBorders>
              <w:top w:val="single" w:color="000000" w:sz="12" w:space="0"/>
              <w:bottom w:val="single" w:color="000000" w:sz="6" w:space="0"/>
            </w:tcBorders>
          </w:tcPr>
          <w:p w14:paraId="6D0796EC">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b/>
                <w:bCs/>
                <w:sz w:val="21"/>
                <w:szCs w:val="21"/>
              </w:rPr>
            </w:pPr>
            <w:r>
              <w:rPr>
                <w:rFonts w:ascii="Times New Roman" w:hAnsi="Times New Roman" w:cs="Times New Roman"/>
                <w:b/>
                <w:bCs/>
                <w:sz w:val="21"/>
                <w:szCs w:val="21"/>
              </w:rPr>
              <w:t>PEGDA/g</w:t>
            </w:r>
          </w:p>
        </w:tc>
      </w:tr>
      <w:tr w14:paraId="06D3B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276" w:type="dxa"/>
            <w:tcBorders>
              <w:top w:val="single" w:color="000000" w:sz="6" w:space="0"/>
            </w:tcBorders>
          </w:tcPr>
          <w:p w14:paraId="43F38998">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sz w:val="21"/>
                <w:szCs w:val="21"/>
              </w:rPr>
            </w:pPr>
            <w:r>
              <w:rPr>
                <w:rFonts w:ascii="Times New Roman" w:hAnsi="Times New Roman" w:cs="Times New Roman"/>
                <w:sz w:val="21"/>
                <w:szCs w:val="21"/>
              </w:rPr>
              <w:t>2.07</w:t>
            </w:r>
          </w:p>
        </w:tc>
        <w:tc>
          <w:tcPr>
            <w:tcW w:w="992" w:type="dxa"/>
            <w:tcBorders>
              <w:top w:val="single" w:color="000000" w:sz="6" w:space="0"/>
            </w:tcBorders>
          </w:tcPr>
          <w:p w14:paraId="70F2762A">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kern w:val="2"/>
                <w:sz w:val="21"/>
                <w:szCs w:val="21"/>
              </w:rPr>
            </w:pPr>
            <w:r>
              <w:rPr>
                <w:rFonts w:ascii="Times New Roman" w:hAnsi="Times New Roman" w:cs="Times New Roman"/>
                <w:kern w:val="2"/>
                <w:sz w:val="21"/>
                <w:szCs w:val="21"/>
              </w:rPr>
              <w:t>0.01</w:t>
            </w:r>
          </w:p>
        </w:tc>
        <w:tc>
          <w:tcPr>
            <w:tcW w:w="1417" w:type="dxa"/>
            <w:tcBorders>
              <w:top w:val="single" w:color="000000" w:sz="6" w:space="0"/>
            </w:tcBorders>
          </w:tcPr>
          <w:p w14:paraId="20AC2351">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sz w:val="21"/>
                <w:szCs w:val="21"/>
              </w:rPr>
            </w:pPr>
            <w:r>
              <w:rPr>
                <w:rFonts w:ascii="Times New Roman" w:hAnsi="Times New Roman" w:cs="Times New Roman"/>
                <w:sz w:val="21"/>
                <w:szCs w:val="21"/>
              </w:rPr>
              <w:t>0.0084</w:t>
            </w:r>
          </w:p>
        </w:tc>
      </w:tr>
      <w:tr w14:paraId="05447F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276" w:type="dxa"/>
          </w:tcPr>
          <w:p w14:paraId="021C2D5D">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sz w:val="21"/>
                <w:szCs w:val="21"/>
              </w:rPr>
            </w:pPr>
            <w:r>
              <w:rPr>
                <w:rFonts w:ascii="Times New Roman" w:hAnsi="Times New Roman" w:cs="Times New Roman"/>
                <w:sz w:val="21"/>
                <w:szCs w:val="21"/>
              </w:rPr>
              <w:t>2.07</w:t>
            </w:r>
          </w:p>
        </w:tc>
        <w:tc>
          <w:tcPr>
            <w:tcW w:w="992" w:type="dxa"/>
          </w:tcPr>
          <w:p w14:paraId="0E04F42C">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sz w:val="21"/>
                <w:szCs w:val="21"/>
              </w:rPr>
            </w:pPr>
            <w:r>
              <w:rPr>
                <w:rFonts w:ascii="Times New Roman" w:hAnsi="Times New Roman" w:cs="Times New Roman"/>
                <w:sz w:val="21"/>
                <w:szCs w:val="21"/>
              </w:rPr>
              <w:t>0.01</w:t>
            </w:r>
          </w:p>
        </w:tc>
        <w:tc>
          <w:tcPr>
            <w:tcW w:w="1417" w:type="dxa"/>
          </w:tcPr>
          <w:p w14:paraId="6F17F5FB">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sz w:val="21"/>
                <w:szCs w:val="21"/>
              </w:rPr>
            </w:pPr>
            <w:r>
              <w:rPr>
                <w:rFonts w:ascii="Times New Roman" w:hAnsi="Times New Roman" w:cs="Times New Roman"/>
                <w:sz w:val="21"/>
                <w:szCs w:val="21"/>
              </w:rPr>
              <w:t>0.041</w:t>
            </w:r>
          </w:p>
        </w:tc>
      </w:tr>
      <w:tr w14:paraId="103650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276" w:type="dxa"/>
          </w:tcPr>
          <w:p w14:paraId="2FD4234F">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sz w:val="21"/>
                <w:szCs w:val="21"/>
              </w:rPr>
            </w:pPr>
            <w:r>
              <w:rPr>
                <w:rFonts w:ascii="Times New Roman" w:hAnsi="Times New Roman" w:cs="Times New Roman"/>
                <w:sz w:val="21"/>
                <w:szCs w:val="21"/>
              </w:rPr>
              <w:t>2.07</w:t>
            </w:r>
          </w:p>
        </w:tc>
        <w:tc>
          <w:tcPr>
            <w:tcW w:w="992" w:type="dxa"/>
          </w:tcPr>
          <w:p w14:paraId="785B56FA">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sz w:val="21"/>
                <w:szCs w:val="21"/>
              </w:rPr>
            </w:pPr>
            <w:r>
              <w:rPr>
                <w:rFonts w:ascii="Times New Roman" w:hAnsi="Times New Roman" w:cs="Times New Roman"/>
                <w:sz w:val="21"/>
                <w:szCs w:val="21"/>
              </w:rPr>
              <w:t>0.01</w:t>
            </w:r>
          </w:p>
        </w:tc>
        <w:tc>
          <w:tcPr>
            <w:tcW w:w="1417" w:type="dxa"/>
          </w:tcPr>
          <w:p w14:paraId="6324A762">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sz w:val="21"/>
                <w:szCs w:val="21"/>
              </w:rPr>
            </w:pPr>
            <w:r>
              <w:rPr>
                <w:rFonts w:ascii="Times New Roman" w:hAnsi="Times New Roman" w:cs="Times New Roman"/>
                <w:sz w:val="21"/>
                <w:szCs w:val="21"/>
              </w:rPr>
              <w:t>0.062</w:t>
            </w:r>
          </w:p>
        </w:tc>
      </w:tr>
      <w:tr w14:paraId="394939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276" w:type="dxa"/>
            <w:tcBorders>
              <w:bottom w:val="single" w:color="000000" w:sz="12" w:space="0"/>
            </w:tcBorders>
          </w:tcPr>
          <w:p w14:paraId="0EB9B45C">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sz w:val="21"/>
                <w:szCs w:val="21"/>
              </w:rPr>
            </w:pPr>
            <w:r>
              <w:rPr>
                <w:rFonts w:ascii="Times New Roman" w:hAnsi="Times New Roman" w:cs="Times New Roman"/>
                <w:sz w:val="21"/>
                <w:szCs w:val="21"/>
              </w:rPr>
              <w:t>2.07</w:t>
            </w:r>
          </w:p>
        </w:tc>
        <w:tc>
          <w:tcPr>
            <w:tcW w:w="992" w:type="dxa"/>
            <w:tcBorders>
              <w:bottom w:val="single" w:color="000000" w:sz="12" w:space="0"/>
            </w:tcBorders>
          </w:tcPr>
          <w:p w14:paraId="0548D9B5">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sz w:val="21"/>
                <w:szCs w:val="21"/>
              </w:rPr>
            </w:pPr>
            <w:r>
              <w:rPr>
                <w:rFonts w:ascii="Times New Roman" w:hAnsi="Times New Roman" w:cs="Times New Roman"/>
                <w:sz w:val="21"/>
                <w:szCs w:val="21"/>
              </w:rPr>
              <w:t>0.01</w:t>
            </w:r>
          </w:p>
        </w:tc>
        <w:tc>
          <w:tcPr>
            <w:tcW w:w="1417" w:type="dxa"/>
            <w:tcBorders>
              <w:bottom w:val="single" w:color="000000" w:sz="12" w:space="0"/>
            </w:tcBorders>
          </w:tcPr>
          <w:p w14:paraId="56D4B5A4">
            <w:pPr>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cs="Times New Roman"/>
                <w:sz w:val="21"/>
                <w:szCs w:val="21"/>
              </w:rPr>
            </w:pPr>
            <w:r>
              <w:rPr>
                <w:rFonts w:ascii="Times New Roman" w:hAnsi="Times New Roman" w:cs="Times New Roman"/>
                <w:sz w:val="21"/>
                <w:szCs w:val="21"/>
              </w:rPr>
              <w:t>0.082</w:t>
            </w:r>
          </w:p>
        </w:tc>
      </w:tr>
    </w:tbl>
    <w:p w14:paraId="49413CA0">
      <w:pPr>
        <w:widowControl w:val="0"/>
        <w:spacing w:line="360" w:lineRule="auto"/>
        <w:jc w:val="both"/>
        <w:rPr>
          <w:rFonts w:ascii="Times New Roman" w:hAnsi="Times New Roman" w:cs="Times New Roman" w:eastAsiaTheme="minorEastAsia"/>
          <w:b/>
          <w:bCs/>
          <w:kern w:val="2"/>
        </w:rPr>
      </w:pPr>
      <w:r>
        <w:rPr>
          <w:rFonts w:ascii="Times New Roman" w:hAnsi="Times New Roman" w:cs="Times New Roman" w:eastAsiaTheme="minorEastAsia"/>
          <w:b/>
          <w:bCs/>
          <w:kern w:val="2"/>
        </w:rPr>
        <w:t>Preparation of</w:t>
      </w:r>
      <w:r>
        <w:rPr>
          <w:rFonts w:hint="eastAsia"/>
          <w:b/>
          <w:bCs/>
        </w:rPr>
        <w:t xml:space="preserve"> </w:t>
      </w:r>
      <w:r>
        <w:rPr>
          <w:rFonts w:ascii="Times New Roman" w:hAnsi="Times New Roman" w:cs="Times New Roman" w:eastAsiaTheme="minorEastAsia"/>
          <w:b/>
          <w:bCs/>
          <w:kern w:val="2"/>
        </w:rPr>
        <w:t>t</w:t>
      </w:r>
      <w:r>
        <w:rPr>
          <w:rFonts w:hint="eastAsia" w:ascii="Times New Roman" w:hAnsi="Times New Roman" w:cs="Times New Roman" w:eastAsiaTheme="minorEastAsia"/>
          <w:b/>
          <w:bCs/>
          <w:kern w:val="2"/>
        </w:rPr>
        <w:t xml:space="preserve">opologically </w:t>
      </w:r>
      <w:r>
        <w:rPr>
          <w:rFonts w:ascii="Times New Roman" w:hAnsi="Times New Roman" w:cs="Times New Roman" w:eastAsiaTheme="minorEastAsia"/>
          <w:b/>
          <w:bCs/>
          <w:kern w:val="2"/>
        </w:rPr>
        <w:t>r</w:t>
      </w:r>
      <w:r>
        <w:rPr>
          <w:rFonts w:hint="eastAsia" w:ascii="Times New Roman" w:hAnsi="Times New Roman" w:cs="Times New Roman" w:eastAsiaTheme="minorEastAsia"/>
          <w:b/>
          <w:bCs/>
          <w:kern w:val="2"/>
        </w:rPr>
        <w:t xml:space="preserve">econfigurable </w:t>
      </w:r>
      <w:r>
        <w:rPr>
          <w:rFonts w:ascii="Times New Roman" w:hAnsi="Times New Roman" w:cs="Times New Roman" w:eastAsiaTheme="minorEastAsia"/>
          <w:b/>
          <w:bCs/>
          <w:kern w:val="2"/>
        </w:rPr>
        <w:t>s</w:t>
      </w:r>
      <w:r>
        <w:rPr>
          <w:rFonts w:hint="eastAsia" w:ascii="Times New Roman" w:hAnsi="Times New Roman" w:cs="Times New Roman" w:eastAsiaTheme="minorEastAsia"/>
          <w:b/>
          <w:bCs/>
          <w:kern w:val="2"/>
        </w:rPr>
        <w:t>alt-</w:t>
      </w:r>
      <w:r>
        <w:rPr>
          <w:rFonts w:ascii="Times New Roman" w:hAnsi="Times New Roman" w:cs="Times New Roman" w:eastAsiaTheme="minorEastAsia"/>
          <w:b/>
          <w:bCs/>
          <w:kern w:val="2"/>
        </w:rPr>
        <w:t>r</w:t>
      </w:r>
      <w:r>
        <w:rPr>
          <w:rFonts w:hint="eastAsia" w:ascii="Times New Roman" w:hAnsi="Times New Roman" w:cs="Times New Roman" w:eastAsiaTheme="minorEastAsia"/>
          <w:b/>
          <w:bCs/>
          <w:kern w:val="2"/>
        </w:rPr>
        <w:t xml:space="preserve">esistant </w:t>
      </w:r>
      <w:r>
        <w:rPr>
          <w:rFonts w:ascii="Times New Roman" w:hAnsi="Times New Roman" w:cs="Times New Roman"/>
          <w:b/>
          <w:bCs/>
        </w:rPr>
        <w:t>DN</w:t>
      </w:r>
      <w:r>
        <w:rPr>
          <w:rFonts w:ascii="Times New Roman" w:hAnsi="Times New Roman" w:cs="Times New Roman"/>
        </w:rPr>
        <w:t xml:space="preserve"> </w:t>
      </w:r>
      <w:r>
        <w:rPr>
          <w:rFonts w:ascii="Times New Roman" w:hAnsi="Times New Roman" w:cs="Times New Roman" w:eastAsiaTheme="minorEastAsia"/>
          <w:b/>
          <w:bCs/>
          <w:kern w:val="2"/>
        </w:rPr>
        <w:t>h</w:t>
      </w:r>
      <w:r>
        <w:rPr>
          <w:rFonts w:hint="eastAsia" w:ascii="Times New Roman" w:hAnsi="Times New Roman" w:cs="Times New Roman" w:eastAsiaTheme="minorEastAsia"/>
          <w:b/>
          <w:bCs/>
          <w:kern w:val="2"/>
        </w:rPr>
        <w:t>ydrogels</w:t>
      </w:r>
    </w:p>
    <w:p w14:paraId="66BFB10C">
      <w:pPr>
        <w:widowControl w:val="0"/>
        <w:spacing w:line="360" w:lineRule="auto"/>
        <w:ind w:firstLine="240" w:firstLineChars="100"/>
        <w:jc w:val="both"/>
        <w:rPr>
          <w:rFonts w:ascii="Times New Roman" w:hAnsi="Times New Roman" w:cs="Times New Roman" w:eastAsiaTheme="minorEastAsia"/>
          <w:kern w:val="2"/>
        </w:rPr>
      </w:pPr>
      <w:r>
        <w:rPr>
          <w:rFonts w:ascii="Times New Roman" w:hAnsi="Times New Roman" w:cs="Times New Roman" w:eastAsiaTheme="minorEastAsia"/>
          <w:kern w:val="2"/>
        </w:rPr>
        <w:t xml:space="preserve">The </w:t>
      </w:r>
      <w:r>
        <w:rPr>
          <w:rFonts w:hint="eastAsia" w:ascii="Times New Roman" w:hAnsi="Times New Roman" w:cs="Times New Roman"/>
          <w:bCs/>
        </w:rPr>
        <w:t>T</w:t>
      </w:r>
      <w:r>
        <w:rPr>
          <w:rFonts w:ascii="Times New Roman" w:hAnsi="Times New Roman" w:cs="Times New Roman"/>
          <w:bCs/>
        </w:rPr>
        <w:t xml:space="preserve">opologically </w:t>
      </w:r>
      <w:r>
        <w:rPr>
          <w:rFonts w:hint="eastAsia" w:ascii="Times New Roman" w:hAnsi="Times New Roman" w:cs="Times New Roman"/>
          <w:bCs/>
        </w:rPr>
        <w:t>Reconfigurable Salt-Resistant Hydrogels</w:t>
      </w:r>
      <w:r>
        <w:rPr>
          <w:rFonts w:ascii="Times New Roman" w:hAnsi="Times New Roman" w:cs="Times New Roman" w:eastAsiaTheme="minorEastAsia"/>
          <w:kern w:val="2"/>
        </w:rPr>
        <w:t xml:space="preserve"> </w:t>
      </w:r>
      <w:r>
        <w:rPr>
          <w:rFonts w:hint="eastAsia" w:ascii="Times New Roman" w:hAnsi="Times New Roman" w:cs="Times New Roman" w:eastAsiaTheme="minorEastAsia"/>
          <w:kern w:val="2"/>
        </w:rPr>
        <w:t>are</w:t>
      </w:r>
      <w:r>
        <w:rPr>
          <w:rFonts w:ascii="Times New Roman" w:hAnsi="Times New Roman" w:cs="Times New Roman" w:eastAsiaTheme="minorEastAsia"/>
          <w:kern w:val="2"/>
        </w:rPr>
        <w:t xml:space="preserve"> engineered with a microphase-separated double-network structure and fabricated through a two-step </w:t>
      </w:r>
      <w:r>
        <w:rPr>
          <w:rFonts w:hint="eastAsia" w:ascii="Times New Roman" w:hAnsi="Times New Roman" w:cs="Times New Roman" w:eastAsiaTheme="minorEastAsia"/>
          <w:kern w:val="2"/>
        </w:rPr>
        <w:t>soaking</w:t>
      </w:r>
      <w:r>
        <w:rPr>
          <w:rFonts w:ascii="Times New Roman" w:hAnsi="Times New Roman" w:cs="Times New Roman" w:eastAsiaTheme="minorEastAsia"/>
          <w:kern w:val="2"/>
        </w:rPr>
        <w:t xml:space="preserve"> method involving free radical polymerization. The detailed preparation formula for the </w:t>
      </w:r>
      <w:r>
        <w:rPr>
          <w:rFonts w:hint="eastAsia" w:ascii="Times New Roman" w:hAnsi="Times New Roman" w:cs="Times New Roman" w:eastAsiaTheme="minorEastAsia"/>
          <w:kern w:val="2"/>
        </w:rPr>
        <w:t>topologically reconfigurable salt-resistant hydrogels</w:t>
      </w:r>
      <w:r>
        <w:rPr>
          <w:rFonts w:ascii="Times New Roman" w:hAnsi="Times New Roman" w:cs="Times New Roman" w:eastAsiaTheme="minorEastAsia"/>
          <w:kern w:val="2"/>
        </w:rPr>
        <w:t xml:space="preserve"> is provided in Supplementary Table 3. In brief, the preparation of the first network follows the same procedure as that of the single-network hydrogels. Subsequently, the first network hydrogel is precisely cut into gel pieces of uniform shape and mass using a dumbbell-shaped spline. These pieces are then immersed in a specific amount of the second network prepolymer solution, which consists of monomers AM and SBVI, minimal crosslinker PEGDA700, and initiator KA. After the hydrogels have fully absorbed the second network prepolymer, they are irradiated under a 365 nm ultraviolet lamp for 40 minutes to obtain the </w:t>
      </w:r>
      <w:r>
        <w:rPr>
          <w:rFonts w:hint="eastAsia" w:ascii="Times New Roman" w:hAnsi="Times New Roman" w:cs="Times New Roman" w:eastAsiaTheme="minorEastAsia"/>
          <w:kern w:val="2"/>
        </w:rPr>
        <w:t>Topologically Reconfigurable Salt-Resistant Hydrogels</w:t>
      </w:r>
      <w:r>
        <w:rPr>
          <w:rFonts w:ascii="Times New Roman" w:hAnsi="Times New Roman" w:cs="Times New Roman" w:eastAsiaTheme="minorEastAsia"/>
          <w:kern w:val="2"/>
        </w:rPr>
        <w:t xml:space="preserve"> (D</w:t>
      </w:r>
      <w:r>
        <w:rPr>
          <w:rFonts w:ascii="Times New Roman" w:hAnsi="Times New Roman" w:cs="Times New Roman" w:eastAsiaTheme="minorEastAsia"/>
          <w:kern w:val="2"/>
          <w:vertAlign w:val="subscript"/>
        </w:rPr>
        <w:t>AMPS/AM-SBVI</w:t>
      </w:r>
      <w:r>
        <w:rPr>
          <w:rFonts w:ascii="Times New Roman" w:hAnsi="Times New Roman" w:cs="Times New Roman" w:eastAsiaTheme="minorEastAsia"/>
          <w:kern w:val="2"/>
        </w:rPr>
        <w:t xml:space="preserve">). The detailed preparation formula of the DN hydrogels is shown in </w:t>
      </w:r>
      <w:r>
        <w:rPr>
          <w:rFonts w:ascii="Times New Roman" w:hAnsi="Times New Roman" w:cs="Times New Roman" w:eastAsiaTheme="minorEastAsia"/>
          <w:b/>
          <w:bCs/>
          <w:kern w:val="2"/>
        </w:rPr>
        <w:t>Table S2</w:t>
      </w:r>
      <w:r>
        <w:rPr>
          <w:rFonts w:ascii="Times New Roman" w:hAnsi="Times New Roman" w:cs="Times New Roman" w:eastAsiaTheme="minorEastAsia"/>
          <w:kern w:val="2"/>
        </w:rPr>
        <w:t>.</w:t>
      </w:r>
    </w:p>
    <w:p w14:paraId="62F7FAEA">
      <w:pPr>
        <w:widowControl w:val="0"/>
        <w:jc w:val="center"/>
        <w:rPr>
          <w:rFonts w:ascii="Times New Roman" w:hAnsi="Times New Roman" w:cs="Times New Roman" w:eastAsiaTheme="minorEastAsia"/>
          <w:kern w:val="2"/>
          <w:sz w:val="21"/>
          <w:szCs w:val="21"/>
        </w:rPr>
      </w:pPr>
      <w:r>
        <w:rPr>
          <w:rFonts w:ascii="Times New Roman" w:hAnsi="Times New Roman" w:cs="Times New Roman"/>
          <w:b/>
          <w:bCs/>
          <w:sz w:val="21"/>
          <w:szCs w:val="21"/>
        </w:rPr>
        <w:t xml:space="preserve">Table </w:t>
      </w:r>
      <w:r>
        <w:rPr>
          <w:rFonts w:hint="eastAsia" w:ascii="Times New Roman" w:hAnsi="Times New Roman" w:cs="Times New Roman"/>
          <w:b/>
          <w:bCs/>
          <w:sz w:val="21"/>
          <w:szCs w:val="21"/>
        </w:rPr>
        <w:t>S</w:t>
      </w:r>
      <w:r>
        <w:rPr>
          <w:rFonts w:ascii="Times New Roman" w:hAnsi="Times New Roman" w:cs="Times New Roman"/>
          <w:b/>
          <w:bCs/>
          <w:sz w:val="21"/>
          <w:szCs w:val="21"/>
        </w:rPr>
        <w:t>2. The detailed preparation formula of the DN hydrogels</w:t>
      </w:r>
    </w:p>
    <w:tbl>
      <w:tblPr>
        <w:tblStyle w:val="5"/>
        <w:tblpPr w:leftFromText="180" w:rightFromText="180" w:vertAnchor="text" w:horzAnchor="margin" w:tblpXSpec="center" w:tblpY="200"/>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8"/>
        <w:gridCol w:w="1417"/>
        <w:gridCol w:w="1418"/>
        <w:gridCol w:w="1134"/>
        <w:gridCol w:w="1134"/>
        <w:gridCol w:w="1134"/>
        <w:gridCol w:w="1276"/>
      </w:tblGrid>
      <w:tr w14:paraId="25C218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53" w:type="dxa"/>
            <w:gridSpan w:val="3"/>
            <w:tcBorders>
              <w:top w:val="single" w:color="000000" w:sz="12" w:space="0"/>
              <w:right w:val="single" w:color="000000" w:sz="4" w:space="0"/>
            </w:tcBorders>
            <w:vAlign w:val="center"/>
          </w:tcPr>
          <w:p w14:paraId="5E61CFE1">
            <w:pPr>
              <w:jc w:val="center"/>
              <w:rPr>
                <w:rFonts w:ascii="Times New Roman" w:hAnsi="Times New Roman" w:cs="Times New Roman"/>
                <w:b/>
                <w:bCs/>
                <w:sz w:val="21"/>
                <w:szCs w:val="21"/>
              </w:rPr>
            </w:pPr>
            <w:r>
              <w:rPr>
                <w:rFonts w:ascii="Times New Roman" w:hAnsi="Times New Roman" w:cs="Times New Roman"/>
                <w:b/>
                <w:bCs/>
                <w:sz w:val="21"/>
                <w:szCs w:val="21"/>
              </w:rPr>
              <w:t>The first network</w:t>
            </w:r>
          </w:p>
        </w:tc>
        <w:tc>
          <w:tcPr>
            <w:tcW w:w="4678" w:type="dxa"/>
            <w:gridSpan w:val="4"/>
            <w:tcBorders>
              <w:top w:val="single" w:color="000000" w:sz="12" w:space="0"/>
              <w:left w:val="single" w:color="000000" w:sz="4" w:space="0"/>
            </w:tcBorders>
            <w:vAlign w:val="center"/>
          </w:tcPr>
          <w:p w14:paraId="6970C1A7">
            <w:pPr>
              <w:jc w:val="center"/>
              <w:rPr>
                <w:rFonts w:ascii="Times New Roman" w:hAnsi="Times New Roman" w:cs="Times New Roman"/>
                <w:b/>
                <w:bCs/>
                <w:sz w:val="21"/>
                <w:szCs w:val="21"/>
              </w:rPr>
            </w:pPr>
            <w:r>
              <w:rPr>
                <w:rFonts w:ascii="Times New Roman" w:hAnsi="Times New Roman" w:cs="Times New Roman"/>
                <w:b/>
                <w:bCs/>
                <w:sz w:val="21"/>
                <w:szCs w:val="21"/>
              </w:rPr>
              <w:t>The second network</w:t>
            </w:r>
          </w:p>
        </w:tc>
      </w:tr>
      <w:tr w14:paraId="5A52DE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18" w:type="dxa"/>
            <w:tcBorders>
              <w:top w:val="single" w:color="000000" w:sz="6" w:space="0"/>
              <w:bottom w:val="single" w:color="000000" w:sz="6" w:space="0"/>
            </w:tcBorders>
            <w:vAlign w:val="center"/>
          </w:tcPr>
          <w:p w14:paraId="22320758">
            <w:pPr>
              <w:jc w:val="center"/>
              <w:rPr>
                <w:rFonts w:ascii="Times New Roman" w:hAnsi="Times New Roman" w:cs="Times New Roman"/>
                <w:b/>
                <w:bCs/>
                <w:sz w:val="21"/>
                <w:szCs w:val="21"/>
              </w:rPr>
            </w:pPr>
            <w:r>
              <w:rPr>
                <w:rFonts w:ascii="Times New Roman" w:hAnsi="Times New Roman" w:cs="Times New Roman"/>
                <w:b/>
                <w:bCs/>
                <w:sz w:val="21"/>
                <w:szCs w:val="21"/>
              </w:rPr>
              <w:t>AMPS/g</w:t>
            </w:r>
          </w:p>
        </w:tc>
        <w:tc>
          <w:tcPr>
            <w:tcW w:w="1417" w:type="dxa"/>
            <w:tcBorders>
              <w:top w:val="single" w:color="000000" w:sz="6" w:space="0"/>
              <w:bottom w:val="single" w:color="000000" w:sz="6" w:space="0"/>
            </w:tcBorders>
            <w:vAlign w:val="center"/>
          </w:tcPr>
          <w:p w14:paraId="74507A94">
            <w:pPr>
              <w:jc w:val="center"/>
              <w:rPr>
                <w:rFonts w:ascii="Times New Roman" w:hAnsi="Times New Roman" w:cs="Times New Roman"/>
                <w:b/>
                <w:bCs/>
                <w:sz w:val="21"/>
                <w:szCs w:val="21"/>
              </w:rPr>
            </w:pPr>
            <w:r>
              <w:rPr>
                <w:rFonts w:ascii="Times New Roman" w:hAnsi="Times New Roman" w:cs="Times New Roman"/>
                <w:b/>
                <w:bCs/>
                <w:sz w:val="21"/>
                <w:szCs w:val="21"/>
              </w:rPr>
              <w:t>KA/g</w:t>
            </w:r>
          </w:p>
        </w:tc>
        <w:tc>
          <w:tcPr>
            <w:tcW w:w="1418" w:type="dxa"/>
            <w:tcBorders>
              <w:top w:val="single" w:color="000000" w:sz="6" w:space="0"/>
              <w:bottom w:val="single" w:color="000000" w:sz="6" w:space="0"/>
              <w:right w:val="single" w:color="000000" w:sz="4" w:space="0"/>
            </w:tcBorders>
            <w:vAlign w:val="center"/>
          </w:tcPr>
          <w:p w14:paraId="4E7B8822">
            <w:pPr>
              <w:jc w:val="center"/>
              <w:rPr>
                <w:rFonts w:ascii="Times New Roman" w:hAnsi="Times New Roman" w:cs="Times New Roman"/>
                <w:b/>
                <w:bCs/>
                <w:sz w:val="21"/>
                <w:szCs w:val="21"/>
              </w:rPr>
            </w:pPr>
            <w:r>
              <w:rPr>
                <w:rFonts w:ascii="Times New Roman" w:hAnsi="Times New Roman" w:cs="Times New Roman"/>
                <w:b/>
                <w:bCs/>
                <w:sz w:val="21"/>
                <w:szCs w:val="21"/>
              </w:rPr>
              <w:t>PEGDA/g</w:t>
            </w:r>
          </w:p>
        </w:tc>
        <w:tc>
          <w:tcPr>
            <w:tcW w:w="1134" w:type="dxa"/>
            <w:tcBorders>
              <w:top w:val="single" w:color="000000" w:sz="6" w:space="0"/>
              <w:left w:val="single" w:color="000000" w:sz="4" w:space="0"/>
              <w:bottom w:val="single" w:color="000000" w:sz="6" w:space="0"/>
            </w:tcBorders>
            <w:vAlign w:val="center"/>
          </w:tcPr>
          <w:p w14:paraId="742270AB">
            <w:pPr>
              <w:jc w:val="center"/>
              <w:rPr>
                <w:rFonts w:ascii="Times New Roman" w:hAnsi="Times New Roman" w:cs="Times New Roman"/>
                <w:b/>
                <w:bCs/>
                <w:sz w:val="21"/>
                <w:szCs w:val="21"/>
              </w:rPr>
            </w:pPr>
            <w:r>
              <w:rPr>
                <w:rFonts w:ascii="Times New Roman" w:hAnsi="Times New Roman" w:cs="Times New Roman"/>
                <w:b/>
                <w:bCs/>
                <w:sz w:val="21"/>
                <w:szCs w:val="21"/>
              </w:rPr>
              <w:t>AM/g</w:t>
            </w:r>
          </w:p>
        </w:tc>
        <w:tc>
          <w:tcPr>
            <w:tcW w:w="1134" w:type="dxa"/>
            <w:tcBorders>
              <w:top w:val="single" w:color="000000" w:sz="6" w:space="0"/>
              <w:bottom w:val="single" w:color="000000" w:sz="6" w:space="0"/>
            </w:tcBorders>
            <w:vAlign w:val="center"/>
          </w:tcPr>
          <w:p w14:paraId="684934AC">
            <w:pPr>
              <w:jc w:val="center"/>
              <w:rPr>
                <w:rFonts w:ascii="Times New Roman" w:hAnsi="Times New Roman" w:cs="Times New Roman"/>
                <w:b/>
                <w:bCs/>
                <w:sz w:val="21"/>
                <w:szCs w:val="21"/>
              </w:rPr>
            </w:pPr>
            <w:r>
              <w:rPr>
                <w:rFonts w:ascii="Times New Roman" w:hAnsi="Times New Roman" w:cs="Times New Roman"/>
                <w:b/>
                <w:bCs/>
                <w:sz w:val="21"/>
                <w:szCs w:val="21"/>
              </w:rPr>
              <w:t>SBVI/g</w:t>
            </w:r>
          </w:p>
        </w:tc>
        <w:tc>
          <w:tcPr>
            <w:tcW w:w="1134" w:type="dxa"/>
            <w:tcBorders>
              <w:top w:val="single" w:color="000000" w:sz="6" w:space="0"/>
              <w:bottom w:val="single" w:color="000000" w:sz="6" w:space="0"/>
            </w:tcBorders>
            <w:vAlign w:val="center"/>
          </w:tcPr>
          <w:p w14:paraId="5B76A1B2">
            <w:pPr>
              <w:jc w:val="center"/>
              <w:rPr>
                <w:rFonts w:ascii="Times New Roman" w:hAnsi="Times New Roman" w:cs="Times New Roman"/>
                <w:b/>
                <w:bCs/>
                <w:sz w:val="21"/>
                <w:szCs w:val="21"/>
              </w:rPr>
            </w:pPr>
            <w:r>
              <w:rPr>
                <w:rFonts w:ascii="Times New Roman" w:hAnsi="Times New Roman" w:cs="Times New Roman"/>
                <w:b/>
                <w:bCs/>
                <w:sz w:val="21"/>
                <w:szCs w:val="21"/>
              </w:rPr>
              <w:t>KA/g</w:t>
            </w:r>
          </w:p>
        </w:tc>
        <w:tc>
          <w:tcPr>
            <w:tcW w:w="1276" w:type="dxa"/>
            <w:tcBorders>
              <w:top w:val="single" w:color="000000" w:sz="6" w:space="0"/>
              <w:bottom w:val="single" w:color="000000" w:sz="6" w:space="0"/>
            </w:tcBorders>
            <w:vAlign w:val="center"/>
          </w:tcPr>
          <w:p w14:paraId="71260320">
            <w:pPr>
              <w:jc w:val="center"/>
              <w:rPr>
                <w:rFonts w:ascii="Times New Roman" w:hAnsi="Times New Roman" w:cs="Times New Roman"/>
                <w:b/>
                <w:bCs/>
                <w:sz w:val="21"/>
                <w:szCs w:val="21"/>
              </w:rPr>
            </w:pPr>
            <w:r>
              <w:rPr>
                <w:rFonts w:ascii="Times New Roman" w:hAnsi="Times New Roman" w:cs="Times New Roman"/>
                <w:b/>
                <w:bCs/>
                <w:sz w:val="21"/>
                <w:szCs w:val="21"/>
              </w:rPr>
              <w:t>PEGDA/g</w:t>
            </w:r>
          </w:p>
        </w:tc>
      </w:tr>
      <w:tr w14:paraId="17D25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18" w:type="dxa"/>
            <w:tcBorders>
              <w:top w:val="single" w:color="000000" w:sz="6" w:space="0"/>
            </w:tcBorders>
            <w:vAlign w:val="center"/>
          </w:tcPr>
          <w:p w14:paraId="382278C8">
            <w:pPr>
              <w:jc w:val="center"/>
              <w:rPr>
                <w:rFonts w:ascii="Times New Roman" w:hAnsi="Times New Roman" w:cs="Times New Roman"/>
                <w:sz w:val="21"/>
                <w:szCs w:val="21"/>
              </w:rPr>
            </w:pPr>
            <w:r>
              <w:rPr>
                <w:rFonts w:ascii="Times New Roman" w:hAnsi="Times New Roman" w:cs="Times New Roman"/>
                <w:sz w:val="21"/>
                <w:szCs w:val="21"/>
              </w:rPr>
              <w:t>2.07</w:t>
            </w:r>
          </w:p>
        </w:tc>
        <w:tc>
          <w:tcPr>
            <w:tcW w:w="1417" w:type="dxa"/>
            <w:tcBorders>
              <w:top w:val="single" w:color="000000" w:sz="6" w:space="0"/>
            </w:tcBorders>
            <w:vAlign w:val="center"/>
          </w:tcPr>
          <w:p w14:paraId="1D8063FB">
            <w:pPr>
              <w:jc w:val="center"/>
              <w:rPr>
                <w:rFonts w:ascii="Times New Roman" w:hAnsi="Times New Roman" w:cs="Times New Roman"/>
                <w:kern w:val="2"/>
                <w:sz w:val="21"/>
                <w:szCs w:val="21"/>
              </w:rPr>
            </w:pPr>
            <w:r>
              <w:rPr>
                <w:rFonts w:ascii="Times New Roman" w:hAnsi="Times New Roman" w:cs="Times New Roman"/>
                <w:kern w:val="2"/>
                <w:sz w:val="21"/>
                <w:szCs w:val="21"/>
              </w:rPr>
              <w:t>0.01</w:t>
            </w:r>
          </w:p>
        </w:tc>
        <w:tc>
          <w:tcPr>
            <w:tcW w:w="1418" w:type="dxa"/>
            <w:tcBorders>
              <w:top w:val="single" w:color="000000" w:sz="6" w:space="0"/>
              <w:right w:val="single" w:color="000000" w:sz="4" w:space="0"/>
            </w:tcBorders>
            <w:vAlign w:val="center"/>
          </w:tcPr>
          <w:p w14:paraId="6188470F">
            <w:pPr>
              <w:jc w:val="center"/>
              <w:rPr>
                <w:rFonts w:ascii="Times New Roman" w:hAnsi="Times New Roman" w:cs="Times New Roman"/>
                <w:sz w:val="21"/>
                <w:szCs w:val="21"/>
              </w:rPr>
            </w:pPr>
            <w:r>
              <w:rPr>
                <w:rFonts w:ascii="Times New Roman" w:hAnsi="Times New Roman" w:cs="Times New Roman"/>
                <w:sz w:val="21"/>
                <w:szCs w:val="21"/>
              </w:rPr>
              <w:t>0.062</w:t>
            </w:r>
          </w:p>
        </w:tc>
        <w:tc>
          <w:tcPr>
            <w:tcW w:w="1134" w:type="dxa"/>
            <w:tcBorders>
              <w:top w:val="single" w:color="000000" w:sz="6" w:space="0"/>
              <w:left w:val="single" w:color="000000" w:sz="4" w:space="0"/>
            </w:tcBorders>
            <w:vAlign w:val="center"/>
          </w:tcPr>
          <w:p w14:paraId="441AF11A">
            <w:pPr>
              <w:jc w:val="center"/>
              <w:rPr>
                <w:rFonts w:ascii="Times New Roman" w:hAnsi="Times New Roman" w:cs="Times New Roman"/>
                <w:sz w:val="21"/>
                <w:szCs w:val="21"/>
              </w:rPr>
            </w:pPr>
            <w:r>
              <w:rPr>
                <w:rFonts w:ascii="Times New Roman" w:hAnsi="Times New Roman" w:cs="Times New Roman"/>
                <w:sz w:val="21"/>
                <w:szCs w:val="21"/>
              </w:rPr>
              <w:t>7.1</w:t>
            </w:r>
          </w:p>
        </w:tc>
        <w:tc>
          <w:tcPr>
            <w:tcW w:w="1134" w:type="dxa"/>
            <w:tcBorders>
              <w:top w:val="single" w:color="000000" w:sz="6" w:space="0"/>
            </w:tcBorders>
            <w:vAlign w:val="center"/>
          </w:tcPr>
          <w:p w14:paraId="58A04670">
            <w:pPr>
              <w:jc w:val="center"/>
              <w:rPr>
                <w:rFonts w:ascii="Times New Roman" w:hAnsi="Times New Roman" w:cs="Times New Roman"/>
                <w:sz w:val="21"/>
                <w:szCs w:val="21"/>
              </w:rPr>
            </w:pPr>
            <w:r>
              <w:rPr>
                <w:rFonts w:ascii="Times New Roman" w:hAnsi="Times New Roman" w:cs="Times New Roman"/>
                <w:sz w:val="21"/>
                <w:szCs w:val="21"/>
              </w:rPr>
              <w:t>3</w:t>
            </w:r>
          </w:p>
        </w:tc>
        <w:tc>
          <w:tcPr>
            <w:tcW w:w="1134" w:type="dxa"/>
            <w:tcBorders>
              <w:top w:val="single" w:color="000000" w:sz="6" w:space="0"/>
            </w:tcBorders>
            <w:vAlign w:val="center"/>
          </w:tcPr>
          <w:p w14:paraId="17BB2848">
            <w:pPr>
              <w:jc w:val="center"/>
              <w:rPr>
                <w:rFonts w:ascii="Times New Roman" w:hAnsi="Times New Roman" w:cs="Times New Roman"/>
                <w:sz w:val="21"/>
                <w:szCs w:val="21"/>
              </w:rPr>
            </w:pPr>
            <w:r>
              <w:rPr>
                <w:rFonts w:ascii="Times New Roman" w:hAnsi="Times New Roman" w:cs="Times New Roman"/>
                <w:sz w:val="21"/>
                <w:szCs w:val="21"/>
              </w:rPr>
              <w:t>0.015</w:t>
            </w:r>
          </w:p>
        </w:tc>
        <w:tc>
          <w:tcPr>
            <w:tcW w:w="1276" w:type="dxa"/>
            <w:tcBorders>
              <w:top w:val="single" w:color="000000" w:sz="6" w:space="0"/>
            </w:tcBorders>
            <w:vAlign w:val="center"/>
          </w:tcPr>
          <w:p w14:paraId="020513B9">
            <w:pPr>
              <w:jc w:val="center"/>
              <w:rPr>
                <w:rFonts w:ascii="Times New Roman" w:hAnsi="Times New Roman" w:cs="Times New Roman"/>
                <w:sz w:val="21"/>
                <w:szCs w:val="21"/>
              </w:rPr>
            </w:pPr>
            <w:r>
              <w:rPr>
                <w:rFonts w:ascii="Times New Roman" w:hAnsi="Times New Roman" w:cs="Times New Roman"/>
                <w:sz w:val="21"/>
                <w:szCs w:val="21"/>
              </w:rPr>
              <w:t>0.008</w:t>
            </w:r>
          </w:p>
        </w:tc>
      </w:tr>
      <w:tr w14:paraId="6DB3F7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18" w:type="dxa"/>
            <w:vAlign w:val="center"/>
          </w:tcPr>
          <w:p w14:paraId="7A825683">
            <w:pPr>
              <w:jc w:val="center"/>
              <w:rPr>
                <w:rFonts w:ascii="Times New Roman" w:hAnsi="Times New Roman" w:cs="Times New Roman"/>
                <w:sz w:val="21"/>
                <w:szCs w:val="21"/>
              </w:rPr>
            </w:pPr>
            <w:r>
              <w:rPr>
                <w:rFonts w:ascii="Times New Roman" w:hAnsi="Times New Roman" w:cs="Times New Roman"/>
                <w:sz w:val="21"/>
                <w:szCs w:val="21"/>
              </w:rPr>
              <w:t>2.07</w:t>
            </w:r>
          </w:p>
        </w:tc>
        <w:tc>
          <w:tcPr>
            <w:tcW w:w="1417" w:type="dxa"/>
            <w:vAlign w:val="center"/>
          </w:tcPr>
          <w:p w14:paraId="753DE4E2">
            <w:pPr>
              <w:jc w:val="center"/>
              <w:rPr>
                <w:rFonts w:ascii="Times New Roman" w:hAnsi="Times New Roman" w:cs="Times New Roman"/>
                <w:sz w:val="21"/>
                <w:szCs w:val="21"/>
              </w:rPr>
            </w:pPr>
            <w:r>
              <w:rPr>
                <w:rFonts w:ascii="Times New Roman" w:hAnsi="Times New Roman" w:cs="Times New Roman"/>
                <w:sz w:val="21"/>
                <w:szCs w:val="21"/>
              </w:rPr>
              <w:t>0.01</w:t>
            </w:r>
          </w:p>
        </w:tc>
        <w:tc>
          <w:tcPr>
            <w:tcW w:w="1418" w:type="dxa"/>
            <w:tcBorders>
              <w:right w:val="single" w:color="000000" w:sz="4" w:space="0"/>
            </w:tcBorders>
            <w:vAlign w:val="center"/>
          </w:tcPr>
          <w:p w14:paraId="6282B7B2">
            <w:pPr>
              <w:jc w:val="center"/>
              <w:rPr>
                <w:rFonts w:ascii="Times New Roman" w:hAnsi="Times New Roman" w:cs="Times New Roman"/>
                <w:sz w:val="21"/>
                <w:szCs w:val="21"/>
              </w:rPr>
            </w:pPr>
            <w:r>
              <w:rPr>
                <w:rFonts w:ascii="Times New Roman" w:hAnsi="Times New Roman" w:cs="Times New Roman"/>
                <w:sz w:val="21"/>
                <w:szCs w:val="21"/>
              </w:rPr>
              <w:t>0.062</w:t>
            </w:r>
          </w:p>
        </w:tc>
        <w:tc>
          <w:tcPr>
            <w:tcW w:w="1134" w:type="dxa"/>
            <w:tcBorders>
              <w:left w:val="single" w:color="000000" w:sz="4" w:space="0"/>
            </w:tcBorders>
            <w:vAlign w:val="center"/>
          </w:tcPr>
          <w:p w14:paraId="4BCE22C5">
            <w:pPr>
              <w:jc w:val="center"/>
              <w:rPr>
                <w:rFonts w:ascii="Times New Roman" w:hAnsi="Times New Roman" w:cs="Times New Roman"/>
                <w:sz w:val="21"/>
                <w:szCs w:val="21"/>
              </w:rPr>
            </w:pPr>
            <w:r>
              <w:rPr>
                <w:rFonts w:ascii="Times New Roman" w:hAnsi="Times New Roman" w:cs="Times New Roman"/>
                <w:sz w:val="21"/>
                <w:szCs w:val="21"/>
              </w:rPr>
              <w:t>7.1</w:t>
            </w:r>
          </w:p>
        </w:tc>
        <w:tc>
          <w:tcPr>
            <w:tcW w:w="1134" w:type="dxa"/>
            <w:vAlign w:val="center"/>
          </w:tcPr>
          <w:p w14:paraId="3E18CA1D">
            <w:pPr>
              <w:jc w:val="center"/>
              <w:rPr>
                <w:rFonts w:ascii="Times New Roman" w:hAnsi="Times New Roman" w:cs="Times New Roman"/>
                <w:sz w:val="21"/>
                <w:szCs w:val="21"/>
              </w:rPr>
            </w:pPr>
            <w:r>
              <w:rPr>
                <w:rFonts w:ascii="Times New Roman" w:hAnsi="Times New Roman" w:cs="Times New Roman"/>
                <w:sz w:val="21"/>
                <w:szCs w:val="21"/>
              </w:rPr>
              <w:t>3</w:t>
            </w:r>
          </w:p>
        </w:tc>
        <w:tc>
          <w:tcPr>
            <w:tcW w:w="1134" w:type="dxa"/>
            <w:vAlign w:val="center"/>
          </w:tcPr>
          <w:p w14:paraId="580E9F9D">
            <w:pPr>
              <w:jc w:val="center"/>
              <w:rPr>
                <w:rFonts w:ascii="Times New Roman" w:hAnsi="Times New Roman" w:cs="Times New Roman"/>
                <w:sz w:val="21"/>
                <w:szCs w:val="21"/>
              </w:rPr>
            </w:pPr>
            <w:r>
              <w:rPr>
                <w:rFonts w:ascii="Times New Roman" w:hAnsi="Times New Roman" w:cs="Times New Roman"/>
                <w:sz w:val="21"/>
                <w:szCs w:val="21"/>
              </w:rPr>
              <w:t>0.015</w:t>
            </w:r>
          </w:p>
        </w:tc>
        <w:tc>
          <w:tcPr>
            <w:tcW w:w="1276" w:type="dxa"/>
            <w:vAlign w:val="center"/>
          </w:tcPr>
          <w:p w14:paraId="440E2526">
            <w:pPr>
              <w:jc w:val="center"/>
              <w:rPr>
                <w:rFonts w:ascii="Times New Roman" w:hAnsi="Times New Roman" w:cs="Times New Roman"/>
                <w:sz w:val="21"/>
                <w:szCs w:val="21"/>
              </w:rPr>
            </w:pPr>
            <w:r>
              <w:rPr>
                <w:rFonts w:ascii="Times New Roman" w:hAnsi="Times New Roman" w:cs="Times New Roman"/>
                <w:sz w:val="21"/>
                <w:szCs w:val="21"/>
              </w:rPr>
              <w:t>0.015</w:t>
            </w:r>
          </w:p>
        </w:tc>
      </w:tr>
      <w:tr w14:paraId="71F114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18" w:type="dxa"/>
            <w:vAlign w:val="center"/>
          </w:tcPr>
          <w:p w14:paraId="2C381FE4">
            <w:pPr>
              <w:jc w:val="center"/>
              <w:rPr>
                <w:rFonts w:ascii="Times New Roman" w:hAnsi="Times New Roman" w:cs="Times New Roman"/>
                <w:sz w:val="21"/>
                <w:szCs w:val="21"/>
              </w:rPr>
            </w:pPr>
            <w:r>
              <w:rPr>
                <w:rFonts w:ascii="Times New Roman" w:hAnsi="Times New Roman" w:cs="Times New Roman"/>
                <w:sz w:val="21"/>
                <w:szCs w:val="21"/>
              </w:rPr>
              <w:t>2.07</w:t>
            </w:r>
          </w:p>
        </w:tc>
        <w:tc>
          <w:tcPr>
            <w:tcW w:w="1417" w:type="dxa"/>
            <w:vAlign w:val="center"/>
          </w:tcPr>
          <w:p w14:paraId="002C4294">
            <w:pPr>
              <w:jc w:val="center"/>
              <w:rPr>
                <w:rFonts w:ascii="Times New Roman" w:hAnsi="Times New Roman" w:cs="Times New Roman"/>
                <w:sz w:val="21"/>
                <w:szCs w:val="21"/>
              </w:rPr>
            </w:pPr>
            <w:r>
              <w:rPr>
                <w:rFonts w:ascii="Times New Roman" w:hAnsi="Times New Roman" w:cs="Times New Roman"/>
                <w:sz w:val="21"/>
                <w:szCs w:val="21"/>
              </w:rPr>
              <w:t>0.01</w:t>
            </w:r>
          </w:p>
        </w:tc>
        <w:tc>
          <w:tcPr>
            <w:tcW w:w="1418" w:type="dxa"/>
            <w:tcBorders>
              <w:right w:val="single" w:color="000000" w:sz="4" w:space="0"/>
            </w:tcBorders>
            <w:vAlign w:val="center"/>
          </w:tcPr>
          <w:p w14:paraId="3D02C596">
            <w:pPr>
              <w:jc w:val="center"/>
              <w:rPr>
                <w:rFonts w:ascii="Times New Roman" w:hAnsi="Times New Roman" w:cs="Times New Roman"/>
                <w:sz w:val="21"/>
                <w:szCs w:val="21"/>
              </w:rPr>
            </w:pPr>
            <w:r>
              <w:rPr>
                <w:rFonts w:ascii="Times New Roman" w:hAnsi="Times New Roman" w:cs="Times New Roman"/>
                <w:sz w:val="21"/>
                <w:szCs w:val="21"/>
              </w:rPr>
              <w:t>0.062</w:t>
            </w:r>
          </w:p>
        </w:tc>
        <w:tc>
          <w:tcPr>
            <w:tcW w:w="1134" w:type="dxa"/>
            <w:tcBorders>
              <w:left w:val="single" w:color="000000" w:sz="4" w:space="0"/>
            </w:tcBorders>
            <w:vAlign w:val="center"/>
          </w:tcPr>
          <w:p w14:paraId="2E62F093">
            <w:pPr>
              <w:jc w:val="center"/>
              <w:rPr>
                <w:rFonts w:ascii="Times New Roman" w:hAnsi="Times New Roman" w:cs="Times New Roman"/>
                <w:sz w:val="21"/>
                <w:szCs w:val="21"/>
              </w:rPr>
            </w:pPr>
            <w:r>
              <w:rPr>
                <w:rFonts w:ascii="Times New Roman" w:hAnsi="Times New Roman" w:cs="Times New Roman"/>
                <w:sz w:val="21"/>
                <w:szCs w:val="21"/>
              </w:rPr>
              <w:t>7.1</w:t>
            </w:r>
          </w:p>
        </w:tc>
        <w:tc>
          <w:tcPr>
            <w:tcW w:w="1134" w:type="dxa"/>
            <w:vAlign w:val="center"/>
          </w:tcPr>
          <w:p w14:paraId="24B3FA8A">
            <w:pPr>
              <w:jc w:val="center"/>
              <w:rPr>
                <w:rFonts w:ascii="Times New Roman" w:hAnsi="Times New Roman" w:cs="Times New Roman"/>
                <w:sz w:val="21"/>
                <w:szCs w:val="21"/>
              </w:rPr>
            </w:pPr>
            <w:r>
              <w:rPr>
                <w:rFonts w:ascii="Times New Roman" w:hAnsi="Times New Roman" w:cs="Times New Roman"/>
                <w:sz w:val="21"/>
                <w:szCs w:val="21"/>
              </w:rPr>
              <w:t>3</w:t>
            </w:r>
          </w:p>
        </w:tc>
        <w:tc>
          <w:tcPr>
            <w:tcW w:w="1134" w:type="dxa"/>
            <w:vAlign w:val="center"/>
          </w:tcPr>
          <w:p w14:paraId="279F5062">
            <w:pPr>
              <w:jc w:val="center"/>
              <w:rPr>
                <w:rFonts w:ascii="Times New Roman" w:hAnsi="Times New Roman" w:cs="Times New Roman"/>
                <w:sz w:val="21"/>
                <w:szCs w:val="21"/>
              </w:rPr>
            </w:pPr>
            <w:r>
              <w:rPr>
                <w:rFonts w:ascii="Times New Roman" w:hAnsi="Times New Roman" w:cs="Times New Roman"/>
                <w:sz w:val="21"/>
                <w:szCs w:val="21"/>
              </w:rPr>
              <w:t>0.015</w:t>
            </w:r>
          </w:p>
        </w:tc>
        <w:tc>
          <w:tcPr>
            <w:tcW w:w="1276" w:type="dxa"/>
            <w:vAlign w:val="center"/>
          </w:tcPr>
          <w:p w14:paraId="25DB87AF">
            <w:pPr>
              <w:jc w:val="center"/>
              <w:rPr>
                <w:rFonts w:ascii="Times New Roman" w:hAnsi="Times New Roman" w:cs="Times New Roman"/>
                <w:sz w:val="21"/>
                <w:szCs w:val="21"/>
              </w:rPr>
            </w:pPr>
            <w:r>
              <w:rPr>
                <w:rFonts w:ascii="Times New Roman" w:hAnsi="Times New Roman" w:cs="Times New Roman"/>
                <w:sz w:val="21"/>
                <w:szCs w:val="21"/>
              </w:rPr>
              <w:t>0.03</w:t>
            </w:r>
          </w:p>
        </w:tc>
      </w:tr>
      <w:tr w14:paraId="30920C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18" w:type="dxa"/>
            <w:vAlign w:val="center"/>
          </w:tcPr>
          <w:p w14:paraId="48A76B82">
            <w:pPr>
              <w:jc w:val="center"/>
              <w:rPr>
                <w:rFonts w:ascii="Times New Roman" w:hAnsi="Times New Roman" w:cs="Times New Roman"/>
                <w:sz w:val="21"/>
                <w:szCs w:val="21"/>
              </w:rPr>
            </w:pPr>
            <w:r>
              <w:rPr>
                <w:rFonts w:ascii="Times New Roman" w:hAnsi="Times New Roman" w:cs="Times New Roman"/>
                <w:sz w:val="21"/>
                <w:szCs w:val="21"/>
              </w:rPr>
              <w:t>2.07</w:t>
            </w:r>
          </w:p>
        </w:tc>
        <w:tc>
          <w:tcPr>
            <w:tcW w:w="1417" w:type="dxa"/>
            <w:vAlign w:val="center"/>
          </w:tcPr>
          <w:p w14:paraId="59D442C0">
            <w:pPr>
              <w:jc w:val="center"/>
              <w:rPr>
                <w:rFonts w:ascii="Times New Roman" w:hAnsi="Times New Roman" w:cs="Times New Roman"/>
                <w:sz w:val="21"/>
                <w:szCs w:val="21"/>
              </w:rPr>
            </w:pPr>
            <w:r>
              <w:rPr>
                <w:rFonts w:ascii="Times New Roman" w:hAnsi="Times New Roman" w:cs="Times New Roman"/>
                <w:sz w:val="21"/>
                <w:szCs w:val="21"/>
              </w:rPr>
              <w:t>0.01</w:t>
            </w:r>
          </w:p>
        </w:tc>
        <w:tc>
          <w:tcPr>
            <w:tcW w:w="1418" w:type="dxa"/>
            <w:tcBorders>
              <w:right w:val="single" w:color="000000" w:sz="4" w:space="0"/>
            </w:tcBorders>
            <w:vAlign w:val="center"/>
          </w:tcPr>
          <w:p w14:paraId="3F11A880">
            <w:pPr>
              <w:jc w:val="center"/>
              <w:rPr>
                <w:rFonts w:ascii="Times New Roman" w:hAnsi="Times New Roman" w:cs="Times New Roman"/>
                <w:sz w:val="21"/>
                <w:szCs w:val="21"/>
              </w:rPr>
            </w:pPr>
            <w:r>
              <w:rPr>
                <w:rFonts w:ascii="Times New Roman" w:hAnsi="Times New Roman" w:cs="Times New Roman"/>
                <w:sz w:val="21"/>
                <w:szCs w:val="21"/>
              </w:rPr>
              <w:t>0.062</w:t>
            </w:r>
          </w:p>
        </w:tc>
        <w:tc>
          <w:tcPr>
            <w:tcW w:w="1134" w:type="dxa"/>
            <w:tcBorders>
              <w:left w:val="single" w:color="000000" w:sz="4" w:space="0"/>
            </w:tcBorders>
            <w:vAlign w:val="center"/>
          </w:tcPr>
          <w:p w14:paraId="237A0DCB">
            <w:pPr>
              <w:jc w:val="center"/>
              <w:rPr>
                <w:rFonts w:ascii="Times New Roman" w:hAnsi="Times New Roman" w:cs="Times New Roman"/>
                <w:sz w:val="21"/>
                <w:szCs w:val="21"/>
              </w:rPr>
            </w:pPr>
            <w:r>
              <w:rPr>
                <w:rFonts w:ascii="Times New Roman" w:hAnsi="Times New Roman" w:cs="Times New Roman"/>
                <w:sz w:val="21"/>
                <w:szCs w:val="21"/>
              </w:rPr>
              <w:t>7.1</w:t>
            </w:r>
          </w:p>
        </w:tc>
        <w:tc>
          <w:tcPr>
            <w:tcW w:w="1134" w:type="dxa"/>
            <w:vAlign w:val="center"/>
          </w:tcPr>
          <w:p w14:paraId="1C6FEFAD">
            <w:pPr>
              <w:jc w:val="center"/>
              <w:rPr>
                <w:rFonts w:ascii="Times New Roman" w:hAnsi="Times New Roman" w:cs="Times New Roman"/>
                <w:sz w:val="21"/>
                <w:szCs w:val="21"/>
              </w:rPr>
            </w:pPr>
            <w:r>
              <w:rPr>
                <w:rFonts w:ascii="Times New Roman" w:hAnsi="Times New Roman" w:cs="Times New Roman"/>
                <w:sz w:val="21"/>
                <w:szCs w:val="21"/>
              </w:rPr>
              <w:t>3</w:t>
            </w:r>
          </w:p>
        </w:tc>
        <w:tc>
          <w:tcPr>
            <w:tcW w:w="1134" w:type="dxa"/>
            <w:vAlign w:val="center"/>
          </w:tcPr>
          <w:p w14:paraId="0D4A8BE7">
            <w:pPr>
              <w:jc w:val="center"/>
              <w:rPr>
                <w:rFonts w:ascii="Times New Roman" w:hAnsi="Times New Roman" w:cs="Times New Roman"/>
                <w:sz w:val="21"/>
                <w:szCs w:val="21"/>
              </w:rPr>
            </w:pPr>
            <w:r>
              <w:rPr>
                <w:rFonts w:ascii="Times New Roman" w:hAnsi="Times New Roman" w:cs="Times New Roman"/>
                <w:sz w:val="21"/>
                <w:szCs w:val="21"/>
              </w:rPr>
              <w:t>0.015</w:t>
            </w:r>
          </w:p>
        </w:tc>
        <w:tc>
          <w:tcPr>
            <w:tcW w:w="1276" w:type="dxa"/>
            <w:vAlign w:val="center"/>
          </w:tcPr>
          <w:p w14:paraId="7FE5DE67">
            <w:pPr>
              <w:jc w:val="center"/>
              <w:rPr>
                <w:rFonts w:ascii="Times New Roman" w:hAnsi="Times New Roman" w:cs="Times New Roman"/>
                <w:sz w:val="21"/>
                <w:szCs w:val="21"/>
              </w:rPr>
            </w:pPr>
            <w:r>
              <w:rPr>
                <w:rFonts w:ascii="Times New Roman" w:hAnsi="Times New Roman" w:cs="Times New Roman"/>
                <w:sz w:val="21"/>
                <w:szCs w:val="21"/>
              </w:rPr>
              <w:t>0.06</w:t>
            </w:r>
          </w:p>
        </w:tc>
      </w:tr>
      <w:tr w14:paraId="555EB8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18" w:type="dxa"/>
            <w:vAlign w:val="center"/>
          </w:tcPr>
          <w:p w14:paraId="6DEA16CD">
            <w:pPr>
              <w:jc w:val="center"/>
              <w:rPr>
                <w:rFonts w:ascii="Times New Roman" w:hAnsi="Times New Roman" w:cs="Times New Roman"/>
                <w:sz w:val="21"/>
                <w:szCs w:val="21"/>
              </w:rPr>
            </w:pPr>
            <w:r>
              <w:rPr>
                <w:rFonts w:ascii="Times New Roman" w:hAnsi="Times New Roman" w:cs="Times New Roman"/>
                <w:sz w:val="21"/>
                <w:szCs w:val="21"/>
              </w:rPr>
              <w:t>2.07</w:t>
            </w:r>
          </w:p>
        </w:tc>
        <w:tc>
          <w:tcPr>
            <w:tcW w:w="1417" w:type="dxa"/>
            <w:vAlign w:val="center"/>
          </w:tcPr>
          <w:p w14:paraId="4879AB5C">
            <w:pPr>
              <w:jc w:val="center"/>
              <w:rPr>
                <w:rFonts w:ascii="Times New Roman" w:hAnsi="Times New Roman" w:cs="Times New Roman"/>
                <w:sz w:val="21"/>
                <w:szCs w:val="21"/>
              </w:rPr>
            </w:pPr>
            <w:r>
              <w:rPr>
                <w:rFonts w:ascii="Times New Roman" w:hAnsi="Times New Roman" w:cs="Times New Roman"/>
                <w:sz w:val="21"/>
                <w:szCs w:val="21"/>
              </w:rPr>
              <w:t>0.01</w:t>
            </w:r>
          </w:p>
        </w:tc>
        <w:tc>
          <w:tcPr>
            <w:tcW w:w="1418" w:type="dxa"/>
            <w:tcBorders>
              <w:right w:val="single" w:color="000000" w:sz="4" w:space="0"/>
            </w:tcBorders>
            <w:vAlign w:val="center"/>
          </w:tcPr>
          <w:p w14:paraId="7EAFD00B">
            <w:pPr>
              <w:jc w:val="center"/>
              <w:rPr>
                <w:rFonts w:ascii="Times New Roman" w:hAnsi="Times New Roman" w:cs="Times New Roman"/>
                <w:sz w:val="21"/>
                <w:szCs w:val="21"/>
              </w:rPr>
            </w:pPr>
            <w:r>
              <w:rPr>
                <w:rFonts w:ascii="Times New Roman" w:hAnsi="Times New Roman" w:cs="Times New Roman"/>
                <w:sz w:val="21"/>
                <w:szCs w:val="21"/>
              </w:rPr>
              <w:t>0.062</w:t>
            </w:r>
          </w:p>
        </w:tc>
        <w:tc>
          <w:tcPr>
            <w:tcW w:w="1134" w:type="dxa"/>
            <w:tcBorders>
              <w:left w:val="single" w:color="000000" w:sz="4" w:space="0"/>
            </w:tcBorders>
            <w:vAlign w:val="center"/>
          </w:tcPr>
          <w:p w14:paraId="39CD3E37">
            <w:pPr>
              <w:jc w:val="center"/>
              <w:rPr>
                <w:rFonts w:ascii="Times New Roman" w:hAnsi="Times New Roman" w:cs="Times New Roman"/>
                <w:sz w:val="21"/>
                <w:szCs w:val="21"/>
              </w:rPr>
            </w:pPr>
            <w:r>
              <w:rPr>
                <w:rFonts w:ascii="Times New Roman" w:hAnsi="Times New Roman" w:cs="Times New Roman"/>
                <w:sz w:val="21"/>
                <w:szCs w:val="21"/>
              </w:rPr>
              <w:t>7.1</w:t>
            </w:r>
          </w:p>
        </w:tc>
        <w:tc>
          <w:tcPr>
            <w:tcW w:w="1134" w:type="dxa"/>
            <w:vAlign w:val="center"/>
          </w:tcPr>
          <w:p w14:paraId="11D8A684">
            <w:pPr>
              <w:jc w:val="center"/>
              <w:rPr>
                <w:rFonts w:ascii="Times New Roman" w:hAnsi="Times New Roman" w:cs="Times New Roman"/>
                <w:sz w:val="21"/>
                <w:szCs w:val="21"/>
              </w:rPr>
            </w:pPr>
            <w:r>
              <w:rPr>
                <w:rFonts w:ascii="Times New Roman" w:hAnsi="Times New Roman" w:cs="Times New Roman"/>
                <w:sz w:val="21"/>
                <w:szCs w:val="21"/>
              </w:rPr>
              <w:t>3</w:t>
            </w:r>
          </w:p>
        </w:tc>
        <w:tc>
          <w:tcPr>
            <w:tcW w:w="1134" w:type="dxa"/>
            <w:vAlign w:val="center"/>
          </w:tcPr>
          <w:p w14:paraId="3F78C3F6">
            <w:pPr>
              <w:jc w:val="center"/>
              <w:rPr>
                <w:rFonts w:ascii="Times New Roman" w:hAnsi="Times New Roman" w:cs="Times New Roman"/>
                <w:sz w:val="21"/>
                <w:szCs w:val="21"/>
              </w:rPr>
            </w:pPr>
            <w:r>
              <w:rPr>
                <w:rFonts w:ascii="Times New Roman" w:hAnsi="Times New Roman" w:cs="Times New Roman"/>
                <w:sz w:val="21"/>
                <w:szCs w:val="21"/>
              </w:rPr>
              <w:t>0.015</w:t>
            </w:r>
          </w:p>
        </w:tc>
        <w:tc>
          <w:tcPr>
            <w:tcW w:w="1276" w:type="dxa"/>
            <w:vAlign w:val="center"/>
          </w:tcPr>
          <w:p w14:paraId="17027C14">
            <w:pPr>
              <w:jc w:val="center"/>
              <w:rPr>
                <w:rFonts w:ascii="Times New Roman" w:hAnsi="Times New Roman" w:cs="Times New Roman"/>
                <w:sz w:val="21"/>
                <w:szCs w:val="21"/>
              </w:rPr>
            </w:pPr>
            <w:r>
              <w:rPr>
                <w:rFonts w:ascii="Times New Roman" w:hAnsi="Times New Roman" w:cs="Times New Roman"/>
                <w:sz w:val="21"/>
                <w:szCs w:val="21"/>
              </w:rPr>
              <w:t>0.09</w:t>
            </w:r>
          </w:p>
        </w:tc>
      </w:tr>
      <w:tr w14:paraId="1A0CF1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18" w:type="dxa"/>
            <w:vAlign w:val="center"/>
          </w:tcPr>
          <w:p w14:paraId="2DCE3BF3">
            <w:pPr>
              <w:jc w:val="center"/>
              <w:rPr>
                <w:rFonts w:ascii="Times New Roman" w:hAnsi="Times New Roman" w:cs="Times New Roman"/>
                <w:sz w:val="21"/>
                <w:szCs w:val="21"/>
              </w:rPr>
            </w:pPr>
            <w:r>
              <w:rPr>
                <w:rFonts w:ascii="Times New Roman" w:hAnsi="Times New Roman" w:cs="Times New Roman"/>
                <w:sz w:val="21"/>
                <w:szCs w:val="21"/>
              </w:rPr>
              <w:t>2.07</w:t>
            </w:r>
          </w:p>
        </w:tc>
        <w:tc>
          <w:tcPr>
            <w:tcW w:w="1417" w:type="dxa"/>
            <w:vAlign w:val="center"/>
          </w:tcPr>
          <w:p w14:paraId="5BDE9990">
            <w:pPr>
              <w:jc w:val="center"/>
              <w:rPr>
                <w:rFonts w:ascii="Times New Roman" w:hAnsi="Times New Roman" w:cs="Times New Roman"/>
                <w:sz w:val="21"/>
                <w:szCs w:val="21"/>
              </w:rPr>
            </w:pPr>
            <w:r>
              <w:rPr>
                <w:rFonts w:ascii="Times New Roman" w:hAnsi="Times New Roman" w:cs="Times New Roman"/>
                <w:sz w:val="21"/>
                <w:szCs w:val="21"/>
              </w:rPr>
              <w:t>0.01</w:t>
            </w:r>
          </w:p>
        </w:tc>
        <w:tc>
          <w:tcPr>
            <w:tcW w:w="1418" w:type="dxa"/>
            <w:tcBorders>
              <w:right w:val="single" w:color="000000" w:sz="4" w:space="0"/>
            </w:tcBorders>
            <w:vAlign w:val="center"/>
          </w:tcPr>
          <w:p w14:paraId="05B623AD">
            <w:pPr>
              <w:jc w:val="center"/>
              <w:rPr>
                <w:rFonts w:ascii="Times New Roman" w:hAnsi="Times New Roman" w:cs="Times New Roman"/>
                <w:sz w:val="21"/>
                <w:szCs w:val="21"/>
              </w:rPr>
            </w:pPr>
            <w:r>
              <w:rPr>
                <w:rFonts w:ascii="Times New Roman" w:hAnsi="Times New Roman" w:cs="Times New Roman"/>
                <w:sz w:val="21"/>
                <w:szCs w:val="21"/>
              </w:rPr>
              <w:t>0.062</w:t>
            </w:r>
          </w:p>
        </w:tc>
        <w:tc>
          <w:tcPr>
            <w:tcW w:w="1134" w:type="dxa"/>
            <w:tcBorders>
              <w:left w:val="single" w:color="000000" w:sz="4" w:space="0"/>
            </w:tcBorders>
            <w:vAlign w:val="center"/>
          </w:tcPr>
          <w:p w14:paraId="378348B7">
            <w:pPr>
              <w:jc w:val="center"/>
              <w:rPr>
                <w:rFonts w:ascii="Times New Roman" w:hAnsi="Times New Roman" w:cs="Times New Roman"/>
                <w:sz w:val="21"/>
                <w:szCs w:val="21"/>
              </w:rPr>
            </w:pPr>
            <w:r>
              <w:rPr>
                <w:rFonts w:ascii="Times New Roman" w:hAnsi="Times New Roman" w:cs="Times New Roman"/>
                <w:sz w:val="21"/>
                <w:szCs w:val="21"/>
              </w:rPr>
              <w:t>7.1</w:t>
            </w:r>
          </w:p>
        </w:tc>
        <w:tc>
          <w:tcPr>
            <w:tcW w:w="1134" w:type="dxa"/>
            <w:vAlign w:val="center"/>
          </w:tcPr>
          <w:p w14:paraId="4289560B">
            <w:pPr>
              <w:jc w:val="center"/>
              <w:rPr>
                <w:rFonts w:ascii="Times New Roman" w:hAnsi="Times New Roman" w:cs="Times New Roman"/>
                <w:sz w:val="21"/>
                <w:szCs w:val="21"/>
              </w:rPr>
            </w:pPr>
            <w:r>
              <w:rPr>
                <w:rFonts w:ascii="Times New Roman" w:hAnsi="Times New Roman" w:cs="Times New Roman"/>
                <w:sz w:val="21"/>
                <w:szCs w:val="21"/>
              </w:rPr>
              <w:t>3</w:t>
            </w:r>
          </w:p>
        </w:tc>
        <w:tc>
          <w:tcPr>
            <w:tcW w:w="1134" w:type="dxa"/>
            <w:vAlign w:val="center"/>
          </w:tcPr>
          <w:p w14:paraId="29B6BB5D">
            <w:pPr>
              <w:jc w:val="center"/>
              <w:rPr>
                <w:rFonts w:ascii="Times New Roman" w:hAnsi="Times New Roman" w:cs="Times New Roman"/>
                <w:sz w:val="21"/>
                <w:szCs w:val="21"/>
              </w:rPr>
            </w:pPr>
            <w:r>
              <w:rPr>
                <w:rFonts w:ascii="Times New Roman" w:hAnsi="Times New Roman" w:cs="Times New Roman"/>
                <w:sz w:val="21"/>
                <w:szCs w:val="21"/>
              </w:rPr>
              <w:t>0.015</w:t>
            </w:r>
          </w:p>
        </w:tc>
        <w:tc>
          <w:tcPr>
            <w:tcW w:w="1276" w:type="dxa"/>
            <w:vAlign w:val="center"/>
          </w:tcPr>
          <w:p w14:paraId="623EB0AE">
            <w:pPr>
              <w:jc w:val="center"/>
              <w:rPr>
                <w:rFonts w:ascii="Times New Roman" w:hAnsi="Times New Roman" w:cs="Times New Roman"/>
                <w:sz w:val="21"/>
                <w:szCs w:val="21"/>
              </w:rPr>
            </w:pPr>
            <w:r>
              <w:rPr>
                <w:rFonts w:ascii="Times New Roman" w:hAnsi="Times New Roman" w:cs="Times New Roman"/>
                <w:sz w:val="21"/>
                <w:szCs w:val="21"/>
              </w:rPr>
              <w:t>0.12</w:t>
            </w:r>
          </w:p>
        </w:tc>
      </w:tr>
      <w:tr w14:paraId="230756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18" w:type="dxa"/>
            <w:vAlign w:val="center"/>
          </w:tcPr>
          <w:p w14:paraId="7D99CA16">
            <w:pPr>
              <w:jc w:val="center"/>
              <w:rPr>
                <w:rFonts w:ascii="Times New Roman" w:hAnsi="Times New Roman" w:cs="Times New Roman"/>
                <w:sz w:val="21"/>
                <w:szCs w:val="21"/>
              </w:rPr>
            </w:pPr>
            <w:r>
              <w:rPr>
                <w:rFonts w:ascii="Times New Roman" w:hAnsi="Times New Roman" w:cs="Times New Roman"/>
                <w:sz w:val="21"/>
                <w:szCs w:val="21"/>
              </w:rPr>
              <w:t>2.07</w:t>
            </w:r>
          </w:p>
        </w:tc>
        <w:tc>
          <w:tcPr>
            <w:tcW w:w="1417" w:type="dxa"/>
            <w:vAlign w:val="center"/>
          </w:tcPr>
          <w:p w14:paraId="0FEAA13C">
            <w:pPr>
              <w:jc w:val="center"/>
              <w:rPr>
                <w:rFonts w:ascii="Times New Roman" w:hAnsi="Times New Roman" w:cs="Times New Roman"/>
                <w:sz w:val="21"/>
                <w:szCs w:val="21"/>
              </w:rPr>
            </w:pPr>
            <w:r>
              <w:rPr>
                <w:rFonts w:ascii="Times New Roman" w:hAnsi="Times New Roman" w:cs="Times New Roman"/>
                <w:sz w:val="21"/>
                <w:szCs w:val="21"/>
              </w:rPr>
              <w:t>0.01</w:t>
            </w:r>
          </w:p>
        </w:tc>
        <w:tc>
          <w:tcPr>
            <w:tcW w:w="1418" w:type="dxa"/>
            <w:tcBorders>
              <w:right w:val="single" w:color="000000" w:sz="4" w:space="0"/>
            </w:tcBorders>
            <w:vAlign w:val="center"/>
          </w:tcPr>
          <w:p w14:paraId="37383C5C">
            <w:pPr>
              <w:jc w:val="center"/>
              <w:rPr>
                <w:rFonts w:ascii="Times New Roman" w:hAnsi="Times New Roman" w:cs="Times New Roman"/>
                <w:sz w:val="21"/>
                <w:szCs w:val="21"/>
              </w:rPr>
            </w:pPr>
            <w:r>
              <w:rPr>
                <w:rFonts w:ascii="Times New Roman" w:hAnsi="Times New Roman" w:cs="Times New Roman"/>
                <w:sz w:val="21"/>
                <w:szCs w:val="21"/>
              </w:rPr>
              <w:t>0.062</w:t>
            </w:r>
          </w:p>
        </w:tc>
        <w:tc>
          <w:tcPr>
            <w:tcW w:w="1134" w:type="dxa"/>
            <w:tcBorders>
              <w:left w:val="single" w:color="000000" w:sz="4" w:space="0"/>
            </w:tcBorders>
            <w:vAlign w:val="center"/>
          </w:tcPr>
          <w:p w14:paraId="03706CCB">
            <w:pPr>
              <w:jc w:val="center"/>
              <w:rPr>
                <w:rFonts w:ascii="Times New Roman" w:hAnsi="Times New Roman" w:cs="Times New Roman"/>
                <w:sz w:val="21"/>
                <w:szCs w:val="21"/>
              </w:rPr>
            </w:pPr>
            <w:r>
              <w:rPr>
                <w:rFonts w:ascii="Times New Roman" w:hAnsi="Times New Roman" w:cs="Times New Roman"/>
                <w:sz w:val="21"/>
                <w:szCs w:val="21"/>
              </w:rPr>
              <w:t>7.1</w:t>
            </w:r>
          </w:p>
        </w:tc>
        <w:tc>
          <w:tcPr>
            <w:tcW w:w="1134" w:type="dxa"/>
            <w:vAlign w:val="center"/>
          </w:tcPr>
          <w:p w14:paraId="0B0A5348">
            <w:pPr>
              <w:jc w:val="center"/>
              <w:rPr>
                <w:rFonts w:ascii="Times New Roman" w:hAnsi="Times New Roman" w:cs="Times New Roman"/>
                <w:sz w:val="21"/>
                <w:szCs w:val="21"/>
              </w:rPr>
            </w:pPr>
            <w:r>
              <w:rPr>
                <w:rFonts w:ascii="Times New Roman" w:hAnsi="Times New Roman" w:cs="Times New Roman"/>
                <w:sz w:val="21"/>
                <w:szCs w:val="21"/>
              </w:rPr>
              <w:t>1</w:t>
            </w:r>
          </w:p>
        </w:tc>
        <w:tc>
          <w:tcPr>
            <w:tcW w:w="1134" w:type="dxa"/>
            <w:vAlign w:val="center"/>
          </w:tcPr>
          <w:p w14:paraId="2629B917">
            <w:pPr>
              <w:jc w:val="center"/>
              <w:rPr>
                <w:rFonts w:ascii="Times New Roman" w:hAnsi="Times New Roman" w:cs="Times New Roman"/>
                <w:sz w:val="21"/>
                <w:szCs w:val="21"/>
              </w:rPr>
            </w:pPr>
            <w:r>
              <w:rPr>
                <w:rFonts w:ascii="Times New Roman" w:hAnsi="Times New Roman" w:cs="Times New Roman"/>
                <w:sz w:val="21"/>
                <w:szCs w:val="21"/>
              </w:rPr>
              <w:t>0.015</w:t>
            </w:r>
          </w:p>
        </w:tc>
        <w:tc>
          <w:tcPr>
            <w:tcW w:w="1276" w:type="dxa"/>
            <w:vAlign w:val="center"/>
          </w:tcPr>
          <w:p w14:paraId="29AE6938">
            <w:pPr>
              <w:jc w:val="center"/>
              <w:rPr>
                <w:rFonts w:ascii="Times New Roman" w:hAnsi="Times New Roman" w:cs="Times New Roman"/>
                <w:sz w:val="21"/>
                <w:szCs w:val="21"/>
              </w:rPr>
            </w:pPr>
            <w:r>
              <w:rPr>
                <w:rFonts w:ascii="Times New Roman" w:hAnsi="Times New Roman" w:cs="Times New Roman"/>
                <w:sz w:val="21"/>
                <w:szCs w:val="21"/>
              </w:rPr>
              <w:t>0.015</w:t>
            </w:r>
          </w:p>
        </w:tc>
      </w:tr>
      <w:tr w14:paraId="66EF81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18" w:type="dxa"/>
            <w:vAlign w:val="center"/>
          </w:tcPr>
          <w:p w14:paraId="6B838A1E">
            <w:pPr>
              <w:jc w:val="center"/>
              <w:rPr>
                <w:rFonts w:ascii="Times New Roman" w:hAnsi="Times New Roman" w:cs="Times New Roman"/>
                <w:sz w:val="21"/>
                <w:szCs w:val="21"/>
              </w:rPr>
            </w:pPr>
            <w:r>
              <w:rPr>
                <w:rFonts w:ascii="Times New Roman" w:hAnsi="Times New Roman" w:cs="Times New Roman"/>
                <w:sz w:val="21"/>
                <w:szCs w:val="21"/>
              </w:rPr>
              <w:t>2.07</w:t>
            </w:r>
          </w:p>
        </w:tc>
        <w:tc>
          <w:tcPr>
            <w:tcW w:w="1417" w:type="dxa"/>
            <w:vAlign w:val="center"/>
          </w:tcPr>
          <w:p w14:paraId="305690B1">
            <w:pPr>
              <w:jc w:val="center"/>
              <w:rPr>
                <w:rFonts w:ascii="Times New Roman" w:hAnsi="Times New Roman" w:cs="Times New Roman"/>
                <w:sz w:val="21"/>
                <w:szCs w:val="21"/>
              </w:rPr>
            </w:pPr>
            <w:r>
              <w:rPr>
                <w:rFonts w:ascii="Times New Roman" w:hAnsi="Times New Roman" w:cs="Times New Roman"/>
                <w:sz w:val="21"/>
                <w:szCs w:val="21"/>
              </w:rPr>
              <w:t>0.01</w:t>
            </w:r>
          </w:p>
        </w:tc>
        <w:tc>
          <w:tcPr>
            <w:tcW w:w="1418" w:type="dxa"/>
            <w:tcBorders>
              <w:right w:val="single" w:color="000000" w:sz="4" w:space="0"/>
            </w:tcBorders>
            <w:vAlign w:val="center"/>
          </w:tcPr>
          <w:p w14:paraId="03F9B072">
            <w:pPr>
              <w:jc w:val="center"/>
              <w:rPr>
                <w:rFonts w:ascii="Times New Roman" w:hAnsi="Times New Roman" w:cs="Times New Roman"/>
                <w:sz w:val="21"/>
                <w:szCs w:val="21"/>
              </w:rPr>
            </w:pPr>
            <w:r>
              <w:rPr>
                <w:rFonts w:ascii="Times New Roman" w:hAnsi="Times New Roman" w:cs="Times New Roman"/>
                <w:sz w:val="21"/>
                <w:szCs w:val="21"/>
              </w:rPr>
              <w:t>0.062</w:t>
            </w:r>
          </w:p>
        </w:tc>
        <w:tc>
          <w:tcPr>
            <w:tcW w:w="1134" w:type="dxa"/>
            <w:tcBorders>
              <w:left w:val="single" w:color="000000" w:sz="4" w:space="0"/>
            </w:tcBorders>
            <w:vAlign w:val="center"/>
          </w:tcPr>
          <w:p w14:paraId="1CF2A63C">
            <w:pPr>
              <w:jc w:val="center"/>
              <w:rPr>
                <w:rFonts w:ascii="Times New Roman" w:hAnsi="Times New Roman" w:cs="Times New Roman"/>
                <w:sz w:val="21"/>
                <w:szCs w:val="21"/>
              </w:rPr>
            </w:pPr>
            <w:r>
              <w:rPr>
                <w:rFonts w:ascii="Times New Roman" w:hAnsi="Times New Roman" w:cs="Times New Roman"/>
                <w:sz w:val="21"/>
                <w:szCs w:val="21"/>
              </w:rPr>
              <w:t>7.1</w:t>
            </w:r>
          </w:p>
        </w:tc>
        <w:tc>
          <w:tcPr>
            <w:tcW w:w="1134" w:type="dxa"/>
            <w:vAlign w:val="center"/>
          </w:tcPr>
          <w:p w14:paraId="23E014B4">
            <w:pPr>
              <w:jc w:val="center"/>
              <w:rPr>
                <w:rFonts w:ascii="Times New Roman" w:hAnsi="Times New Roman" w:cs="Times New Roman"/>
                <w:sz w:val="21"/>
                <w:szCs w:val="21"/>
              </w:rPr>
            </w:pPr>
            <w:r>
              <w:rPr>
                <w:rFonts w:ascii="Times New Roman" w:hAnsi="Times New Roman" w:cs="Times New Roman"/>
                <w:sz w:val="21"/>
                <w:szCs w:val="21"/>
              </w:rPr>
              <w:t>2</w:t>
            </w:r>
          </w:p>
        </w:tc>
        <w:tc>
          <w:tcPr>
            <w:tcW w:w="1134" w:type="dxa"/>
            <w:vAlign w:val="center"/>
          </w:tcPr>
          <w:p w14:paraId="66870D1D">
            <w:pPr>
              <w:jc w:val="center"/>
              <w:rPr>
                <w:rFonts w:ascii="Times New Roman" w:hAnsi="Times New Roman" w:cs="Times New Roman"/>
                <w:sz w:val="21"/>
                <w:szCs w:val="21"/>
              </w:rPr>
            </w:pPr>
            <w:r>
              <w:rPr>
                <w:rFonts w:ascii="Times New Roman" w:hAnsi="Times New Roman" w:cs="Times New Roman"/>
                <w:sz w:val="21"/>
                <w:szCs w:val="21"/>
              </w:rPr>
              <w:t>0.015</w:t>
            </w:r>
          </w:p>
        </w:tc>
        <w:tc>
          <w:tcPr>
            <w:tcW w:w="1276" w:type="dxa"/>
            <w:vAlign w:val="center"/>
          </w:tcPr>
          <w:p w14:paraId="660EF590">
            <w:pPr>
              <w:jc w:val="center"/>
              <w:rPr>
                <w:rFonts w:ascii="Times New Roman" w:hAnsi="Times New Roman" w:cs="Times New Roman"/>
                <w:sz w:val="21"/>
                <w:szCs w:val="21"/>
              </w:rPr>
            </w:pPr>
            <w:r>
              <w:rPr>
                <w:rFonts w:ascii="Times New Roman" w:hAnsi="Times New Roman" w:cs="Times New Roman"/>
                <w:sz w:val="21"/>
                <w:szCs w:val="21"/>
              </w:rPr>
              <w:t>0.015</w:t>
            </w:r>
          </w:p>
        </w:tc>
      </w:tr>
      <w:tr w14:paraId="710CE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18" w:type="dxa"/>
            <w:vAlign w:val="center"/>
          </w:tcPr>
          <w:p w14:paraId="0D597C62">
            <w:pPr>
              <w:jc w:val="center"/>
              <w:rPr>
                <w:rFonts w:ascii="Times New Roman" w:hAnsi="Times New Roman" w:cs="Times New Roman"/>
                <w:sz w:val="21"/>
                <w:szCs w:val="21"/>
              </w:rPr>
            </w:pPr>
            <w:r>
              <w:rPr>
                <w:rFonts w:ascii="Times New Roman" w:hAnsi="Times New Roman" w:cs="Times New Roman"/>
                <w:sz w:val="21"/>
                <w:szCs w:val="21"/>
              </w:rPr>
              <w:t>2.07</w:t>
            </w:r>
          </w:p>
        </w:tc>
        <w:tc>
          <w:tcPr>
            <w:tcW w:w="1417" w:type="dxa"/>
            <w:vAlign w:val="center"/>
          </w:tcPr>
          <w:p w14:paraId="3D05700D">
            <w:pPr>
              <w:jc w:val="center"/>
              <w:rPr>
                <w:rFonts w:ascii="Times New Roman" w:hAnsi="Times New Roman" w:cs="Times New Roman"/>
                <w:sz w:val="21"/>
                <w:szCs w:val="21"/>
              </w:rPr>
            </w:pPr>
            <w:r>
              <w:rPr>
                <w:rFonts w:ascii="Times New Roman" w:hAnsi="Times New Roman" w:cs="Times New Roman"/>
                <w:sz w:val="21"/>
                <w:szCs w:val="21"/>
              </w:rPr>
              <w:t>0.01</w:t>
            </w:r>
          </w:p>
        </w:tc>
        <w:tc>
          <w:tcPr>
            <w:tcW w:w="1418" w:type="dxa"/>
            <w:tcBorders>
              <w:right w:val="single" w:color="000000" w:sz="4" w:space="0"/>
            </w:tcBorders>
            <w:vAlign w:val="center"/>
          </w:tcPr>
          <w:p w14:paraId="14A88242">
            <w:pPr>
              <w:jc w:val="center"/>
              <w:rPr>
                <w:rFonts w:ascii="Times New Roman" w:hAnsi="Times New Roman" w:cs="Times New Roman"/>
                <w:sz w:val="21"/>
                <w:szCs w:val="21"/>
              </w:rPr>
            </w:pPr>
            <w:r>
              <w:rPr>
                <w:rFonts w:ascii="Times New Roman" w:hAnsi="Times New Roman" w:cs="Times New Roman"/>
                <w:sz w:val="21"/>
                <w:szCs w:val="21"/>
              </w:rPr>
              <w:t>0.062</w:t>
            </w:r>
          </w:p>
        </w:tc>
        <w:tc>
          <w:tcPr>
            <w:tcW w:w="1134" w:type="dxa"/>
            <w:tcBorders>
              <w:left w:val="single" w:color="000000" w:sz="4" w:space="0"/>
            </w:tcBorders>
            <w:vAlign w:val="center"/>
          </w:tcPr>
          <w:p w14:paraId="1F99E828">
            <w:pPr>
              <w:jc w:val="center"/>
              <w:rPr>
                <w:rFonts w:ascii="Times New Roman" w:hAnsi="Times New Roman" w:cs="Times New Roman"/>
                <w:sz w:val="21"/>
                <w:szCs w:val="21"/>
              </w:rPr>
            </w:pPr>
            <w:r>
              <w:rPr>
                <w:rFonts w:ascii="Times New Roman" w:hAnsi="Times New Roman" w:cs="Times New Roman"/>
                <w:sz w:val="21"/>
                <w:szCs w:val="21"/>
              </w:rPr>
              <w:t>7.1</w:t>
            </w:r>
          </w:p>
        </w:tc>
        <w:tc>
          <w:tcPr>
            <w:tcW w:w="1134" w:type="dxa"/>
            <w:vAlign w:val="center"/>
          </w:tcPr>
          <w:p w14:paraId="6E6C19A0">
            <w:pPr>
              <w:jc w:val="center"/>
              <w:rPr>
                <w:rFonts w:ascii="Times New Roman" w:hAnsi="Times New Roman" w:cs="Times New Roman"/>
                <w:sz w:val="21"/>
                <w:szCs w:val="21"/>
              </w:rPr>
            </w:pPr>
            <w:r>
              <w:rPr>
                <w:rFonts w:ascii="Times New Roman" w:hAnsi="Times New Roman" w:cs="Times New Roman"/>
                <w:sz w:val="21"/>
                <w:szCs w:val="21"/>
              </w:rPr>
              <w:t>4</w:t>
            </w:r>
          </w:p>
        </w:tc>
        <w:tc>
          <w:tcPr>
            <w:tcW w:w="1134" w:type="dxa"/>
            <w:vAlign w:val="center"/>
          </w:tcPr>
          <w:p w14:paraId="441FF9D3">
            <w:pPr>
              <w:jc w:val="center"/>
              <w:rPr>
                <w:rFonts w:ascii="Times New Roman" w:hAnsi="Times New Roman" w:cs="Times New Roman"/>
                <w:sz w:val="21"/>
                <w:szCs w:val="21"/>
              </w:rPr>
            </w:pPr>
            <w:r>
              <w:rPr>
                <w:rFonts w:ascii="Times New Roman" w:hAnsi="Times New Roman" w:cs="Times New Roman"/>
                <w:sz w:val="21"/>
                <w:szCs w:val="21"/>
              </w:rPr>
              <w:t>0.015</w:t>
            </w:r>
          </w:p>
        </w:tc>
        <w:tc>
          <w:tcPr>
            <w:tcW w:w="1276" w:type="dxa"/>
            <w:vAlign w:val="center"/>
          </w:tcPr>
          <w:p w14:paraId="19BFE04F">
            <w:pPr>
              <w:jc w:val="center"/>
              <w:rPr>
                <w:rFonts w:ascii="Times New Roman" w:hAnsi="Times New Roman" w:cs="Times New Roman"/>
                <w:sz w:val="21"/>
                <w:szCs w:val="21"/>
              </w:rPr>
            </w:pPr>
            <w:r>
              <w:rPr>
                <w:rFonts w:ascii="Times New Roman" w:hAnsi="Times New Roman" w:cs="Times New Roman"/>
                <w:sz w:val="21"/>
                <w:szCs w:val="21"/>
              </w:rPr>
              <w:t>0.015</w:t>
            </w:r>
          </w:p>
        </w:tc>
      </w:tr>
      <w:tr w14:paraId="6ABA47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18" w:type="dxa"/>
            <w:tcBorders>
              <w:bottom w:val="single" w:color="000000" w:sz="12" w:space="0"/>
            </w:tcBorders>
            <w:vAlign w:val="center"/>
          </w:tcPr>
          <w:p w14:paraId="16753E0D">
            <w:pPr>
              <w:jc w:val="center"/>
              <w:rPr>
                <w:rFonts w:ascii="Times New Roman" w:hAnsi="Times New Roman" w:cs="Times New Roman"/>
                <w:sz w:val="21"/>
                <w:szCs w:val="21"/>
              </w:rPr>
            </w:pPr>
            <w:r>
              <w:rPr>
                <w:rFonts w:ascii="Times New Roman" w:hAnsi="Times New Roman" w:cs="Times New Roman"/>
                <w:sz w:val="21"/>
                <w:szCs w:val="21"/>
              </w:rPr>
              <w:t>2.07</w:t>
            </w:r>
          </w:p>
        </w:tc>
        <w:tc>
          <w:tcPr>
            <w:tcW w:w="1417" w:type="dxa"/>
            <w:tcBorders>
              <w:bottom w:val="single" w:color="000000" w:sz="12" w:space="0"/>
            </w:tcBorders>
            <w:vAlign w:val="center"/>
          </w:tcPr>
          <w:p w14:paraId="2ADA2B73">
            <w:pPr>
              <w:jc w:val="center"/>
              <w:rPr>
                <w:rFonts w:ascii="Times New Roman" w:hAnsi="Times New Roman" w:cs="Times New Roman"/>
                <w:sz w:val="21"/>
                <w:szCs w:val="21"/>
              </w:rPr>
            </w:pPr>
            <w:r>
              <w:rPr>
                <w:rFonts w:ascii="Times New Roman" w:hAnsi="Times New Roman" w:cs="Times New Roman"/>
                <w:sz w:val="21"/>
                <w:szCs w:val="21"/>
              </w:rPr>
              <w:t>0.01</w:t>
            </w:r>
          </w:p>
        </w:tc>
        <w:tc>
          <w:tcPr>
            <w:tcW w:w="1418" w:type="dxa"/>
            <w:tcBorders>
              <w:bottom w:val="single" w:color="000000" w:sz="12" w:space="0"/>
              <w:right w:val="single" w:color="000000" w:sz="4" w:space="0"/>
            </w:tcBorders>
            <w:vAlign w:val="center"/>
          </w:tcPr>
          <w:p w14:paraId="0EC1B37F">
            <w:pPr>
              <w:jc w:val="center"/>
              <w:rPr>
                <w:rFonts w:ascii="Times New Roman" w:hAnsi="Times New Roman" w:cs="Times New Roman"/>
                <w:sz w:val="21"/>
                <w:szCs w:val="21"/>
              </w:rPr>
            </w:pPr>
            <w:r>
              <w:rPr>
                <w:rFonts w:ascii="Times New Roman" w:hAnsi="Times New Roman" w:cs="Times New Roman"/>
                <w:sz w:val="21"/>
                <w:szCs w:val="21"/>
              </w:rPr>
              <w:t>0.062</w:t>
            </w:r>
          </w:p>
        </w:tc>
        <w:tc>
          <w:tcPr>
            <w:tcW w:w="1134" w:type="dxa"/>
            <w:tcBorders>
              <w:left w:val="single" w:color="000000" w:sz="4" w:space="0"/>
              <w:bottom w:val="single" w:color="000000" w:sz="12" w:space="0"/>
            </w:tcBorders>
            <w:vAlign w:val="center"/>
          </w:tcPr>
          <w:p w14:paraId="380FC503">
            <w:pPr>
              <w:jc w:val="center"/>
              <w:rPr>
                <w:rFonts w:ascii="Times New Roman" w:hAnsi="Times New Roman" w:cs="Times New Roman"/>
                <w:sz w:val="21"/>
                <w:szCs w:val="21"/>
              </w:rPr>
            </w:pPr>
            <w:r>
              <w:rPr>
                <w:rFonts w:ascii="Times New Roman" w:hAnsi="Times New Roman" w:cs="Times New Roman"/>
                <w:sz w:val="21"/>
                <w:szCs w:val="21"/>
              </w:rPr>
              <w:t>7.1</w:t>
            </w:r>
          </w:p>
        </w:tc>
        <w:tc>
          <w:tcPr>
            <w:tcW w:w="1134" w:type="dxa"/>
            <w:tcBorders>
              <w:bottom w:val="single" w:color="000000" w:sz="12" w:space="0"/>
            </w:tcBorders>
            <w:vAlign w:val="center"/>
          </w:tcPr>
          <w:p w14:paraId="5005CE91">
            <w:pPr>
              <w:jc w:val="center"/>
              <w:rPr>
                <w:rFonts w:ascii="Times New Roman" w:hAnsi="Times New Roman" w:cs="Times New Roman"/>
                <w:sz w:val="21"/>
                <w:szCs w:val="21"/>
              </w:rPr>
            </w:pPr>
            <w:r>
              <w:rPr>
                <w:rFonts w:ascii="Times New Roman" w:hAnsi="Times New Roman" w:cs="Times New Roman"/>
                <w:sz w:val="21"/>
                <w:szCs w:val="21"/>
              </w:rPr>
              <w:t>5</w:t>
            </w:r>
          </w:p>
        </w:tc>
        <w:tc>
          <w:tcPr>
            <w:tcW w:w="1134" w:type="dxa"/>
            <w:tcBorders>
              <w:bottom w:val="single" w:color="000000" w:sz="12" w:space="0"/>
            </w:tcBorders>
            <w:vAlign w:val="center"/>
          </w:tcPr>
          <w:p w14:paraId="09D27FA6">
            <w:pPr>
              <w:jc w:val="center"/>
              <w:rPr>
                <w:rFonts w:ascii="Times New Roman" w:hAnsi="Times New Roman" w:cs="Times New Roman"/>
                <w:sz w:val="21"/>
                <w:szCs w:val="21"/>
              </w:rPr>
            </w:pPr>
            <w:r>
              <w:rPr>
                <w:rFonts w:ascii="Times New Roman" w:hAnsi="Times New Roman" w:cs="Times New Roman"/>
                <w:sz w:val="21"/>
                <w:szCs w:val="21"/>
              </w:rPr>
              <w:t>0.015</w:t>
            </w:r>
          </w:p>
        </w:tc>
        <w:tc>
          <w:tcPr>
            <w:tcW w:w="1276" w:type="dxa"/>
            <w:tcBorders>
              <w:bottom w:val="single" w:color="000000" w:sz="12" w:space="0"/>
            </w:tcBorders>
            <w:vAlign w:val="center"/>
          </w:tcPr>
          <w:p w14:paraId="6B77B727">
            <w:pPr>
              <w:jc w:val="center"/>
              <w:rPr>
                <w:rFonts w:ascii="Times New Roman" w:hAnsi="Times New Roman" w:cs="Times New Roman"/>
                <w:sz w:val="21"/>
                <w:szCs w:val="21"/>
              </w:rPr>
            </w:pPr>
            <w:r>
              <w:rPr>
                <w:rFonts w:ascii="Times New Roman" w:hAnsi="Times New Roman" w:cs="Times New Roman"/>
                <w:sz w:val="21"/>
                <w:szCs w:val="21"/>
              </w:rPr>
              <w:t>0.015</w:t>
            </w:r>
          </w:p>
        </w:tc>
      </w:tr>
    </w:tbl>
    <w:p w14:paraId="075CC970">
      <w:pPr>
        <w:widowControl w:val="0"/>
        <w:spacing w:line="360" w:lineRule="auto"/>
        <w:jc w:val="both"/>
        <w:rPr>
          <w:rFonts w:ascii="Times New Roman" w:hAnsi="Times New Roman" w:cs="Times New Roman" w:eastAsiaTheme="minorEastAsia"/>
          <w:b/>
          <w:bCs/>
          <w:kern w:val="2"/>
        </w:rPr>
      </w:pPr>
      <w:r>
        <w:rPr>
          <w:rFonts w:ascii="Times New Roman" w:hAnsi="Times New Roman" w:cs="Times New Roman" w:eastAsiaTheme="minorEastAsia"/>
          <w:b/>
          <w:bCs/>
          <w:kern w:val="2"/>
        </w:rPr>
        <w:t>Chemical and structural characterizations</w:t>
      </w:r>
    </w:p>
    <w:p w14:paraId="0DA87E65">
      <w:pPr>
        <w:widowControl w:val="0"/>
        <w:spacing w:line="360" w:lineRule="auto"/>
        <w:ind w:firstLine="120" w:firstLineChars="50"/>
        <w:jc w:val="both"/>
        <w:rPr>
          <w:rFonts w:ascii="Times New Roman" w:hAnsi="Times New Roman" w:cs="Times New Roman" w:eastAsiaTheme="minorEastAsia"/>
          <w:kern w:val="2"/>
        </w:rPr>
      </w:pPr>
      <w:r>
        <w:rPr>
          <w:rFonts w:ascii="Times New Roman" w:hAnsi="Times New Roman" w:cs="Times New Roman" w:eastAsiaTheme="minorEastAsia"/>
          <w:kern w:val="2"/>
        </w:rPr>
        <w:t>Fourier transform infrared spectroscopy (FTIR) is used to analyze molecular composition, functional groups, and chemical bonding within the hydrogel. FTIR spectra of the dry hydrogel samples are recorded using IR Tracer 100. The measured specimens are prepared by the KBr-disk method, and the spectra in the wavenumber range of 4000-400 cm</w:t>
      </w:r>
      <w:r>
        <w:rPr>
          <w:rFonts w:ascii="Times New Roman" w:hAnsi="Times New Roman" w:cs="Times New Roman" w:eastAsiaTheme="minorEastAsia"/>
          <w:kern w:val="2"/>
          <w:vertAlign w:val="superscript"/>
        </w:rPr>
        <w:t>-1</w:t>
      </w:r>
      <w:r>
        <w:rPr>
          <w:rFonts w:ascii="Times New Roman" w:hAnsi="Times New Roman" w:cs="Times New Roman" w:eastAsiaTheme="minorEastAsia"/>
          <w:kern w:val="2"/>
        </w:rPr>
        <w:t xml:space="preserve"> are collected with a resolution of 4 cm</w:t>
      </w:r>
      <w:r>
        <w:rPr>
          <w:rFonts w:ascii="Times New Roman" w:hAnsi="Times New Roman" w:cs="Times New Roman" w:eastAsiaTheme="minorEastAsia"/>
          <w:kern w:val="2"/>
          <w:vertAlign w:val="superscript"/>
        </w:rPr>
        <w:t>-1</w:t>
      </w:r>
      <w:r>
        <w:rPr>
          <w:rFonts w:ascii="Times New Roman" w:hAnsi="Times New Roman" w:cs="Times New Roman" w:eastAsiaTheme="minorEastAsia"/>
          <w:kern w:val="2"/>
        </w:rPr>
        <w:t>. All the experiments are carried out at ambient temperature.</w:t>
      </w:r>
      <w:r>
        <w:rPr>
          <w:rFonts w:hint="eastAsia" w:ascii="Times New Roman" w:hAnsi="Times New Roman" w:cs="Times New Roman" w:eastAsiaTheme="minorEastAsia"/>
          <w:kern w:val="2"/>
        </w:rPr>
        <w:t xml:space="preserve"> </w:t>
      </w:r>
      <w:r>
        <w:rPr>
          <w:rFonts w:ascii="Times New Roman" w:hAnsi="Times New Roman" w:cs="Times New Roman" w:eastAsiaTheme="minorEastAsia"/>
          <w:kern w:val="2"/>
        </w:rPr>
        <w:t>X-ray photoelectron spectroscopy (XPS) is used to provide information on the chemical states of the elements. The hydrogel samples are first vacuum-dried for the XPS using a Thermo Fisher Escalab Xi+. The analysis chamber is maintained at a vacuum level of 3 × 10</w:t>
      </w:r>
      <w:r>
        <w:rPr>
          <w:rFonts w:ascii="Times New Roman" w:hAnsi="Times New Roman" w:cs="Times New Roman" w:eastAsiaTheme="minorEastAsia"/>
          <w:kern w:val="2"/>
          <w:vertAlign w:val="superscript"/>
        </w:rPr>
        <w:t>-9</w:t>
      </w:r>
      <w:r>
        <w:rPr>
          <w:rFonts w:ascii="Times New Roman" w:hAnsi="Times New Roman" w:cs="Times New Roman" w:eastAsiaTheme="minorEastAsia"/>
          <w:kern w:val="2"/>
        </w:rPr>
        <w:t xml:space="preserve"> mbar, and the excitation source is Al Kα radiation (hv = 1486.68 eV). The operating voltage is 15 kV, with a filament current of 10 mA, and signal accumulation is performed over 6 cycles. The pass energy is set to 50 eV, with a step size of 0.05 eV. Charging correction is applied using the C 1s binding energy of 284.80 eV as the reference.</w:t>
      </w:r>
      <w:r>
        <w:rPr>
          <w:rFonts w:hint="eastAsia" w:ascii="Times New Roman" w:hAnsi="Times New Roman" w:cs="Times New Roman" w:eastAsiaTheme="minorEastAsia"/>
          <w:kern w:val="2"/>
        </w:rPr>
        <w:t xml:space="preserve"> </w:t>
      </w:r>
      <w:r>
        <w:rPr>
          <w:rFonts w:ascii="Times New Roman" w:hAnsi="Times New Roman" w:cs="Times New Roman" w:eastAsiaTheme="minorEastAsia"/>
          <w:kern w:val="2"/>
        </w:rPr>
        <w:t xml:space="preserve">Scanning electron microscopy (SEM) is utilized to investigate the surface network structure of the hydrogels. The cross-sectional morphologies of the freeze-dried bulk hydrogel are sputtered with a layer of gold and then observed by ThermoFisher Scientific Apreo 2S+. The accelerating voltage is 5 kV. Thermogravimetric analysis (TGA) is utilized by TG 209 F3 Tarsusto to analyze the mass change of hydrogels at different temperatures, helping to determine their thermal decomposition temperature and stability. </w:t>
      </w:r>
    </w:p>
    <w:p w14:paraId="14059EB8">
      <w:pPr>
        <w:widowControl w:val="0"/>
        <w:spacing w:line="360" w:lineRule="auto"/>
        <w:jc w:val="both"/>
        <w:rPr>
          <w:rFonts w:ascii="Times New Roman" w:hAnsi="Times New Roman" w:cs="Times New Roman" w:eastAsiaTheme="minorEastAsia"/>
          <w:b/>
          <w:bCs/>
          <w:kern w:val="2"/>
        </w:rPr>
      </w:pPr>
      <w:r>
        <w:rPr>
          <w:rFonts w:ascii="Times New Roman" w:hAnsi="Times New Roman" w:cs="Times New Roman" w:eastAsiaTheme="minorEastAsia"/>
          <w:b/>
          <w:bCs/>
          <w:kern w:val="2"/>
        </w:rPr>
        <w:t>Rheological test</w:t>
      </w:r>
    </w:p>
    <w:p w14:paraId="36A6AAE6">
      <w:pPr>
        <w:widowControl w:val="0"/>
        <w:spacing w:line="360" w:lineRule="auto"/>
        <w:ind w:firstLine="240" w:firstLineChars="100"/>
        <w:jc w:val="both"/>
        <w:rPr>
          <w:rFonts w:ascii="Times New Roman" w:hAnsi="Times New Roman" w:cs="Times New Roman" w:eastAsiaTheme="minorEastAsia"/>
          <w:kern w:val="2"/>
        </w:rPr>
      </w:pPr>
      <w:r>
        <w:rPr>
          <w:rFonts w:ascii="Times New Roman" w:hAnsi="Times New Roman" w:cs="Times New Roman" w:eastAsiaTheme="minorEastAsia"/>
          <w:kern w:val="2"/>
        </w:rPr>
        <w:t>Rheological measurements are performed using a HAKKE MARS III to analyze the viscoelastic behavior of the hydrogels. Disc-shaped hydrogel samples are tested at 25 °C using a parallel-plate geometry with a 2 mm gap. The storage modulus (G') and loss modulus (G'') are measured as a function of frequency, ranging from 0.1 to 100 rad/s, at a constant strain amplitude of 1%.</w:t>
      </w:r>
    </w:p>
    <w:p w14:paraId="32F6F9EB">
      <w:pPr>
        <w:widowControl w:val="0"/>
        <w:spacing w:line="360" w:lineRule="auto"/>
        <w:jc w:val="both"/>
        <w:rPr>
          <w:rFonts w:ascii="Times New Roman" w:hAnsi="Times New Roman" w:cs="Times New Roman" w:eastAsiaTheme="minorEastAsia"/>
          <w:b/>
          <w:bCs/>
          <w:kern w:val="2"/>
        </w:rPr>
      </w:pPr>
      <w:r>
        <w:rPr>
          <w:rFonts w:ascii="Times New Roman" w:hAnsi="Times New Roman" w:cs="Times New Roman" w:eastAsiaTheme="minorEastAsia"/>
          <w:b/>
          <w:bCs/>
          <w:kern w:val="2"/>
        </w:rPr>
        <w:t>Mechanical property test</w:t>
      </w:r>
    </w:p>
    <w:p w14:paraId="47DE8755">
      <w:pPr>
        <w:widowControl w:val="0"/>
        <w:spacing w:line="360" w:lineRule="auto"/>
        <w:ind w:firstLine="240" w:firstLineChars="100"/>
        <w:jc w:val="both"/>
        <w:rPr>
          <w:rFonts w:ascii="Times New Roman" w:hAnsi="Times New Roman" w:cs="Times New Roman" w:eastAsiaTheme="minorEastAsia"/>
          <w:kern w:val="2"/>
        </w:rPr>
      </w:pPr>
      <w:r>
        <w:rPr>
          <w:rFonts w:ascii="Times New Roman" w:hAnsi="Times New Roman" w:cs="Times New Roman" w:eastAsiaTheme="minorEastAsia"/>
          <w:kern w:val="2"/>
        </w:rPr>
        <w:t>Dumbbell-shaped hydrogel specimens are fabricated to assess their tensile properties. A universal testing machine (CTS-E05) is utilized to measure the mechanical strength of the hydrogels. Tensile tests are performed at a constant crosshead speed of 20 mm/min, with the tensile strength and tensile strain recorded at the point of fracture. The modulus (stiffness) is determined as the slope of the stress-strain curve at a strain of 5%, while the toughness is calculated as the integral of the stress-strain curve.</w:t>
      </w:r>
    </w:p>
    <w:p w14:paraId="3EFAB559">
      <w:pPr>
        <w:widowControl w:val="0"/>
        <w:spacing w:line="360" w:lineRule="auto"/>
        <w:jc w:val="both"/>
        <w:rPr>
          <w:rFonts w:hint="eastAsia" w:asciiTheme="minorHAnsi" w:hAnsiTheme="minorHAnsi" w:eastAsiaTheme="minorEastAsia" w:cstheme="minorBidi"/>
          <w:b/>
          <w:bCs/>
          <w:kern w:val="2"/>
        </w:rPr>
      </w:pPr>
      <w:r>
        <w:rPr>
          <w:rFonts w:ascii="Times New Roman" w:hAnsi="Times New Roman" w:cs="Times New Roman" w:eastAsiaTheme="minorEastAsia"/>
          <w:b/>
          <w:bCs/>
          <w:kern w:val="2"/>
        </w:rPr>
        <w:t>Swelling kinetic</w:t>
      </w:r>
    </w:p>
    <w:p w14:paraId="330BFFA2">
      <w:pPr>
        <w:widowControl w:val="0"/>
        <w:spacing w:line="360" w:lineRule="auto"/>
        <w:ind w:firstLine="240" w:firstLineChars="100"/>
        <w:jc w:val="both"/>
        <w:rPr>
          <w:rFonts w:ascii="Times New Roman" w:hAnsi="Times New Roman" w:cs="Times New Roman" w:eastAsiaTheme="minorEastAsia"/>
          <w:kern w:val="2"/>
        </w:rPr>
      </w:pPr>
      <w:r>
        <w:rPr>
          <w:rFonts w:ascii="Times New Roman" w:hAnsi="Times New Roman" w:cs="Times New Roman" w:eastAsiaTheme="minorEastAsia"/>
          <w:kern w:val="2"/>
        </w:rPr>
        <w:t>The hydrogel specimens are cut into uniform shape and volume using an 8 mm punch, and then incubated in a specific distilled water or brine solution at different temperatures. The water content (W</w:t>
      </w:r>
      <w:r>
        <w:rPr>
          <w:rFonts w:ascii="Times New Roman" w:hAnsi="Times New Roman" w:cs="Times New Roman" w:eastAsiaTheme="minorEastAsia"/>
          <w:kern w:val="2"/>
          <w:vertAlign w:val="subscript"/>
        </w:rPr>
        <w:t>r</w:t>
      </w:r>
      <w:r>
        <w:rPr>
          <w:rFonts w:ascii="Times New Roman" w:hAnsi="Times New Roman" w:cs="Times New Roman" w:eastAsiaTheme="minorEastAsia"/>
          <w:kern w:val="2"/>
        </w:rPr>
        <w:t>) and the swelling ratio (S</w:t>
      </w:r>
      <w:r>
        <w:rPr>
          <w:rFonts w:ascii="Times New Roman" w:hAnsi="Times New Roman" w:cs="Times New Roman" w:eastAsiaTheme="minorEastAsia"/>
          <w:kern w:val="2"/>
          <w:vertAlign w:val="subscript"/>
        </w:rPr>
        <w:t>r</w:t>
      </w:r>
      <w:r>
        <w:rPr>
          <w:rFonts w:ascii="Times New Roman" w:hAnsi="Times New Roman" w:cs="Times New Roman" w:eastAsiaTheme="minorEastAsia"/>
          <w:kern w:val="2"/>
        </w:rPr>
        <w:t>) are used as measures of swelling kinetics at different time intervals. The W</w:t>
      </w:r>
      <w:r>
        <w:rPr>
          <w:rFonts w:ascii="Times New Roman" w:hAnsi="Times New Roman" w:cs="Times New Roman" w:eastAsiaTheme="minorEastAsia"/>
          <w:kern w:val="2"/>
          <w:vertAlign w:val="subscript"/>
        </w:rPr>
        <w:t>r</w:t>
      </w:r>
      <w:r>
        <w:rPr>
          <w:rFonts w:ascii="Times New Roman" w:hAnsi="Times New Roman" w:cs="Times New Roman" w:eastAsiaTheme="minorEastAsia"/>
          <w:kern w:val="2"/>
        </w:rPr>
        <w:t xml:space="preserve"> and S</w:t>
      </w:r>
      <w:r>
        <w:rPr>
          <w:rFonts w:ascii="Times New Roman" w:hAnsi="Times New Roman" w:cs="Times New Roman" w:eastAsiaTheme="minorEastAsia"/>
          <w:kern w:val="2"/>
          <w:vertAlign w:val="subscript"/>
        </w:rPr>
        <w:t>r</w:t>
      </w:r>
      <w:r>
        <w:rPr>
          <w:rFonts w:ascii="Times New Roman" w:hAnsi="Times New Roman" w:cs="Times New Roman" w:eastAsiaTheme="minorEastAsia"/>
          <w:kern w:val="2"/>
        </w:rPr>
        <w:t xml:space="preserve"> are obtained by the following equation:</w:t>
      </w:r>
    </w:p>
    <w:p w14:paraId="6E5ABDB2">
      <w:pPr>
        <w:widowControl w:val="0"/>
        <w:spacing w:line="360" w:lineRule="auto"/>
        <w:jc w:val="center"/>
        <w:rPr>
          <w:rFonts w:ascii="Times New Roman" w:hAnsi="Times New Roman" w:cs="Times New Roman" w:eastAsiaTheme="minorEastAsia"/>
          <w:kern w:val="2"/>
        </w:rPr>
      </w:pPr>
      <m:oMath>
        <m:sSub>
          <m:sSubPr>
            <m:ctrlPr>
              <w:rPr>
                <w:rFonts w:ascii="Cambria Math" w:hAnsi="Cambria Math" w:cs="Times New Roman" w:eastAsiaTheme="minorEastAsia"/>
                <w:kern w:val="2"/>
              </w:rPr>
            </m:ctrlPr>
          </m:sSubPr>
          <m:e>
            <m:r>
              <m:rPr>
                <m:sty m:val="p"/>
              </m:rPr>
              <w:rPr>
                <w:rFonts w:ascii="Cambria Math" w:hAnsi="Cambria Math" w:cs="Times New Roman" w:eastAsiaTheme="minorEastAsia"/>
                <w:kern w:val="2"/>
              </w:rPr>
              <m:t>W</m:t>
            </m:r>
            <m:ctrlPr>
              <w:rPr>
                <w:rFonts w:ascii="Cambria Math" w:hAnsi="Cambria Math" w:cs="Times New Roman" w:eastAsiaTheme="minorEastAsia"/>
                <w:kern w:val="2"/>
              </w:rPr>
            </m:ctrlPr>
          </m:e>
          <m:sub>
            <m:r>
              <m:rPr/>
              <w:rPr>
                <w:rFonts w:ascii="Cambria Math" w:hAnsi="Cambria Math" w:cs="Times New Roman" w:eastAsiaTheme="minorEastAsia"/>
                <w:kern w:val="2"/>
              </w:rPr>
              <m:t>r</m:t>
            </m:r>
            <m:ctrlPr>
              <w:rPr>
                <w:rFonts w:ascii="Cambria Math" w:hAnsi="Cambria Math" w:cs="Times New Roman" w:eastAsiaTheme="minorEastAsia"/>
                <w:kern w:val="2"/>
              </w:rPr>
            </m:ctrlPr>
          </m:sub>
        </m:sSub>
        <m:r>
          <m:rPr>
            <m:sty m:val="p"/>
          </m:rPr>
          <w:rPr>
            <w:rFonts w:ascii="Cambria Math" w:hAnsi="Times New Roman" w:cs="Times New Roman" w:eastAsiaTheme="minorEastAsia"/>
            <w:kern w:val="2"/>
          </w:rPr>
          <m:t>=</m:t>
        </m:r>
        <m:f>
          <m:fPr>
            <m:ctrlPr>
              <w:rPr>
                <w:rFonts w:ascii="Cambria Math" w:hAnsi="Cambria Math" w:cs="Times New Roman" w:eastAsiaTheme="minorEastAsia"/>
                <w:kern w:val="2"/>
              </w:rPr>
            </m:ctrlPr>
          </m:fPr>
          <m:num>
            <m:sSub>
              <m:sSubPr>
                <m:ctrlPr>
                  <w:rPr>
                    <w:rFonts w:ascii="Cambria Math" w:hAnsi="Cambria Math" w:cs="Times New Roman" w:eastAsiaTheme="minorEastAsia"/>
                    <w:i/>
                    <w:kern w:val="2"/>
                  </w:rPr>
                </m:ctrlPr>
              </m:sSubPr>
              <m:e>
                <m:r>
                  <m:rPr/>
                  <w:rPr>
                    <w:rFonts w:ascii="Cambria Math" w:hAnsi="Cambria Math" w:cs="Times New Roman" w:eastAsiaTheme="minorEastAsia"/>
                    <w:kern w:val="2"/>
                  </w:rPr>
                  <m:t>M</m:t>
                </m:r>
                <m:ctrlPr>
                  <w:rPr>
                    <w:rFonts w:ascii="Cambria Math" w:hAnsi="Cambria Math" w:cs="Times New Roman" w:eastAsiaTheme="minorEastAsia"/>
                    <w:i/>
                    <w:kern w:val="2"/>
                  </w:rPr>
                </m:ctrlPr>
              </m:e>
              <m:sub>
                <m:r>
                  <m:rPr/>
                  <w:rPr>
                    <w:rFonts w:ascii="Cambria Math" w:hAnsi="Cambria Math" w:cs="Times New Roman" w:eastAsiaTheme="minorEastAsia"/>
                    <w:kern w:val="2"/>
                  </w:rPr>
                  <m:t>t</m:t>
                </m:r>
                <m:ctrlPr>
                  <w:rPr>
                    <w:rFonts w:ascii="Cambria Math" w:hAnsi="Cambria Math" w:cs="Times New Roman" w:eastAsiaTheme="minorEastAsia"/>
                    <w:i/>
                    <w:kern w:val="2"/>
                  </w:rPr>
                </m:ctrlPr>
              </m:sub>
            </m:sSub>
            <m:r>
              <m:rPr/>
              <w:rPr>
                <w:rFonts w:ascii="Cambria Math" w:hAnsi="Cambria Math" w:cs="Times New Roman" w:eastAsiaTheme="minorEastAsia"/>
                <w:kern w:val="2"/>
              </w:rPr>
              <m:t>−</m:t>
            </m:r>
            <m:sSub>
              <m:sSubPr>
                <m:ctrlPr>
                  <w:rPr>
                    <w:rFonts w:ascii="Cambria Math" w:hAnsi="Cambria Math" w:cs="Times New Roman" w:eastAsiaTheme="minorEastAsia"/>
                    <w:i/>
                    <w:kern w:val="2"/>
                  </w:rPr>
                </m:ctrlPr>
              </m:sSubPr>
              <m:e>
                <m:r>
                  <m:rPr/>
                  <w:rPr>
                    <w:rFonts w:ascii="Cambria Math" w:hAnsi="Cambria Math" w:cs="Times New Roman" w:eastAsiaTheme="minorEastAsia"/>
                    <w:kern w:val="2"/>
                  </w:rPr>
                  <m:t>M</m:t>
                </m:r>
                <m:ctrlPr>
                  <w:rPr>
                    <w:rFonts w:ascii="Cambria Math" w:hAnsi="Cambria Math" w:cs="Times New Roman" w:eastAsiaTheme="minorEastAsia"/>
                    <w:i/>
                    <w:kern w:val="2"/>
                  </w:rPr>
                </m:ctrlPr>
              </m:e>
              <m:sub>
                <m:r>
                  <m:rPr/>
                  <w:rPr>
                    <w:rFonts w:ascii="Cambria Math" w:hAnsi="Cambria Math" w:cs="Times New Roman" w:eastAsiaTheme="minorEastAsia"/>
                    <w:kern w:val="2"/>
                  </w:rPr>
                  <m:t>0</m:t>
                </m:r>
                <m:ctrlPr>
                  <w:rPr>
                    <w:rFonts w:ascii="Cambria Math" w:hAnsi="Cambria Math" w:cs="Times New Roman" w:eastAsiaTheme="minorEastAsia"/>
                    <w:i/>
                    <w:kern w:val="2"/>
                  </w:rPr>
                </m:ctrlPr>
              </m:sub>
            </m:sSub>
            <m:ctrlPr>
              <w:rPr>
                <w:rFonts w:ascii="Cambria Math" w:hAnsi="Cambria Math" w:cs="Times New Roman" w:eastAsiaTheme="minorEastAsia"/>
                <w:kern w:val="2"/>
              </w:rPr>
            </m:ctrlPr>
          </m:num>
          <m:den>
            <m:sSub>
              <m:sSubPr>
                <m:ctrlPr>
                  <w:rPr>
                    <w:rFonts w:ascii="Cambria Math" w:hAnsi="Cambria Math" w:cs="Times New Roman" w:eastAsiaTheme="minorEastAsia"/>
                    <w:i/>
                    <w:kern w:val="2"/>
                  </w:rPr>
                </m:ctrlPr>
              </m:sSubPr>
              <m:e>
                <m:r>
                  <m:rPr/>
                  <w:rPr>
                    <w:rFonts w:ascii="Cambria Math" w:hAnsi="Cambria Math" w:cs="Times New Roman" w:eastAsiaTheme="minorEastAsia"/>
                    <w:kern w:val="2"/>
                  </w:rPr>
                  <m:t>M</m:t>
                </m:r>
                <m:ctrlPr>
                  <w:rPr>
                    <w:rFonts w:ascii="Cambria Math" w:hAnsi="Cambria Math" w:cs="Times New Roman" w:eastAsiaTheme="minorEastAsia"/>
                    <w:i/>
                    <w:kern w:val="2"/>
                  </w:rPr>
                </m:ctrlPr>
              </m:e>
              <m:sub>
                <m:r>
                  <m:rPr/>
                  <w:rPr>
                    <w:rFonts w:ascii="Cambria Math" w:hAnsi="Cambria Math" w:cs="Times New Roman" w:eastAsiaTheme="minorEastAsia"/>
                    <w:kern w:val="2"/>
                  </w:rPr>
                  <m:t>0</m:t>
                </m:r>
                <m:ctrlPr>
                  <w:rPr>
                    <w:rFonts w:ascii="Cambria Math" w:hAnsi="Cambria Math" w:cs="Times New Roman" w:eastAsiaTheme="minorEastAsia"/>
                    <w:i/>
                    <w:kern w:val="2"/>
                  </w:rPr>
                </m:ctrlPr>
              </m:sub>
            </m:sSub>
            <m:ctrlPr>
              <w:rPr>
                <w:rFonts w:ascii="Cambria Math" w:hAnsi="Cambria Math" w:cs="Times New Roman" w:eastAsiaTheme="minorEastAsia"/>
                <w:kern w:val="2"/>
              </w:rPr>
            </m:ctrlPr>
          </m:den>
        </m:f>
      </m:oMath>
      <w:r>
        <w:rPr>
          <w:rFonts w:hint="eastAsia" w:ascii="Times New Roman" w:hAnsi="Times New Roman" w:cs="Times New Roman" w:eastAsiaTheme="minorEastAsia"/>
          <w:kern w:val="2"/>
        </w:rPr>
        <w:t xml:space="preserve">    (Q1)</w:t>
      </w:r>
    </w:p>
    <w:p w14:paraId="2A2C3952">
      <w:pPr>
        <w:widowControl w:val="0"/>
        <w:spacing w:line="360" w:lineRule="auto"/>
        <w:jc w:val="center"/>
        <w:rPr>
          <w:rFonts w:ascii="Times New Roman" w:hAnsi="Times New Roman" w:cs="Times New Roman" w:eastAsiaTheme="minorEastAsia"/>
          <w:kern w:val="2"/>
        </w:rPr>
      </w:pPr>
      <m:oMath>
        <m:sSub>
          <m:sSubPr>
            <m:ctrlPr>
              <w:rPr>
                <w:rFonts w:ascii="Cambria Math" w:hAnsi="Cambria Math" w:cs="Times New Roman" w:eastAsiaTheme="minorEastAsia"/>
                <w:kern w:val="2"/>
              </w:rPr>
            </m:ctrlPr>
          </m:sSubPr>
          <m:e>
            <m:r>
              <m:rPr>
                <m:sty m:val="p"/>
              </m:rPr>
              <w:rPr>
                <w:rFonts w:ascii="Cambria Math" w:hAnsi="Cambria Math" w:cs="Times New Roman" w:eastAsiaTheme="minorEastAsia"/>
                <w:kern w:val="2"/>
              </w:rPr>
              <m:t>S</m:t>
            </m:r>
            <m:ctrlPr>
              <w:rPr>
                <w:rFonts w:ascii="Cambria Math" w:hAnsi="Cambria Math" w:cs="Times New Roman" w:eastAsiaTheme="minorEastAsia"/>
                <w:kern w:val="2"/>
              </w:rPr>
            </m:ctrlPr>
          </m:e>
          <m:sub>
            <m:r>
              <m:rPr/>
              <w:rPr>
                <w:rFonts w:ascii="Cambria Math" w:hAnsi="Cambria Math" w:cs="Times New Roman" w:eastAsiaTheme="minorEastAsia"/>
                <w:kern w:val="2"/>
              </w:rPr>
              <m:t>r</m:t>
            </m:r>
            <m:ctrlPr>
              <w:rPr>
                <w:rFonts w:ascii="Cambria Math" w:hAnsi="Cambria Math" w:cs="Times New Roman" w:eastAsiaTheme="minorEastAsia"/>
                <w:kern w:val="2"/>
              </w:rPr>
            </m:ctrlPr>
          </m:sub>
        </m:sSub>
        <m:r>
          <m:rPr>
            <m:sty m:val="p"/>
          </m:rPr>
          <w:rPr>
            <w:rFonts w:ascii="Cambria Math" w:hAnsi="Times New Roman" w:cs="Times New Roman" w:eastAsiaTheme="minorEastAsia"/>
            <w:kern w:val="2"/>
          </w:rPr>
          <m:t>=</m:t>
        </m:r>
        <m:f>
          <m:fPr>
            <m:ctrlPr>
              <w:rPr>
                <w:rFonts w:ascii="Cambria Math" w:hAnsi="Cambria Math" w:cs="Times New Roman" w:eastAsiaTheme="minorEastAsia"/>
                <w:kern w:val="2"/>
              </w:rPr>
            </m:ctrlPr>
          </m:fPr>
          <m:num>
            <m:sSub>
              <m:sSubPr>
                <m:ctrlPr>
                  <w:rPr>
                    <w:rFonts w:ascii="Cambria Math" w:hAnsi="Cambria Math" w:cs="Times New Roman" w:eastAsiaTheme="minorEastAsia"/>
                    <w:i/>
                    <w:kern w:val="2"/>
                  </w:rPr>
                </m:ctrlPr>
              </m:sSubPr>
              <m:e>
                <m:r>
                  <m:rPr/>
                  <w:rPr>
                    <w:rFonts w:ascii="Cambria Math" w:hAnsi="Cambria Math" w:cs="Times New Roman" w:eastAsiaTheme="minorEastAsia"/>
                    <w:kern w:val="2"/>
                  </w:rPr>
                  <m:t>V</m:t>
                </m:r>
                <m:ctrlPr>
                  <w:rPr>
                    <w:rFonts w:ascii="Cambria Math" w:hAnsi="Cambria Math" w:cs="Times New Roman" w:eastAsiaTheme="minorEastAsia"/>
                    <w:i/>
                    <w:kern w:val="2"/>
                  </w:rPr>
                </m:ctrlPr>
              </m:e>
              <m:sub>
                <m:r>
                  <m:rPr/>
                  <w:rPr>
                    <w:rFonts w:ascii="Cambria Math" w:hAnsi="Cambria Math" w:cs="Times New Roman" w:eastAsiaTheme="minorEastAsia"/>
                    <w:kern w:val="2"/>
                  </w:rPr>
                  <m:t>t</m:t>
                </m:r>
                <m:ctrlPr>
                  <w:rPr>
                    <w:rFonts w:ascii="Cambria Math" w:hAnsi="Cambria Math" w:cs="Times New Roman" w:eastAsiaTheme="minorEastAsia"/>
                    <w:i/>
                    <w:kern w:val="2"/>
                  </w:rPr>
                </m:ctrlPr>
              </m:sub>
            </m:sSub>
            <m:r>
              <m:rPr/>
              <w:rPr>
                <w:rFonts w:ascii="Cambria Math" w:hAnsi="Cambria Math" w:cs="Times New Roman" w:eastAsiaTheme="minorEastAsia"/>
                <w:kern w:val="2"/>
              </w:rPr>
              <m:t>−</m:t>
            </m:r>
            <m:sSub>
              <m:sSubPr>
                <m:ctrlPr>
                  <w:rPr>
                    <w:rFonts w:ascii="Cambria Math" w:hAnsi="Cambria Math" w:cs="Times New Roman" w:eastAsiaTheme="minorEastAsia"/>
                    <w:i/>
                    <w:kern w:val="2"/>
                  </w:rPr>
                </m:ctrlPr>
              </m:sSubPr>
              <m:e>
                <m:r>
                  <m:rPr/>
                  <w:rPr>
                    <w:rFonts w:ascii="Cambria Math" w:hAnsi="Cambria Math" w:cs="Times New Roman" w:eastAsiaTheme="minorEastAsia"/>
                    <w:kern w:val="2"/>
                  </w:rPr>
                  <m:t>V</m:t>
                </m:r>
                <m:ctrlPr>
                  <w:rPr>
                    <w:rFonts w:ascii="Cambria Math" w:hAnsi="Cambria Math" w:cs="Times New Roman" w:eastAsiaTheme="minorEastAsia"/>
                    <w:i/>
                    <w:kern w:val="2"/>
                  </w:rPr>
                </m:ctrlPr>
              </m:e>
              <m:sub>
                <m:r>
                  <m:rPr/>
                  <w:rPr>
                    <w:rFonts w:ascii="Cambria Math" w:hAnsi="Cambria Math" w:cs="Times New Roman" w:eastAsiaTheme="minorEastAsia"/>
                    <w:kern w:val="2"/>
                  </w:rPr>
                  <m:t>0</m:t>
                </m:r>
                <m:ctrlPr>
                  <w:rPr>
                    <w:rFonts w:ascii="Cambria Math" w:hAnsi="Cambria Math" w:cs="Times New Roman" w:eastAsiaTheme="minorEastAsia"/>
                    <w:i/>
                    <w:kern w:val="2"/>
                  </w:rPr>
                </m:ctrlPr>
              </m:sub>
            </m:sSub>
            <m:ctrlPr>
              <w:rPr>
                <w:rFonts w:ascii="Cambria Math" w:hAnsi="Cambria Math" w:cs="Times New Roman" w:eastAsiaTheme="minorEastAsia"/>
                <w:kern w:val="2"/>
              </w:rPr>
            </m:ctrlPr>
          </m:num>
          <m:den>
            <m:sSub>
              <m:sSubPr>
                <m:ctrlPr>
                  <w:rPr>
                    <w:rFonts w:ascii="Cambria Math" w:hAnsi="Cambria Math" w:cs="Times New Roman" w:eastAsiaTheme="minorEastAsia"/>
                    <w:i/>
                    <w:kern w:val="2"/>
                  </w:rPr>
                </m:ctrlPr>
              </m:sSubPr>
              <m:e>
                <m:r>
                  <m:rPr/>
                  <w:rPr>
                    <w:rFonts w:ascii="Cambria Math" w:hAnsi="Cambria Math" w:cs="Times New Roman" w:eastAsiaTheme="minorEastAsia"/>
                    <w:kern w:val="2"/>
                  </w:rPr>
                  <m:t>V</m:t>
                </m:r>
                <m:ctrlPr>
                  <w:rPr>
                    <w:rFonts w:ascii="Cambria Math" w:hAnsi="Cambria Math" w:cs="Times New Roman" w:eastAsiaTheme="minorEastAsia"/>
                    <w:i/>
                    <w:kern w:val="2"/>
                  </w:rPr>
                </m:ctrlPr>
              </m:e>
              <m:sub>
                <m:r>
                  <m:rPr/>
                  <w:rPr>
                    <w:rFonts w:ascii="Cambria Math" w:hAnsi="Cambria Math" w:cs="Times New Roman" w:eastAsiaTheme="minorEastAsia"/>
                    <w:kern w:val="2"/>
                  </w:rPr>
                  <m:t>0</m:t>
                </m:r>
                <m:ctrlPr>
                  <w:rPr>
                    <w:rFonts w:ascii="Cambria Math" w:hAnsi="Cambria Math" w:cs="Times New Roman" w:eastAsiaTheme="minorEastAsia"/>
                    <w:i/>
                    <w:kern w:val="2"/>
                  </w:rPr>
                </m:ctrlPr>
              </m:sub>
            </m:sSub>
            <m:ctrlPr>
              <w:rPr>
                <w:rFonts w:ascii="Cambria Math" w:hAnsi="Cambria Math" w:cs="Times New Roman" w:eastAsiaTheme="minorEastAsia"/>
                <w:kern w:val="2"/>
              </w:rPr>
            </m:ctrlPr>
          </m:den>
        </m:f>
      </m:oMath>
      <w:r>
        <w:rPr>
          <w:rFonts w:hint="eastAsia" w:ascii="Times New Roman" w:hAnsi="Times New Roman" w:cs="Times New Roman" w:eastAsiaTheme="minorEastAsia"/>
          <w:kern w:val="2"/>
        </w:rPr>
        <w:t xml:space="preserve">   (Q2)</w:t>
      </w:r>
    </w:p>
    <w:p w14:paraId="7D9FC8BD">
      <w:pPr>
        <w:widowControl w:val="0"/>
        <w:spacing w:line="360" w:lineRule="auto"/>
        <w:jc w:val="both"/>
        <w:rPr>
          <w:rFonts w:ascii="Times New Roman" w:hAnsi="Times New Roman" w:cs="Times New Roman" w:eastAsiaTheme="minorEastAsia"/>
          <w:kern w:val="2"/>
        </w:rPr>
      </w:pPr>
      <w:r>
        <w:rPr>
          <w:rFonts w:ascii="Times New Roman" w:hAnsi="Times New Roman" w:cs="Times New Roman" w:eastAsiaTheme="minorEastAsia"/>
          <w:kern w:val="2"/>
        </w:rPr>
        <w:t>M</w:t>
      </w:r>
      <w:r>
        <w:rPr>
          <w:rFonts w:ascii="Times New Roman" w:hAnsi="Times New Roman" w:cs="Times New Roman" w:eastAsiaTheme="minorEastAsia"/>
          <w:kern w:val="2"/>
          <w:vertAlign w:val="subscript"/>
        </w:rPr>
        <w:t>0</w:t>
      </w:r>
      <w:r>
        <w:rPr>
          <w:rFonts w:ascii="Times New Roman" w:hAnsi="Times New Roman" w:cs="Times New Roman" w:eastAsiaTheme="minorEastAsia"/>
          <w:kern w:val="2"/>
        </w:rPr>
        <w:t xml:space="preserve"> is the initial mass of the dried samples; M</w:t>
      </w:r>
      <w:r>
        <w:rPr>
          <w:rFonts w:ascii="Times New Roman" w:hAnsi="Times New Roman" w:cs="Times New Roman" w:eastAsiaTheme="minorEastAsia"/>
          <w:kern w:val="2"/>
          <w:vertAlign w:val="subscript"/>
        </w:rPr>
        <w:t>t</w:t>
      </w:r>
      <w:r>
        <w:rPr>
          <w:rFonts w:ascii="Times New Roman" w:hAnsi="Times New Roman" w:cs="Times New Roman" w:eastAsiaTheme="minorEastAsia"/>
          <w:kern w:val="2"/>
        </w:rPr>
        <w:t xml:space="preserve"> is the mass of the swollen hydrogels at different time intervals; V</w:t>
      </w:r>
      <w:r>
        <w:rPr>
          <w:rFonts w:ascii="Times New Roman" w:hAnsi="Times New Roman" w:cs="Times New Roman" w:eastAsiaTheme="minorEastAsia"/>
          <w:kern w:val="2"/>
          <w:vertAlign w:val="subscript"/>
        </w:rPr>
        <w:t xml:space="preserve">0 </w:t>
      </w:r>
      <w:r>
        <w:rPr>
          <w:rFonts w:ascii="Times New Roman" w:hAnsi="Times New Roman" w:cs="Times New Roman" w:eastAsiaTheme="minorEastAsia"/>
          <w:kern w:val="2"/>
        </w:rPr>
        <w:t>is the initial volume of the dried samples; M</w:t>
      </w:r>
      <w:r>
        <w:rPr>
          <w:rFonts w:ascii="Times New Roman" w:hAnsi="Times New Roman" w:cs="Times New Roman" w:eastAsiaTheme="minorEastAsia"/>
          <w:kern w:val="2"/>
          <w:vertAlign w:val="subscript"/>
        </w:rPr>
        <w:t>t</w:t>
      </w:r>
      <w:r>
        <w:rPr>
          <w:rFonts w:ascii="Times New Roman" w:hAnsi="Times New Roman" w:cs="Times New Roman" w:eastAsiaTheme="minorEastAsia"/>
          <w:kern w:val="2"/>
        </w:rPr>
        <w:t xml:space="preserve"> is the volume of the swollen hydrogels at different time intervals.</w:t>
      </w:r>
    </w:p>
    <w:p w14:paraId="75E50593">
      <w:pPr>
        <w:widowControl w:val="0"/>
        <w:spacing w:line="360" w:lineRule="auto"/>
        <w:jc w:val="both"/>
        <w:rPr>
          <w:rFonts w:ascii="Times New Roman" w:hAnsi="Times New Roman" w:cs="Times New Roman" w:eastAsiaTheme="minorEastAsia"/>
          <w:b/>
          <w:bCs/>
          <w:kern w:val="2"/>
        </w:rPr>
      </w:pPr>
      <w:r>
        <w:rPr>
          <w:rFonts w:ascii="Times New Roman" w:hAnsi="Times New Roman" w:cs="Times New Roman" w:eastAsiaTheme="minorEastAsia"/>
          <w:b/>
          <w:bCs/>
          <w:kern w:val="2"/>
        </w:rPr>
        <w:t xml:space="preserve">Degradation kinetics </w:t>
      </w:r>
    </w:p>
    <w:p w14:paraId="6E13CF9C">
      <w:pPr>
        <w:widowControl w:val="0"/>
        <w:spacing w:line="360" w:lineRule="auto"/>
        <w:ind w:firstLine="240" w:firstLineChars="100"/>
        <w:jc w:val="both"/>
        <w:rPr>
          <w:rFonts w:ascii="Times New Roman" w:hAnsi="Times New Roman" w:cs="Times New Roman" w:eastAsiaTheme="minorEastAsia"/>
          <w:kern w:val="2"/>
        </w:rPr>
      </w:pPr>
      <w:r>
        <w:rPr>
          <w:rFonts w:ascii="Times New Roman" w:hAnsi="Times New Roman" w:cs="Times New Roman" w:eastAsiaTheme="minorEastAsia"/>
          <w:kern w:val="2"/>
        </w:rPr>
        <w:t xml:space="preserve">The hydrogel specimens are cut into uniform shapes and volumes using an 8 mm punch and then incubated in either distilled water or a specific brine solution until they reach full swelling. The G', G'', and the </w:t>
      </w:r>
      <w:r>
        <w:rPr>
          <w:rFonts w:hint="eastAsia" w:ascii="Times New Roman" w:hAnsi="Times New Roman" w:cs="Times New Roman" w:eastAsiaTheme="minorEastAsia"/>
          <w:kern w:val="2"/>
        </w:rPr>
        <w:t>remained</w:t>
      </w:r>
      <w:r>
        <w:rPr>
          <w:rFonts w:ascii="Times New Roman" w:hAnsi="Times New Roman" w:cs="Times New Roman" w:eastAsiaTheme="minorEastAsia"/>
          <w:kern w:val="2"/>
        </w:rPr>
        <w:t xml:space="preserve"> mass fraction (</w:t>
      </w:r>
      <w:bookmarkStart w:id="6" w:name="OLE_LINK3"/>
      <w:r>
        <w:rPr>
          <w:rFonts w:ascii="Times New Roman" w:hAnsi="Times New Roman" w:cs="Times New Roman" w:eastAsiaTheme="minorEastAsia"/>
          <w:kern w:val="2"/>
        </w:rPr>
        <w:t>F</w:t>
      </w:r>
      <w:r>
        <w:rPr>
          <w:rFonts w:ascii="Times New Roman" w:hAnsi="Times New Roman" w:cs="Times New Roman" w:eastAsiaTheme="minorEastAsia"/>
          <w:kern w:val="2"/>
          <w:vertAlign w:val="subscript"/>
        </w:rPr>
        <w:t>r</w:t>
      </w:r>
      <w:r>
        <w:rPr>
          <w:rFonts w:ascii="Times New Roman" w:hAnsi="Times New Roman" w:cs="Times New Roman" w:eastAsiaTheme="minorEastAsia"/>
          <w:kern w:val="2"/>
        </w:rPr>
        <w:t>)</w:t>
      </w:r>
      <w:bookmarkEnd w:id="6"/>
      <w:r>
        <w:rPr>
          <w:rFonts w:ascii="Times New Roman" w:hAnsi="Times New Roman" w:cs="Times New Roman" w:eastAsiaTheme="minorEastAsia"/>
          <w:kern w:val="2"/>
        </w:rPr>
        <w:t xml:space="preserve"> are used as measures to evaluate the degradation efficiency at each time point. The F</w:t>
      </w:r>
      <w:r>
        <w:rPr>
          <w:rFonts w:ascii="Times New Roman" w:hAnsi="Times New Roman" w:cs="Times New Roman" w:eastAsiaTheme="minorEastAsia"/>
          <w:kern w:val="2"/>
          <w:vertAlign w:val="subscript"/>
        </w:rPr>
        <w:t>r</w:t>
      </w:r>
      <w:r>
        <w:rPr>
          <w:rFonts w:ascii="Times New Roman" w:hAnsi="Times New Roman" w:cs="Times New Roman" w:eastAsiaTheme="minorEastAsia"/>
          <w:kern w:val="2"/>
        </w:rPr>
        <w:t xml:space="preserve"> is obtained by the following equation:</w:t>
      </w:r>
    </w:p>
    <w:p w14:paraId="09109394">
      <w:pPr>
        <w:widowControl w:val="0"/>
        <w:spacing w:line="360" w:lineRule="auto"/>
        <w:jc w:val="center"/>
        <w:rPr>
          <w:rFonts w:ascii="Times New Roman" w:hAnsi="Times New Roman" w:cs="Times New Roman" w:eastAsiaTheme="minorEastAsia"/>
          <w:kern w:val="2"/>
        </w:rPr>
      </w:pPr>
      <m:oMath>
        <m:sSub>
          <m:sSubPr>
            <m:ctrlPr>
              <w:rPr>
                <w:rFonts w:ascii="Cambria Math" w:hAnsi="Cambria Math" w:cs="Times New Roman" w:eastAsiaTheme="minorEastAsia"/>
                <w:kern w:val="2"/>
              </w:rPr>
            </m:ctrlPr>
          </m:sSubPr>
          <m:e>
            <m:r>
              <m:rPr>
                <m:sty m:val="p"/>
              </m:rPr>
              <w:rPr>
                <w:rFonts w:ascii="Cambria Math" w:hAnsi="Cambria Math" w:cs="Times New Roman" w:eastAsiaTheme="minorEastAsia"/>
                <w:kern w:val="2"/>
              </w:rPr>
              <m:t>F</m:t>
            </m:r>
            <m:ctrlPr>
              <w:rPr>
                <w:rFonts w:ascii="Cambria Math" w:hAnsi="Cambria Math" w:cs="Times New Roman" w:eastAsiaTheme="minorEastAsia"/>
                <w:kern w:val="2"/>
              </w:rPr>
            </m:ctrlPr>
          </m:e>
          <m:sub>
            <m:r>
              <m:rPr/>
              <w:rPr>
                <w:rFonts w:ascii="Cambria Math" w:hAnsi="Cambria Math" w:cs="Times New Roman" w:eastAsiaTheme="minorEastAsia"/>
                <w:kern w:val="2"/>
              </w:rPr>
              <m:t>r</m:t>
            </m:r>
            <m:ctrlPr>
              <w:rPr>
                <w:rFonts w:ascii="Cambria Math" w:hAnsi="Cambria Math" w:cs="Times New Roman" w:eastAsiaTheme="minorEastAsia"/>
                <w:kern w:val="2"/>
              </w:rPr>
            </m:ctrlPr>
          </m:sub>
        </m:sSub>
        <m:r>
          <m:rPr>
            <m:sty m:val="p"/>
          </m:rPr>
          <w:rPr>
            <w:rFonts w:ascii="Cambria Math" w:hAnsi="Times New Roman" w:cs="Times New Roman" w:eastAsiaTheme="minorEastAsia"/>
            <w:kern w:val="2"/>
          </w:rPr>
          <m:t>=</m:t>
        </m:r>
        <m:f>
          <m:fPr>
            <m:ctrlPr>
              <w:rPr>
                <w:rFonts w:ascii="Cambria Math" w:hAnsi="Cambria Math" w:cs="Times New Roman" w:eastAsiaTheme="minorEastAsia"/>
                <w:kern w:val="2"/>
              </w:rPr>
            </m:ctrlPr>
          </m:fPr>
          <m:num>
            <m:sSub>
              <m:sSubPr>
                <m:ctrlPr>
                  <w:rPr>
                    <w:rFonts w:ascii="Cambria Math" w:hAnsi="Cambria Math" w:cs="Times New Roman" w:eastAsiaTheme="minorEastAsia"/>
                    <w:i/>
                    <w:kern w:val="2"/>
                  </w:rPr>
                </m:ctrlPr>
              </m:sSubPr>
              <m:e>
                <m:r>
                  <m:rPr/>
                  <w:rPr>
                    <w:rFonts w:ascii="Cambria Math" w:hAnsi="Cambria Math" w:cs="Times New Roman" w:eastAsiaTheme="minorEastAsia"/>
                    <w:kern w:val="2"/>
                  </w:rPr>
                  <m:t>F</m:t>
                </m:r>
                <m:ctrlPr>
                  <w:rPr>
                    <w:rFonts w:ascii="Cambria Math" w:hAnsi="Cambria Math" w:cs="Times New Roman" w:eastAsiaTheme="minorEastAsia"/>
                    <w:i/>
                    <w:kern w:val="2"/>
                  </w:rPr>
                </m:ctrlPr>
              </m:e>
              <m:sub>
                <m:r>
                  <m:rPr/>
                  <w:rPr>
                    <w:rFonts w:ascii="Cambria Math" w:hAnsi="Cambria Math" w:cs="Times New Roman" w:eastAsiaTheme="minorEastAsia"/>
                    <w:kern w:val="2"/>
                  </w:rPr>
                  <m:t>t</m:t>
                </m:r>
                <m:ctrlPr>
                  <w:rPr>
                    <w:rFonts w:ascii="Cambria Math" w:hAnsi="Cambria Math" w:cs="Times New Roman" w:eastAsiaTheme="minorEastAsia"/>
                    <w:i/>
                    <w:kern w:val="2"/>
                  </w:rPr>
                </m:ctrlPr>
              </m:sub>
            </m:sSub>
            <m:ctrlPr>
              <w:rPr>
                <w:rFonts w:ascii="Cambria Math" w:hAnsi="Cambria Math" w:cs="Times New Roman" w:eastAsiaTheme="minorEastAsia"/>
                <w:kern w:val="2"/>
              </w:rPr>
            </m:ctrlPr>
          </m:num>
          <m:den>
            <m:sSub>
              <m:sSubPr>
                <m:ctrlPr>
                  <w:rPr>
                    <w:rFonts w:ascii="Cambria Math" w:hAnsi="Cambria Math" w:cs="Times New Roman" w:eastAsiaTheme="minorEastAsia"/>
                    <w:i/>
                    <w:kern w:val="2"/>
                  </w:rPr>
                </m:ctrlPr>
              </m:sSubPr>
              <m:e>
                <m:r>
                  <m:rPr/>
                  <w:rPr>
                    <w:rFonts w:ascii="Cambria Math" w:hAnsi="Cambria Math" w:cs="Times New Roman" w:eastAsiaTheme="minorEastAsia"/>
                    <w:kern w:val="2"/>
                  </w:rPr>
                  <m:t>F</m:t>
                </m:r>
                <m:ctrlPr>
                  <w:rPr>
                    <w:rFonts w:ascii="Cambria Math" w:hAnsi="Cambria Math" w:cs="Times New Roman" w:eastAsiaTheme="minorEastAsia"/>
                    <w:i/>
                    <w:kern w:val="2"/>
                  </w:rPr>
                </m:ctrlPr>
              </m:e>
              <m:sub>
                <m:r>
                  <m:rPr/>
                  <w:rPr>
                    <w:rFonts w:ascii="Cambria Math" w:hAnsi="Cambria Math" w:cs="Times New Roman" w:eastAsiaTheme="minorEastAsia"/>
                    <w:kern w:val="2"/>
                  </w:rPr>
                  <m:t>0</m:t>
                </m:r>
                <m:ctrlPr>
                  <w:rPr>
                    <w:rFonts w:ascii="Cambria Math" w:hAnsi="Cambria Math" w:cs="Times New Roman" w:eastAsiaTheme="minorEastAsia"/>
                    <w:i/>
                    <w:kern w:val="2"/>
                  </w:rPr>
                </m:ctrlPr>
              </m:sub>
            </m:sSub>
            <m:ctrlPr>
              <w:rPr>
                <w:rFonts w:ascii="Cambria Math" w:hAnsi="Cambria Math" w:cs="Times New Roman" w:eastAsiaTheme="minorEastAsia"/>
                <w:kern w:val="2"/>
              </w:rPr>
            </m:ctrlPr>
          </m:den>
        </m:f>
        <m:r>
          <m:rPr/>
          <w:rPr>
            <w:rFonts w:ascii="Cambria Math" w:hAnsi="Cambria Math" w:cs="Times New Roman" w:eastAsiaTheme="minorEastAsia"/>
            <w:kern w:val="2"/>
          </w:rPr>
          <m:t>∗100</m:t>
        </m:r>
      </m:oMath>
      <w:r>
        <w:rPr>
          <w:rFonts w:hint="eastAsia" w:ascii="Times New Roman" w:hAnsi="Times New Roman" w:cs="Times New Roman" w:eastAsiaTheme="minorEastAsia"/>
          <w:kern w:val="2"/>
        </w:rPr>
        <w:t xml:space="preserve">  (Q3)</w:t>
      </w:r>
    </w:p>
    <w:p w14:paraId="5BFA4AA3">
      <w:pPr>
        <w:widowControl w:val="0"/>
        <w:spacing w:line="360" w:lineRule="auto"/>
        <w:jc w:val="both"/>
        <w:rPr>
          <w:rFonts w:ascii="Times New Roman" w:hAnsi="Times New Roman" w:cs="Times New Roman" w:eastAsiaTheme="minorEastAsia"/>
          <w:kern w:val="2"/>
        </w:rPr>
      </w:pPr>
      <w:r>
        <w:rPr>
          <w:rFonts w:ascii="Times New Roman" w:hAnsi="Times New Roman" w:cs="Times New Roman" w:eastAsiaTheme="minorEastAsia"/>
          <w:kern w:val="2"/>
        </w:rPr>
        <w:t>F</w:t>
      </w:r>
      <w:r>
        <w:rPr>
          <w:rFonts w:ascii="Times New Roman" w:hAnsi="Times New Roman" w:cs="Times New Roman" w:eastAsiaTheme="minorEastAsia"/>
          <w:kern w:val="2"/>
          <w:vertAlign w:val="subscript"/>
        </w:rPr>
        <w:t xml:space="preserve">0 </w:t>
      </w:r>
      <w:r>
        <w:rPr>
          <w:rFonts w:ascii="Times New Roman" w:hAnsi="Times New Roman" w:cs="Times New Roman" w:eastAsiaTheme="minorEastAsia"/>
          <w:kern w:val="2"/>
        </w:rPr>
        <w:t>is the initial mass of the fully swollen hydrogels; F</w:t>
      </w:r>
      <w:r>
        <w:rPr>
          <w:rFonts w:ascii="Times New Roman" w:hAnsi="Times New Roman" w:cs="Times New Roman" w:eastAsiaTheme="minorEastAsia"/>
          <w:kern w:val="2"/>
          <w:vertAlign w:val="subscript"/>
        </w:rPr>
        <w:t>t</w:t>
      </w:r>
      <w:r>
        <w:rPr>
          <w:rFonts w:ascii="Times New Roman" w:hAnsi="Times New Roman" w:cs="Times New Roman" w:eastAsiaTheme="minorEastAsia"/>
          <w:kern w:val="2"/>
        </w:rPr>
        <w:t xml:space="preserve"> is the remaining mass of the swollen hydrogels after vacuum-drying at different time intervals.</w:t>
      </w:r>
    </w:p>
    <w:p w14:paraId="2C0E400F">
      <w:pPr>
        <w:widowControl w:val="0"/>
        <w:spacing w:line="360" w:lineRule="auto"/>
        <w:jc w:val="both"/>
        <w:rPr>
          <w:rFonts w:ascii="Times New Roman" w:hAnsi="Times New Roman" w:cs="Times New Roman" w:eastAsiaTheme="minorEastAsia"/>
          <w:b/>
          <w:bCs/>
          <w:kern w:val="2"/>
        </w:rPr>
      </w:pPr>
      <w:r>
        <w:rPr>
          <w:rFonts w:ascii="Times New Roman" w:hAnsi="Times New Roman" w:cs="Times New Roman" w:eastAsiaTheme="minorEastAsia"/>
          <w:b/>
          <w:bCs/>
          <w:kern w:val="2"/>
        </w:rPr>
        <w:t>Laboratory core-flooding test</w:t>
      </w:r>
    </w:p>
    <w:p w14:paraId="39BC480E">
      <w:pPr>
        <w:spacing w:line="360" w:lineRule="auto"/>
        <w:ind w:firstLine="240" w:firstLineChars="100"/>
        <w:rPr>
          <w:rFonts w:ascii="Times New Roman" w:hAnsi="Times New Roman" w:cs="Times New Roman" w:eastAsiaTheme="minorEastAsia"/>
          <w:kern w:val="2"/>
        </w:rPr>
      </w:pPr>
      <w:r>
        <w:rPr>
          <w:rFonts w:ascii="Times New Roman" w:hAnsi="Times New Roman" w:cs="Times New Roman" w:eastAsiaTheme="minorEastAsia"/>
          <w:kern w:val="2"/>
        </w:rPr>
        <w:t xml:space="preserve">The dried bulk hydrogels are ground into particles </w:t>
      </w:r>
      <w:r>
        <w:rPr>
          <w:rFonts w:hint="eastAsia" w:ascii="Times New Roman" w:hAnsi="Times New Roman" w:cs="Times New Roman" w:eastAsiaTheme="minorEastAsia"/>
          <w:kern w:val="2"/>
        </w:rPr>
        <w:t>of</w:t>
      </w:r>
      <w:r>
        <w:rPr>
          <w:rFonts w:ascii="Times New Roman" w:hAnsi="Times New Roman" w:cs="Times New Roman" w:eastAsiaTheme="minorEastAsia"/>
          <w:kern w:val="2"/>
        </w:rPr>
        <w:t xml:space="preserve"> ~50 meshes for the laboratory core-flooding test to evaluate the plugging performance of the hydrogels. The cores were drilled to a depth of 5 cm with a hole diameter of 1 cm, simulating the channels created during water flooding. The procedure begins with the core saturation using </w:t>
      </w:r>
      <w:r>
        <w:rPr>
          <w:rFonts w:ascii="Times New Roman" w:hAnsi="Times New Roman" w:cs="Times New Roman" w:eastAsiaTheme="minorEastAsia"/>
          <w:bCs/>
          <w:kern w:val="2"/>
        </w:rPr>
        <w:t xml:space="preserve">formation oil (Sudan </w:t>
      </w:r>
      <w:r>
        <w:rPr>
          <w:rFonts w:ascii="Times New Roman" w:hAnsi="Times New Roman" w:cs="Times New Roman" w:eastAsiaTheme="minorEastAsia"/>
          <w:bCs/>
          <w:color w:val="151515"/>
          <w:kern w:val="2"/>
          <w:shd w:val="clear" w:color="auto" w:fill="FFFFFF"/>
        </w:rPr>
        <w:t>III</w:t>
      </w:r>
      <w:r>
        <w:rPr>
          <w:rFonts w:ascii="Times New Roman" w:hAnsi="Times New Roman" w:cs="Times New Roman" w:eastAsiaTheme="minorEastAsia"/>
          <w:bCs/>
          <w:kern w:val="2"/>
        </w:rPr>
        <w:t>-stained mineral oil)</w:t>
      </w:r>
      <w:r>
        <w:rPr>
          <w:rFonts w:ascii="Times New Roman" w:hAnsi="Times New Roman" w:cs="Times New Roman" w:eastAsiaTheme="minorEastAsia"/>
          <w:b/>
          <w:kern w:val="2"/>
        </w:rPr>
        <w:t xml:space="preserve"> </w:t>
      </w:r>
      <w:r>
        <w:rPr>
          <w:rFonts w:ascii="Times New Roman" w:hAnsi="Times New Roman" w:cs="Times New Roman" w:eastAsiaTheme="minorEastAsia"/>
          <w:kern w:val="2"/>
        </w:rPr>
        <w:t>by a vacuum pressure saturation device, followed by the injection of simulated formation brine supporting</w:t>
      </w:r>
      <w:r>
        <w:rPr>
          <w:rFonts w:ascii="Times New Roman" w:hAnsi="Times New Roman" w:cs="Times New Roman" w:eastAsiaTheme="minorEastAsia"/>
          <w:color w:val="FF0000"/>
          <w:kern w:val="2"/>
        </w:rPr>
        <w:t xml:space="preserve"> </w:t>
      </w:r>
      <w:r>
        <w:rPr>
          <w:rFonts w:ascii="Times New Roman" w:hAnsi="Times New Roman" w:cs="Times New Roman" w:eastAsiaTheme="minorEastAsia"/>
          <w:b/>
          <w:kern w:val="2"/>
        </w:rPr>
        <w:t xml:space="preserve">Table S3 </w:t>
      </w:r>
      <w:r>
        <w:rPr>
          <w:rFonts w:ascii="Times New Roman" w:hAnsi="Times New Roman" w:cs="Times New Roman" w:eastAsiaTheme="minorEastAsia"/>
          <w:kern w:val="2"/>
        </w:rPr>
        <w:t>at a constant flow rate of 1 mL/min, referred to as the first water flooding stage. The water permeability</w:t>
      </w:r>
      <w:r>
        <w:rPr>
          <w:rFonts w:hint="eastAsia" w:ascii="Times New Roman" w:hAnsi="Times New Roman" w:cs="Times New Roman" w:eastAsiaTheme="minorEastAsia"/>
          <w:kern w:val="2"/>
        </w:rPr>
        <w:t xml:space="preserve"> K</w:t>
      </w:r>
      <w:r>
        <w:rPr>
          <w:rFonts w:ascii="Times New Roman" w:hAnsi="Times New Roman" w:cs="Times New Roman" w:eastAsiaTheme="minorEastAsia"/>
          <w:kern w:val="2"/>
          <w:vertAlign w:val="subscript"/>
        </w:rPr>
        <w:t>1</w:t>
      </w:r>
      <w:r>
        <w:rPr>
          <w:rFonts w:ascii="Times New Roman" w:hAnsi="Times New Roman" w:cs="Times New Roman" w:eastAsiaTheme="minorEastAsia"/>
          <w:kern w:val="2"/>
        </w:rPr>
        <w:t xml:space="preserve"> is calculated by Darcy's law at this time. Then, hydrogel particles of two pore volumes are injected into the core at a constant flow rate of 0.5 mL/min </w:t>
      </w:r>
      <w:r>
        <w:rPr>
          <w:rFonts w:hint="eastAsia" w:ascii="Times New Roman" w:hAnsi="Times New Roman" w:cs="Times New Roman" w:eastAsiaTheme="minorEastAsia"/>
          <w:kern w:val="2"/>
        </w:rPr>
        <w:t>until</w:t>
      </w:r>
      <w:r>
        <w:rPr>
          <w:rFonts w:ascii="Times New Roman" w:hAnsi="Times New Roman" w:cs="Times New Roman" w:eastAsiaTheme="minorEastAsia"/>
          <w:kern w:val="2"/>
        </w:rPr>
        <w:t xml:space="preserve"> the hydrogels flow through the outlet and the injection pressure is stable. Finally, simulated formation brine was injected into the core again at a constant flow rate of 1 mL/min until the replacement pressure was stabilized for a period of time. </w:t>
      </w:r>
      <w:r>
        <w:rPr>
          <w:rFonts w:hint="eastAsia" w:ascii="Times New Roman" w:hAnsi="Times New Roman" w:cs="Times New Roman" w:eastAsiaTheme="minorEastAsia"/>
          <w:kern w:val="2"/>
        </w:rPr>
        <w:t>T</w:t>
      </w:r>
      <w:r>
        <w:rPr>
          <w:rFonts w:ascii="Times New Roman" w:hAnsi="Times New Roman" w:cs="Times New Roman" w:eastAsiaTheme="minorEastAsia"/>
          <w:kern w:val="2"/>
        </w:rPr>
        <w:t>he water permeability</w:t>
      </w:r>
      <w:r>
        <w:rPr>
          <w:rFonts w:hint="eastAsia" w:ascii="Times New Roman" w:hAnsi="Times New Roman" w:cs="Times New Roman" w:eastAsiaTheme="minorEastAsia"/>
          <w:kern w:val="2"/>
        </w:rPr>
        <w:t xml:space="preserve"> K</w:t>
      </w:r>
      <w:r>
        <w:rPr>
          <w:rFonts w:hint="eastAsia" w:ascii="Times New Roman" w:hAnsi="Times New Roman" w:cs="Times New Roman" w:eastAsiaTheme="minorEastAsia"/>
          <w:kern w:val="2"/>
          <w:vertAlign w:val="subscript"/>
        </w:rPr>
        <w:t>2</w:t>
      </w:r>
      <w:r>
        <w:rPr>
          <w:rFonts w:ascii="Times New Roman" w:hAnsi="Times New Roman" w:cs="Times New Roman" w:eastAsiaTheme="minorEastAsia"/>
          <w:kern w:val="2"/>
        </w:rPr>
        <w:t xml:space="preserve"> is calculated by Darcy's law at this time. During the displacement process, the pressure changes during the experiment are recorded in real time. Then, the core holders are kept in an oven at 80 °C for one month. After </w:t>
      </w:r>
      <w:r>
        <w:rPr>
          <w:rFonts w:hint="eastAsia" w:ascii="Times New Roman" w:hAnsi="Times New Roman" w:cs="Times New Roman" w:eastAsiaTheme="minorEastAsia"/>
          <w:kern w:val="2"/>
        </w:rPr>
        <w:t xml:space="preserve">the </w:t>
      </w:r>
      <w:r>
        <w:rPr>
          <w:rFonts w:ascii="Times New Roman" w:hAnsi="Times New Roman" w:cs="Times New Roman" w:eastAsiaTheme="minorEastAsia"/>
          <w:kern w:val="2"/>
        </w:rPr>
        <w:t>degradation of the hydrogel, simulated formation brine is injected again into the core at a constant flow rate of 1 mL/min until the displacement pressure stabilizes for a period of time.</w:t>
      </w:r>
      <w:r>
        <w:rPr>
          <w:rFonts w:hint="eastAsia" w:ascii="Times New Roman" w:hAnsi="Times New Roman" w:cs="Times New Roman" w:eastAsiaTheme="minorEastAsia"/>
          <w:kern w:val="2"/>
        </w:rPr>
        <w:t xml:space="preserve"> T</w:t>
      </w:r>
      <w:r>
        <w:rPr>
          <w:rFonts w:ascii="Times New Roman" w:hAnsi="Times New Roman" w:cs="Times New Roman" w:eastAsiaTheme="minorEastAsia"/>
          <w:kern w:val="2"/>
        </w:rPr>
        <w:t>he water permeability</w:t>
      </w:r>
      <w:r>
        <w:rPr>
          <w:rFonts w:hint="eastAsia" w:ascii="Times New Roman" w:hAnsi="Times New Roman" w:cs="Times New Roman" w:eastAsiaTheme="minorEastAsia"/>
          <w:kern w:val="2"/>
        </w:rPr>
        <w:t xml:space="preserve"> K</w:t>
      </w:r>
      <w:r>
        <w:rPr>
          <w:rFonts w:hint="eastAsia" w:ascii="Times New Roman" w:hAnsi="Times New Roman" w:cs="Times New Roman" w:eastAsiaTheme="minorEastAsia"/>
          <w:kern w:val="2"/>
          <w:vertAlign w:val="subscript"/>
        </w:rPr>
        <w:t>3</w:t>
      </w:r>
      <w:r>
        <w:rPr>
          <w:rFonts w:ascii="Times New Roman" w:hAnsi="Times New Roman" w:cs="Times New Roman" w:eastAsiaTheme="minorEastAsia"/>
          <w:kern w:val="2"/>
        </w:rPr>
        <w:t xml:space="preserve"> is calculated by Darcy's law at this time.</w:t>
      </w:r>
      <w:r>
        <w:rPr>
          <w:rFonts w:hint="eastAsia" w:ascii="Times New Roman" w:hAnsi="Times New Roman" w:cs="Times New Roman" w:eastAsiaTheme="minorEastAsia"/>
          <w:kern w:val="2"/>
        </w:rPr>
        <w:t xml:space="preserve"> </w:t>
      </w:r>
      <w:r>
        <w:rPr>
          <w:rFonts w:ascii="Times New Roman" w:hAnsi="Times New Roman" w:cs="Times New Roman" w:eastAsiaTheme="minorEastAsia"/>
          <w:kern w:val="2"/>
        </w:rPr>
        <w:t>The fundamental formation parameters of the cores are shown in</w:t>
      </w:r>
      <w:r>
        <w:rPr>
          <w:rFonts w:ascii="Times New Roman" w:hAnsi="Times New Roman" w:cs="Times New Roman" w:eastAsiaTheme="minorEastAsia"/>
          <w:b/>
          <w:bCs/>
          <w:kern w:val="2"/>
        </w:rPr>
        <w:t xml:space="preserve"> Table S4</w:t>
      </w:r>
      <w:r>
        <w:rPr>
          <w:rFonts w:ascii="Times New Roman" w:hAnsi="Times New Roman" w:cs="Times New Roman" w:eastAsiaTheme="minorEastAsia"/>
          <w:kern w:val="2"/>
        </w:rPr>
        <w:t>.</w:t>
      </w:r>
    </w:p>
    <w:p w14:paraId="07251B4E">
      <w:pPr>
        <w:spacing w:line="360" w:lineRule="auto"/>
        <w:jc w:val="center"/>
        <w:rPr>
          <w:rFonts w:ascii="Times New Roman" w:hAnsi="Times New Roman" w:cs="Times New Roman"/>
          <w:b/>
          <w:bCs/>
          <w:sz w:val="21"/>
          <w:szCs w:val="21"/>
        </w:rPr>
      </w:pPr>
      <w:r>
        <w:rPr>
          <w:rFonts w:ascii="Times New Roman" w:hAnsi="Times New Roman" w:cs="Times New Roman"/>
          <w:b/>
          <w:bCs/>
          <w:sz w:val="21"/>
          <w:szCs w:val="21"/>
        </w:rPr>
        <w:t>Table S3. Formula of the simulated formation brine</w:t>
      </w:r>
    </w:p>
    <w:tbl>
      <w:tblPr>
        <w:tblStyle w:val="10"/>
        <w:tblW w:w="737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694"/>
        <w:gridCol w:w="850"/>
        <w:gridCol w:w="1134"/>
        <w:gridCol w:w="851"/>
        <w:gridCol w:w="992"/>
        <w:gridCol w:w="850"/>
      </w:tblGrid>
      <w:tr w14:paraId="4618E6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jc w:val="center"/>
        </w:trPr>
        <w:tc>
          <w:tcPr>
            <w:tcW w:w="2694" w:type="dxa"/>
            <w:tcBorders>
              <w:top w:val="single" w:color="000000" w:sz="12" w:space="0"/>
              <w:bottom w:val="single" w:color="000000" w:sz="6" w:space="0"/>
            </w:tcBorders>
            <w:vAlign w:val="center"/>
          </w:tcPr>
          <w:p w14:paraId="35952720">
            <w:pPr>
              <w:widowControl w:val="0"/>
              <w:jc w:val="center"/>
              <w:rPr>
                <w:rFonts w:ascii="Times New Roman" w:hAnsi="Times New Roman" w:cs="Times New Roman" w:eastAsiaTheme="minorEastAsia"/>
                <w:b/>
                <w:bCs/>
                <w:kern w:val="2"/>
                <w:sz w:val="21"/>
                <w:szCs w:val="21"/>
              </w:rPr>
            </w:pPr>
            <w:r>
              <w:rPr>
                <w:rFonts w:ascii="Times New Roman" w:hAnsi="Times New Roman" w:cs="Times New Roman" w:eastAsiaTheme="minorEastAsia"/>
                <w:b/>
                <w:bCs/>
                <w:kern w:val="2"/>
                <w:sz w:val="21"/>
                <w:szCs w:val="21"/>
              </w:rPr>
              <w:t>I</w:t>
            </w:r>
            <w:r>
              <w:rPr>
                <w:rFonts w:hint="eastAsia" w:ascii="Times New Roman" w:hAnsi="Times New Roman" w:cs="Times New Roman" w:eastAsiaTheme="minorEastAsia"/>
                <w:b/>
                <w:bCs/>
                <w:kern w:val="2"/>
                <w:sz w:val="21"/>
                <w:szCs w:val="21"/>
              </w:rPr>
              <w:t>onic</w:t>
            </w:r>
            <w:r>
              <w:rPr>
                <w:rFonts w:ascii="Times New Roman" w:hAnsi="Times New Roman" w:cs="Times New Roman" w:eastAsiaTheme="minorEastAsia"/>
                <w:b/>
                <w:bCs/>
                <w:kern w:val="2"/>
                <w:sz w:val="21"/>
                <w:szCs w:val="21"/>
              </w:rPr>
              <w:t xml:space="preserve"> types</w:t>
            </w:r>
          </w:p>
        </w:tc>
        <w:tc>
          <w:tcPr>
            <w:tcW w:w="850" w:type="dxa"/>
            <w:tcBorders>
              <w:top w:val="single" w:color="000000" w:sz="12" w:space="0"/>
              <w:bottom w:val="single" w:color="000000" w:sz="6" w:space="0"/>
            </w:tcBorders>
            <w:vAlign w:val="center"/>
          </w:tcPr>
          <w:p w14:paraId="360ABB69">
            <w:pPr>
              <w:widowControl w:val="0"/>
              <w:jc w:val="center"/>
              <w:rPr>
                <w:rFonts w:ascii="Times New Roman" w:hAnsi="Times New Roman" w:cs="Times New Roman" w:eastAsiaTheme="minorEastAsia"/>
                <w:b/>
                <w:bCs/>
                <w:kern w:val="2"/>
                <w:sz w:val="21"/>
                <w:szCs w:val="21"/>
              </w:rPr>
            </w:pPr>
            <w:r>
              <w:rPr>
                <w:rFonts w:hint="eastAsia" w:ascii="Times New Roman" w:hAnsi="Times New Roman" w:cs="Times New Roman" w:eastAsiaTheme="minorEastAsia"/>
                <w:b/>
                <w:bCs/>
                <w:kern w:val="2"/>
                <w:sz w:val="21"/>
                <w:szCs w:val="21"/>
              </w:rPr>
              <w:t>N</w:t>
            </w:r>
            <w:r>
              <w:rPr>
                <w:rFonts w:ascii="Times New Roman" w:hAnsi="Times New Roman" w:cs="Times New Roman" w:eastAsiaTheme="minorEastAsia"/>
                <w:b/>
                <w:bCs/>
                <w:kern w:val="2"/>
                <w:sz w:val="21"/>
                <w:szCs w:val="21"/>
              </w:rPr>
              <w:t>a</w:t>
            </w:r>
            <w:r>
              <w:rPr>
                <w:rFonts w:ascii="Times New Roman" w:hAnsi="Times New Roman" w:cs="Times New Roman" w:eastAsiaTheme="minorEastAsia"/>
                <w:b/>
                <w:bCs/>
                <w:kern w:val="2"/>
                <w:sz w:val="21"/>
                <w:szCs w:val="21"/>
                <w:vertAlign w:val="superscript"/>
              </w:rPr>
              <w:t>+</w:t>
            </w:r>
          </w:p>
        </w:tc>
        <w:tc>
          <w:tcPr>
            <w:tcW w:w="1134" w:type="dxa"/>
            <w:tcBorders>
              <w:top w:val="single" w:color="000000" w:sz="12" w:space="0"/>
              <w:bottom w:val="single" w:color="000000" w:sz="6" w:space="0"/>
            </w:tcBorders>
            <w:vAlign w:val="center"/>
          </w:tcPr>
          <w:p w14:paraId="54C47B3E">
            <w:pPr>
              <w:widowControl w:val="0"/>
              <w:jc w:val="center"/>
              <w:rPr>
                <w:rFonts w:ascii="Times New Roman" w:hAnsi="Times New Roman" w:cs="Times New Roman" w:eastAsiaTheme="minorEastAsia"/>
                <w:b/>
                <w:bCs/>
                <w:kern w:val="2"/>
                <w:sz w:val="21"/>
                <w:szCs w:val="21"/>
              </w:rPr>
            </w:pPr>
            <w:r>
              <w:rPr>
                <w:rFonts w:hint="eastAsia" w:ascii="Times New Roman" w:hAnsi="Times New Roman" w:cs="Times New Roman" w:eastAsiaTheme="minorEastAsia"/>
                <w:b/>
                <w:bCs/>
                <w:kern w:val="2"/>
                <w:sz w:val="21"/>
                <w:szCs w:val="21"/>
              </w:rPr>
              <w:t>C</w:t>
            </w:r>
            <w:r>
              <w:rPr>
                <w:rFonts w:ascii="Times New Roman" w:hAnsi="Times New Roman" w:cs="Times New Roman" w:eastAsiaTheme="minorEastAsia"/>
                <w:b/>
                <w:bCs/>
                <w:kern w:val="2"/>
                <w:sz w:val="21"/>
                <w:szCs w:val="21"/>
              </w:rPr>
              <w:t>a</w:t>
            </w:r>
            <w:r>
              <w:rPr>
                <w:rFonts w:ascii="Times New Roman" w:hAnsi="Times New Roman" w:cs="Times New Roman" w:eastAsiaTheme="minorEastAsia"/>
                <w:b/>
                <w:bCs/>
                <w:kern w:val="2"/>
                <w:sz w:val="21"/>
                <w:szCs w:val="21"/>
                <w:vertAlign w:val="superscript"/>
              </w:rPr>
              <w:t>2+</w:t>
            </w:r>
          </w:p>
        </w:tc>
        <w:tc>
          <w:tcPr>
            <w:tcW w:w="851" w:type="dxa"/>
            <w:tcBorders>
              <w:top w:val="single" w:color="000000" w:sz="12" w:space="0"/>
              <w:bottom w:val="single" w:color="000000" w:sz="6" w:space="0"/>
            </w:tcBorders>
            <w:vAlign w:val="center"/>
          </w:tcPr>
          <w:p w14:paraId="10B8DA09">
            <w:pPr>
              <w:widowControl w:val="0"/>
              <w:jc w:val="center"/>
              <w:rPr>
                <w:rFonts w:ascii="Times New Roman" w:hAnsi="Times New Roman" w:cs="Times New Roman" w:eastAsiaTheme="minorEastAsia"/>
                <w:b/>
                <w:bCs/>
                <w:kern w:val="2"/>
                <w:sz w:val="21"/>
                <w:szCs w:val="21"/>
              </w:rPr>
            </w:pPr>
            <w:r>
              <w:rPr>
                <w:rFonts w:hint="eastAsia" w:ascii="Times New Roman" w:hAnsi="Times New Roman" w:cs="Times New Roman" w:eastAsiaTheme="minorEastAsia"/>
                <w:b/>
                <w:bCs/>
                <w:kern w:val="2"/>
                <w:sz w:val="21"/>
                <w:szCs w:val="21"/>
              </w:rPr>
              <w:t>M</w:t>
            </w:r>
            <w:r>
              <w:rPr>
                <w:rFonts w:ascii="Times New Roman" w:hAnsi="Times New Roman" w:cs="Times New Roman" w:eastAsiaTheme="minorEastAsia"/>
                <w:b/>
                <w:bCs/>
                <w:kern w:val="2"/>
                <w:sz w:val="21"/>
                <w:szCs w:val="21"/>
              </w:rPr>
              <w:t>g</w:t>
            </w:r>
            <w:r>
              <w:rPr>
                <w:rFonts w:ascii="Times New Roman" w:hAnsi="Times New Roman" w:cs="Times New Roman" w:eastAsiaTheme="minorEastAsia"/>
                <w:b/>
                <w:bCs/>
                <w:kern w:val="2"/>
                <w:sz w:val="21"/>
                <w:szCs w:val="21"/>
                <w:vertAlign w:val="superscript"/>
              </w:rPr>
              <w:t>2+</w:t>
            </w:r>
          </w:p>
        </w:tc>
        <w:tc>
          <w:tcPr>
            <w:tcW w:w="992" w:type="dxa"/>
            <w:tcBorders>
              <w:top w:val="single" w:color="000000" w:sz="12" w:space="0"/>
              <w:bottom w:val="single" w:color="000000" w:sz="6" w:space="0"/>
            </w:tcBorders>
            <w:vAlign w:val="center"/>
          </w:tcPr>
          <w:p w14:paraId="1E913CF3">
            <w:pPr>
              <w:widowControl w:val="0"/>
              <w:jc w:val="center"/>
              <w:rPr>
                <w:rFonts w:ascii="Times New Roman" w:hAnsi="Times New Roman" w:cs="Times New Roman" w:eastAsiaTheme="minorEastAsia"/>
                <w:b/>
                <w:bCs/>
                <w:kern w:val="2"/>
                <w:sz w:val="21"/>
                <w:szCs w:val="21"/>
              </w:rPr>
            </w:pPr>
            <w:r>
              <w:rPr>
                <w:rFonts w:hint="eastAsia" w:ascii="Times New Roman" w:hAnsi="Times New Roman" w:cs="Times New Roman" w:eastAsiaTheme="minorEastAsia"/>
                <w:b/>
                <w:bCs/>
                <w:kern w:val="2"/>
                <w:sz w:val="21"/>
                <w:szCs w:val="21"/>
              </w:rPr>
              <w:t>C</w:t>
            </w:r>
            <w:r>
              <w:rPr>
                <w:rFonts w:ascii="Times New Roman" w:hAnsi="Times New Roman" w:cs="Times New Roman" w:eastAsiaTheme="minorEastAsia"/>
                <w:b/>
                <w:bCs/>
                <w:kern w:val="2"/>
                <w:sz w:val="21"/>
                <w:szCs w:val="21"/>
              </w:rPr>
              <w:t>l</w:t>
            </w:r>
            <w:r>
              <w:rPr>
                <w:rFonts w:ascii="Times New Roman" w:hAnsi="Times New Roman" w:cs="Times New Roman" w:eastAsiaTheme="minorEastAsia"/>
                <w:b/>
                <w:bCs/>
                <w:kern w:val="2"/>
                <w:sz w:val="21"/>
                <w:szCs w:val="21"/>
                <w:vertAlign w:val="superscript"/>
              </w:rPr>
              <w:t>-</w:t>
            </w:r>
          </w:p>
        </w:tc>
        <w:tc>
          <w:tcPr>
            <w:tcW w:w="850" w:type="dxa"/>
            <w:tcBorders>
              <w:top w:val="single" w:color="000000" w:sz="12" w:space="0"/>
              <w:bottom w:val="single" w:color="000000" w:sz="6" w:space="0"/>
            </w:tcBorders>
            <w:vAlign w:val="center"/>
          </w:tcPr>
          <w:p w14:paraId="44DBFA2A">
            <w:pPr>
              <w:widowControl w:val="0"/>
              <w:jc w:val="center"/>
              <w:rPr>
                <w:rFonts w:ascii="Times New Roman" w:hAnsi="Times New Roman" w:cs="Times New Roman" w:eastAsiaTheme="minorEastAsia"/>
                <w:b/>
                <w:bCs/>
                <w:kern w:val="2"/>
                <w:sz w:val="21"/>
                <w:szCs w:val="21"/>
              </w:rPr>
            </w:pPr>
            <w:r>
              <w:rPr>
                <w:rFonts w:ascii="Times New Roman" w:hAnsi="Times New Roman" w:cs="Times New Roman" w:eastAsiaTheme="minorEastAsia"/>
                <w:b/>
                <w:bCs/>
                <w:kern w:val="2"/>
                <w:sz w:val="21"/>
                <w:szCs w:val="21"/>
              </w:rPr>
              <w:t>Total</w:t>
            </w:r>
          </w:p>
        </w:tc>
      </w:tr>
      <w:tr w14:paraId="442534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7" w:hRule="atLeast"/>
          <w:jc w:val="center"/>
        </w:trPr>
        <w:tc>
          <w:tcPr>
            <w:tcW w:w="2694" w:type="dxa"/>
            <w:tcBorders>
              <w:top w:val="single" w:color="000000" w:sz="6" w:space="0"/>
              <w:bottom w:val="single" w:color="000000" w:sz="12" w:space="0"/>
            </w:tcBorders>
            <w:vAlign w:val="center"/>
          </w:tcPr>
          <w:p w14:paraId="444E2877">
            <w:pPr>
              <w:widowControl w:val="0"/>
              <w:jc w:val="center"/>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Concentration (*10</w:t>
            </w:r>
            <w:r>
              <w:rPr>
                <w:rFonts w:ascii="Times New Roman" w:hAnsi="Times New Roman" w:cs="Times New Roman" w:eastAsiaTheme="minorEastAsia"/>
                <w:kern w:val="2"/>
                <w:sz w:val="21"/>
                <w:szCs w:val="21"/>
                <w:vertAlign w:val="superscript"/>
              </w:rPr>
              <w:t xml:space="preserve">3 </w:t>
            </w:r>
            <w:r>
              <w:rPr>
                <w:rFonts w:ascii="Times New Roman" w:hAnsi="Times New Roman" w:cs="Times New Roman" w:eastAsiaTheme="minorEastAsia"/>
                <w:kern w:val="2"/>
                <w:sz w:val="21"/>
                <w:szCs w:val="21"/>
              </w:rPr>
              <w:t>mg)</w:t>
            </w:r>
          </w:p>
        </w:tc>
        <w:tc>
          <w:tcPr>
            <w:tcW w:w="850" w:type="dxa"/>
            <w:tcBorders>
              <w:top w:val="single" w:color="000000" w:sz="6" w:space="0"/>
              <w:bottom w:val="single" w:color="000000" w:sz="12" w:space="0"/>
            </w:tcBorders>
            <w:vAlign w:val="center"/>
          </w:tcPr>
          <w:p w14:paraId="057330C8">
            <w:pPr>
              <w:widowControl w:val="0"/>
              <w:jc w:val="center"/>
              <w:rPr>
                <w:rFonts w:ascii="Times New Roman" w:hAnsi="Times New Roman" w:cs="Times New Roman" w:eastAsiaTheme="minorEastAsia"/>
                <w:kern w:val="2"/>
                <w:sz w:val="21"/>
                <w:szCs w:val="21"/>
              </w:rPr>
            </w:pPr>
            <w:r>
              <w:rPr>
                <w:rFonts w:hint="eastAsia" w:ascii="Times New Roman" w:hAnsi="Times New Roman" w:cs="Times New Roman" w:eastAsiaTheme="minorEastAsia"/>
                <w:kern w:val="2"/>
                <w:sz w:val="21"/>
                <w:szCs w:val="21"/>
              </w:rPr>
              <w:t>5</w:t>
            </w:r>
            <w:r>
              <w:rPr>
                <w:rFonts w:ascii="Times New Roman" w:hAnsi="Times New Roman" w:cs="Times New Roman" w:eastAsiaTheme="minorEastAsia"/>
                <w:kern w:val="2"/>
                <w:sz w:val="21"/>
                <w:szCs w:val="21"/>
              </w:rPr>
              <w:t>8.07</w:t>
            </w:r>
          </w:p>
        </w:tc>
        <w:tc>
          <w:tcPr>
            <w:tcW w:w="1134" w:type="dxa"/>
            <w:tcBorders>
              <w:top w:val="single" w:color="000000" w:sz="6" w:space="0"/>
              <w:bottom w:val="single" w:color="000000" w:sz="12" w:space="0"/>
            </w:tcBorders>
            <w:vAlign w:val="center"/>
          </w:tcPr>
          <w:p w14:paraId="2F230A13">
            <w:pPr>
              <w:widowControl w:val="0"/>
              <w:jc w:val="center"/>
              <w:rPr>
                <w:rFonts w:ascii="Times New Roman" w:hAnsi="Times New Roman" w:cs="Times New Roman" w:eastAsiaTheme="minorEastAsia"/>
                <w:kern w:val="2"/>
                <w:sz w:val="21"/>
                <w:szCs w:val="21"/>
              </w:rPr>
            </w:pPr>
            <w:r>
              <w:rPr>
                <w:rFonts w:hint="eastAsia" w:ascii="Times New Roman" w:hAnsi="Times New Roman" w:cs="Times New Roman" w:eastAsiaTheme="minorEastAsia"/>
                <w:kern w:val="2"/>
                <w:sz w:val="21"/>
                <w:szCs w:val="21"/>
              </w:rPr>
              <w:t>1</w:t>
            </w:r>
            <w:r>
              <w:rPr>
                <w:rFonts w:ascii="Times New Roman" w:hAnsi="Times New Roman" w:cs="Times New Roman" w:eastAsiaTheme="minorEastAsia"/>
                <w:kern w:val="2"/>
                <w:sz w:val="21"/>
                <w:szCs w:val="21"/>
              </w:rPr>
              <w:t>2.02</w:t>
            </w:r>
          </w:p>
        </w:tc>
        <w:tc>
          <w:tcPr>
            <w:tcW w:w="851" w:type="dxa"/>
            <w:tcBorders>
              <w:top w:val="single" w:color="000000" w:sz="6" w:space="0"/>
              <w:bottom w:val="single" w:color="000000" w:sz="12" w:space="0"/>
            </w:tcBorders>
            <w:vAlign w:val="center"/>
          </w:tcPr>
          <w:p w14:paraId="6E465530">
            <w:pPr>
              <w:widowControl w:val="0"/>
              <w:jc w:val="center"/>
              <w:rPr>
                <w:rFonts w:ascii="Times New Roman" w:hAnsi="Times New Roman" w:cs="Times New Roman" w:eastAsiaTheme="minorEastAsia"/>
                <w:kern w:val="2"/>
                <w:sz w:val="21"/>
                <w:szCs w:val="21"/>
              </w:rPr>
            </w:pPr>
            <w:r>
              <w:rPr>
                <w:rFonts w:hint="eastAsia" w:ascii="Times New Roman" w:hAnsi="Times New Roman" w:cs="Times New Roman" w:eastAsiaTheme="minorEastAsia"/>
                <w:kern w:val="2"/>
                <w:sz w:val="21"/>
                <w:szCs w:val="21"/>
              </w:rPr>
              <w:t>4</w:t>
            </w:r>
            <w:r>
              <w:rPr>
                <w:rFonts w:ascii="Times New Roman" w:hAnsi="Times New Roman" w:cs="Times New Roman" w:eastAsiaTheme="minorEastAsia"/>
                <w:kern w:val="2"/>
                <w:sz w:val="21"/>
                <w:szCs w:val="21"/>
              </w:rPr>
              <w:t>.86</w:t>
            </w:r>
          </w:p>
        </w:tc>
        <w:tc>
          <w:tcPr>
            <w:tcW w:w="992" w:type="dxa"/>
            <w:tcBorders>
              <w:top w:val="single" w:color="000000" w:sz="6" w:space="0"/>
              <w:bottom w:val="single" w:color="000000" w:sz="12" w:space="0"/>
            </w:tcBorders>
            <w:vAlign w:val="center"/>
          </w:tcPr>
          <w:p w14:paraId="1B3F0DEC">
            <w:pPr>
              <w:widowControl w:val="0"/>
              <w:jc w:val="center"/>
              <w:rPr>
                <w:rFonts w:ascii="Times New Roman" w:hAnsi="Times New Roman" w:cs="Times New Roman" w:eastAsiaTheme="minorEastAsia"/>
                <w:kern w:val="2"/>
                <w:sz w:val="21"/>
                <w:szCs w:val="21"/>
              </w:rPr>
            </w:pPr>
            <w:r>
              <w:rPr>
                <w:rFonts w:hint="eastAsia" w:ascii="Times New Roman" w:hAnsi="Times New Roman" w:cs="Times New Roman" w:eastAsiaTheme="minorEastAsia"/>
                <w:kern w:val="2"/>
                <w:sz w:val="21"/>
                <w:szCs w:val="21"/>
              </w:rPr>
              <w:t>1</w:t>
            </w:r>
            <w:r>
              <w:rPr>
                <w:rFonts w:ascii="Times New Roman" w:hAnsi="Times New Roman" w:cs="Times New Roman" w:eastAsiaTheme="minorEastAsia"/>
                <w:kern w:val="2"/>
                <w:sz w:val="21"/>
                <w:szCs w:val="21"/>
              </w:rPr>
              <w:t>25.00</w:t>
            </w:r>
          </w:p>
        </w:tc>
        <w:tc>
          <w:tcPr>
            <w:tcW w:w="850" w:type="dxa"/>
            <w:tcBorders>
              <w:top w:val="single" w:color="000000" w:sz="6" w:space="0"/>
              <w:bottom w:val="single" w:color="000000" w:sz="12" w:space="0"/>
            </w:tcBorders>
            <w:vAlign w:val="center"/>
          </w:tcPr>
          <w:p w14:paraId="5D05D765">
            <w:pPr>
              <w:widowControl w:val="0"/>
              <w:jc w:val="center"/>
              <w:rPr>
                <w:rFonts w:ascii="Times New Roman" w:hAnsi="Times New Roman" w:cs="Times New Roman" w:eastAsiaTheme="minorEastAsia"/>
                <w:kern w:val="2"/>
                <w:sz w:val="21"/>
                <w:szCs w:val="21"/>
              </w:rPr>
            </w:pPr>
            <w:r>
              <w:rPr>
                <w:rFonts w:hint="eastAsia" w:ascii="Times New Roman" w:hAnsi="Times New Roman" w:cs="Times New Roman" w:eastAsiaTheme="minorEastAsia"/>
                <w:kern w:val="2"/>
                <w:sz w:val="21"/>
                <w:szCs w:val="21"/>
              </w:rPr>
              <w:t>2</w:t>
            </w:r>
            <w:r>
              <w:rPr>
                <w:rFonts w:ascii="Times New Roman" w:hAnsi="Times New Roman" w:cs="Times New Roman" w:eastAsiaTheme="minorEastAsia"/>
                <w:kern w:val="2"/>
                <w:sz w:val="21"/>
                <w:szCs w:val="21"/>
              </w:rPr>
              <w:t>00</w:t>
            </w:r>
          </w:p>
        </w:tc>
      </w:tr>
    </w:tbl>
    <w:p w14:paraId="625CFC07">
      <w:pPr>
        <w:spacing w:line="360" w:lineRule="auto"/>
        <w:jc w:val="center"/>
        <w:rPr>
          <w:rFonts w:ascii="Times New Roman" w:hAnsi="Times New Roman" w:cs="Times New Roman"/>
          <w:b/>
          <w:bCs/>
          <w:sz w:val="21"/>
          <w:szCs w:val="21"/>
        </w:rPr>
      </w:pPr>
      <w:bookmarkStart w:id="7" w:name="OLE_LINK10"/>
      <w:r>
        <w:rPr>
          <w:rFonts w:ascii="Times New Roman" w:hAnsi="Times New Roman" w:cs="Times New Roman"/>
          <w:b/>
          <w:bCs/>
          <w:sz w:val="21"/>
          <w:szCs w:val="21"/>
        </w:rPr>
        <w:t>Table S4. The fundamental formation parameters of cores</w:t>
      </w:r>
    </w:p>
    <w:tbl>
      <w:tblPr>
        <w:tblStyle w:val="11"/>
        <w:tblW w:w="616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1559"/>
        <w:gridCol w:w="1878"/>
        <w:gridCol w:w="1879"/>
      </w:tblGrid>
      <w:tr w14:paraId="209750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51" w:type="dxa"/>
            <w:tcBorders>
              <w:top w:val="single" w:color="auto" w:sz="8" w:space="0"/>
              <w:bottom w:val="single" w:color="auto" w:sz="6" w:space="0"/>
            </w:tcBorders>
            <w:vAlign w:val="center"/>
          </w:tcPr>
          <w:p w14:paraId="243D8258">
            <w:pPr>
              <w:jc w:val="center"/>
              <w:rPr>
                <w:rFonts w:ascii="Times New Roman" w:hAnsi="Times New Roman" w:cs="Times New Roman"/>
                <w:b/>
                <w:bCs/>
                <w:sz w:val="21"/>
                <w:szCs w:val="21"/>
              </w:rPr>
            </w:pPr>
            <w:r>
              <w:rPr>
                <w:rFonts w:hint="eastAsia" w:ascii="Times New Roman" w:hAnsi="Times New Roman" w:cs="Times New Roman"/>
                <w:b/>
                <w:bCs/>
                <w:sz w:val="21"/>
                <w:szCs w:val="21"/>
              </w:rPr>
              <w:t>C</w:t>
            </w:r>
            <w:r>
              <w:rPr>
                <w:rFonts w:ascii="Times New Roman" w:hAnsi="Times New Roman" w:cs="Times New Roman"/>
                <w:b/>
                <w:bCs/>
                <w:sz w:val="21"/>
                <w:szCs w:val="21"/>
              </w:rPr>
              <w:t>ore</w:t>
            </w:r>
          </w:p>
        </w:tc>
        <w:tc>
          <w:tcPr>
            <w:tcW w:w="1559" w:type="dxa"/>
            <w:tcBorders>
              <w:top w:val="single" w:color="auto" w:sz="8" w:space="0"/>
              <w:bottom w:val="single" w:color="auto" w:sz="6" w:space="0"/>
            </w:tcBorders>
            <w:vAlign w:val="center"/>
          </w:tcPr>
          <w:p w14:paraId="66BE2FBA">
            <w:pPr>
              <w:widowControl w:val="0"/>
              <w:jc w:val="center"/>
              <w:rPr>
                <w:rFonts w:ascii="Times New Roman" w:hAnsi="Times New Roman" w:cs="Times New Roman"/>
                <w:b/>
                <w:bCs/>
                <w:sz w:val="21"/>
                <w:szCs w:val="21"/>
              </w:rPr>
            </w:pPr>
            <w:r>
              <w:rPr>
                <w:rFonts w:ascii="Times New Roman" w:hAnsi="Times New Roman" w:cs="Times New Roman"/>
                <w:b/>
                <w:bCs/>
                <w:sz w:val="21"/>
                <w:szCs w:val="21"/>
              </w:rPr>
              <w:t>Length (cm)</w:t>
            </w:r>
          </w:p>
        </w:tc>
        <w:tc>
          <w:tcPr>
            <w:tcW w:w="1878" w:type="dxa"/>
            <w:tcBorders>
              <w:top w:val="single" w:color="auto" w:sz="8" w:space="0"/>
              <w:bottom w:val="single" w:color="auto" w:sz="6" w:space="0"/>
            </w:tcBorders>
            <w:vAlign w:val="center"/>
          </w:tcPr>
          <w:p w14:paraId="2939D088">
            <w:pPr>
              <w:widowControl w:val="0"/>
              <w:jc w:val="center"/>
              <w:rPr>
                <w:rFonts w:ascii="Times New Roman" w:hAnsi="Times New Roman" w:cs="Times New Roman"/>
                <w:b/>
                <w:bCs/>
                <w:sz w:val="21"/>
                <w:szCs w:val="21"/>
              </w:rPr>
            </w:pPr>
            <w:r>
              <w:rPr>
                <w:rFonts w:ascii="Times New Roman" w:hAnsi="Times New Roman" w:cs="Times New Roman"/>
                <w:b/>
                <w:bCs/>
                <w:sz w:val="21"/>
                <w:szCs w:val="21"/>
              </w:rPr>
              <w:t>Diameter (cm)</w:t>
            </w:r>
          </w:p>
        </w:tc>
        <w:tc>
          <w:tcPr>
            <w:tcW w:w="1879" w:type="dxa"/>
            <w:tcBorders>
              <w:top w:val="single" w:color="auto" w:sz="8" w:space="0"/>
              <w:bottom w:val="single" w:color="auto" w:sz="6" w:space="0"/>
            </w:tcBorders>
            <w:vAlign w:val="center"/>
          </w:tcPr>
          <w:p w14:paraId="2A01C2B5">
            <w:pPr>
              <w:widowControl w:val="0"/>
              <w:jc w:val="center"/>
              <w:rPr>
                <w:rFonts w:ascii="Times New Roman" w:hAnsi="Times New Roman" w:cs="Times New Roman"/>
                <w:b/>
                <w:bCs/>
                <w:sz w:val="21"/>
                <w:szCs w:val="21"/>
              </w:rPr>
            </w:pPr>
            <w:r>
              <w:rPr>
                <w:rFonts w:ascii="Times New Roman" w:hAnsi="Times New Roman" w:cs="Times New Roman"/>
                <w:b/>
                <w:bCs/>
                <w:sz w:val="21"/>
                <w:szCs w:val="21"/>
              </w:rPr>
              <w:t>P</w:t>
            </w:r>
            <w:r>
              <w:rPr>
                <w:rFonts w:hint="eastAsia" w:ascii="Times New Roman" w:hAnsi="Times New Roman" w:cs="Times New Roman"/>
                <w:b/>
                <w:bCs/>
                <w:sz w:val="21"/>
                <w:szCs w:val="21"/>
              </w:rPr>
              <w:t xml:space="preserve">orosity </w:t>
            </w:r>
            <w:r>
              <w:rPr>
                <w:rFonts w:ascii="Times New Roman" w:hAnsi="Times New Roman" w:cs="Times New Roman"/>
                <w:b/>
                <w:bCs/>
                <w:sz w:val="21"/>
                <w:szCs w:val="21"/>
              </w:rPr>
              <w:t>(%)</w:t>
            </w:r>
          </w:p>
        </w:tc>
      </w:tr>
      <w:tr w14:paraId="37A07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51" w:type="dxa"/>
            <w:tcBorders>
              <w:top w:val="single" w:color="auto" w:sz="6" w:space="0"/>
            </w:tcBorders>
            <w:vAlign w:val="center"/>
          </w:tcPr>
          <w:p w14:paraId="67F07CCD">
            <w:pPr>
              <w:jc w:val="center"/>
              <w:rPr>
                <w:rFonts w:ascii="Times New Roman" w:hAnsi="Times New Roman" w:cs="Times New Roman"/>
                <w:sz w:val="21"/>
                <w:szCs w:val="21"/>
              </w:rPr>
            </w:pPr>
            <w:r>
              <w:rPr>
                <w:rFonts w:hint="eastAsia" w:ascii="Times New Roman" w:hAnsi="Times New Roman" w:cs="Times New Roman"/>
                <w:sz w:val="21"/>
                <w:szCs w:val="21"/>
              </w:rPr>
              <w:t>1</w:t>
            </w:r>
          </w:p>
        </w:tc>
        <w:tc>
          <w:tcPr>
            <w:tcW w:w="1559" w:type="dxa"/>
            <w:tcBorders>
              <w:top w:val="single" w:color="auto" w:sz="6" w:space="0"/>
            </w:tcBorders>
            <w:vAlign w:val="center"/>
          </w:tcPr>
          <w:p w14:paraId="0FF0B4B8">
            <w:pPr>
              <w:jc w:val="center"/>
              <w:rPr>
                <w:rFonts w:ascii="Times New Roman" w:hAnsi="Times New Roman" w:cs="Times New Roman"/>
                <w:sz w:val="21"/>
                <w:szCs w:val="21"/>
              </w:rPr>
            </w:pPr>
            <w:r>
              <w:rPr>
                <w:rFonts w:hint="eastAsia" w:ascii="Times New Roman" w:hAnsi="Times New Roman" w:cs="Times New Roman"/>
                <w:sz w:val="21"/>
                <w:szCs w:val="21"/>
              </w:rPr>
              <w:t>7</w:t>
            </w:r>
            <w:r>
              <w:rPr>
                <w:rFonts w:ascii="Times New Roman" w:hAnsi="Times New Roman" w:cs="Times New Roman"/>
                <w:sz w:val="21"/>
                <w:szCs w:val="21"/>
              </w:rPr>
              <w:t>.002</w:t>
            </w:r>
          </w:p>
        </w:tc>
        <w:tc>
          <w:tcPr>
            <w:tcW w:w="1878" w:type="dxa"/>
            <w:tcBorders>
              <w:top w:val="single" w:color="auto" w:sz="6" w:space="0"/>
            </w:tcBorders>
            <w:vAlign w:val="center"/>
          </w:tcPr>
          <w:p w14:paraId="2051AE11">
            <w:pPr>
              <w:jc w:val="center"/>
              <w:rPr>
                <w:rFonts w:ascii="Times New Roman" w:hAnsi="Times New Roman" w:cs="Times New Roman"/>
                <w:sz w:val="21"/>
                <w:szCs w:val="21"/>
              </w:rPr>
            </w:pPr>
            <w:r>
              <w:rPr>
                <w:rFonts w:ascii="Times New Roman" w:hAnsi="Times New Roman" w:cs="Times New Roman"/>
                <w:sz w:val="21"/>
                <w:szCs w:val="21"/>
              </w:rPr>
              <w:t>2.</w:t>
            </w:r>
            <w:r>
              <w:rPr>
                <w:rFonts w:hint="eastAsia" w:ascii="Times New Roman" w:hAnsi="Times New Roman" w:cs="Times New Roman"/>
                <w:sz w:val="21"/>
                <w:szCs w:val="21"/>
              </w:rPr>
              <w:t>5</w:t>
            </w:r>
            <w:r>
              <w:rPr>
                <w:rFonts w:ascii="Times New Roman" w:hAnsi="Times New Roman" w:cs="Times New Roman"/>
                <w:sz w:val="21"/>
                <w:szCs w:val="21"/>
              </w:rPr>
              <w:t>28</w:t>
            </w:r>
          </w:p>
        </w:tc>
        <w:tc>
          <w:tcPr>
            <w:tcW w:w="1879" w:type="dxa"/>
            <w:tcBorders>
              <w:top w:val="single" w:color="auto" w:sz="6" w:space="0"/>
            </w:tcBorders>
            <w:vAlign w:val="center"/>
          </w:tcPr>
          <w:p w14:paraId="788F96FE">
            <w:pPr>
              <w:jc w:val="center"/>
              <w:rPr>
                <w:rFonts w:ascii="Times New Roman" w:hAnsi="Times New Roman" w:cs="Times New Roman"/>
                <w:sz w:val="21"/>
                <w:szCs w:val="21"/>
              </w:rPr>
            </w:pPr>
            <w:r>
              <w:rPr>
                <w:rFonts w:hint="eastAsia" w:ascii="Times New Roman" w:hAnsi="Times New Roman" w:cs="Times New Roman"/>
                <w:sz w:val="21"/>
                <w:szCs w:val="21"/>
              </w:rPr>
              <w:t>2</w:t>
            </w:r>
            <w:r>
              <w:rPr>
                <w:rFonts w:ascii="Times New Roman" w:hAnsi="Times New Roman" w:cs="Times New Roman"/>
                <w:sz w:val="21"/>
                <w:szCs w:val="21"/>
              </w:rPr>
              <w:t>9.91</w:t>
            </w:r>
          </w:p>
        </w:tc>
      </w:tr>
      <w:tr w14:paraId="2EE311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51" w:type="dxa"/>
            <w:tcBorders>
              <w:bottom w:val="single" w:color="auto" w:sz="8" w:space="0"/>
            </w:tcBorders>
            <w:vAlign w:val="center"/>
          </w:tcPr>
          <w:p w14:paraId="2353496B">
            <w:pPr>
              <w:jc w:val="center"/>
              <w:rPr>
                <w:rFonts w:ascii="Times New Roman" w:hAnsi="Times New Roman" w:cs="Times New Roman"/>
                <w:sz w:val="21"/>
                <w:szCs w:val="21"/>
              </w:rPr>
            </w:pPr>
            <w:r>
              <w:rPr>
                <w:rFonts w:hint="eastAsia" w:ascii="Times New Roman" w:hAnsi="Times New Roman" w:cs="Times New Roman"/>
                <w:sz w:val="21"/>
                <w:szCs w:val="21"/>
              </w:rPr>
              <w:t>2</w:t>
            </w:r>
          </w:p>
        </w:tc>
        <w:tc>
          <w:tcPr>
            <w:tcW w:w="1559" w:type="dxa"/>
            <w:tcBorders>
              <w:bottom w:val="single" w:color="auto" w:sz="8" w:space="0"/>
            </w:tcBorders>
            <w:vAlign w:val="center"/>
          </w:tcPr>
          <w:p w14:paraId="4D3449F7">
            <w:pPr>
              <w:jc w:val="center"/>
              <w:rPr>
                <w:rFonts w:ascii="Times New Roman" w:hAnsi="Times New Roman" w:cs="Times New Roman"/>
                <w:sz w:val="21"/>
                <w:szCs w:val="21"/>
              </w:rPr>
            </w:pPr>
            <w:r>
              <w:rPr>
                <w:rFonts w:ascii="Times New Roman" w:hAnsi="Times New Roman" w:cs="Times New Roman"/>
                <w:sz w:val="21"/>
                <w:szCs w:val="21"/>
              </w:rPr>
              <w:t>6.992</w:t>
            </w:r>
          </w:p>
        </w:tc>
        <w:tc>
          <w:tcPr>
            <w:tcW w:w="1878" w:type="dxa"/>
            <w:tcBorders>
              <w:bottom w:val="single" w:color="auto" w:sz="8" w:space="0"/>
            </w:tcBorders>
            <w:vAlign w:val="center"/>
          </w:tcPr>
          <w:p w14:paraId="6A065621">
            <w:pPr>
              <w:jc w:val="center"/>
              <w:rPr>
                <w:rFonts w:ascii="Times New Roman" w:hAnsi="Times New Roman" w:cs="Times New Roman"/>
                <w:sz w:val="21"/>
                <w:szCs w:val="21"/>
              </w:rPr>
            </w:pPr>
            <w:r>
              <w:rPr>
                <w:rFonts w:ascii="Times New Roman" w:hAnsi="Times New Roman" w:cs="Times New Roman"/>
                <w:sz w:val="21"/>
                <w:szCs w:val="21"/>
              </w:rPr>
              <w:t>2.</w:t>
            </w:r>
            <w:r>
              <w:rPr>
                <w:rFonts w:hint="eastAsia" w:ascii="Times New Roman" w:hAnsi="Times New Roman" w:cs="Times New Roman"/>
                <w:sz w:val="21"/>
                <w:szCs w:val="21"/>
              </w:rPr>
              <w:t>5</w:t>
            </w:r>
            <w:r>
              <w:rPr>
                <w:rFonts w:ascii="Times New Roman" w:hAnsi="Times New Roman" w:cs="Times New Roman"/>
                <w:sz w:val="21"/>
                <w:szCs w:val="21"/>
              </w:rPr>
              <w:t>24</w:t>
            </w:r>
          </w:p>
        </w:tc>
        <w:tc>
          <w:tcPr>
            <w:tcW w:w="1879" w:type="dxa"/>
            <w:tcBorders>
              <w:bottom w:val="single" w:color="auto" w:sz="8" w:space="0"/>
            </w:tcBorders>
            <w:vAlign w:val="center"/>
          </w:tcPr>
          <w:p w14:paraId="1023222F">
            <w:pPr>
              <w:jc w:val="center"/>
              <w:rPr>
                <w:rFonts w:ascii="Times New Roman" w:hAnsi="Times New Roman" w:cs="Times New Roman"/>
                <w:sz w:val="21"/>
                <w:szCs w:val="21"/>
              </w:rPr>
            </w:pPr>
            <w:r>
              <w:rPr>
                <w:rFonts w:hint="eastAsia" w:ascii="Times New Roman" w:hAnsi="Times New Roman" w:cs="Times New Roman"/>
                <w:sz w:val="21"/>
                <w:szCs w:val="21"/>
              </w:rPr>
              <w:t>2</w:t>
            </w:r>
            <w:r>
              <w:rPr>
                <w:rFonts w:ascii="Times New Roman" w:hAnsi="Times New Roman" w:cs="Times New Roman"/>
                <w:sz w:val="21"/>
                <w:szCs w:val="21"/>
              </w:rPr>
              <w:t>9.13</w:t>
            </w:r>
          </w:p>
        </w:tc>
      </w:tr>
    </w:tbl>
    <w:p w14:paraId="582936CB">
      <w:pPr>
        <w:widowControl w:val="0"/>
        <w:spacing w:line="360" w:lineRule="auto"/>
        <w:ind w:firstLine="360" w:firstLineChars="150"/>
        <w:jc w:val="both"/>
        <w:rPr>
          <w:rFonts w:ascii="Times New Roman" w:hAnsi="Times New Roman" w:eastAsia="等线" w:cs="Times New Roman"/>
          <w:kern w:val="2"/>
        </w:rPr>
      </w:pPr>
      <w:r>
        <w:rPr>
          <w:rFonts w:ascii="Times New Roman" w:hAnsi="Times New Roman" w:eastAsia="等线" w:cs="Times New Roman"/>
          <w:kern w:val="2"/>
        </w:rPr>
        <w:t>The plugging efficiency (P</w:t>
      </w:r>
      <w:r>
        <w:rPr>
          <w:rFonts w:ascii="Times New Roman" w:hAnsi="Times New Roman" w:eastAsia="等线" w:cs="Times New Roman"/>
          <w:kern w:val="2"/>
          <w:vertAlign w:val="subscript"/>
        </w:rPr>
        <w:t>e</w:t>
      </w:r>
      <w:r>
        <w:rPr>
          <w:rFonts w:ascii="Times New Roman" w:hAnsi="Times New Roman" w:eastAsia="等线" w:cs="Times New Roman"/>
          <w:kern w:val="2"/>
        </w:rPr>
        <w:t>) is obtained by the following equation:</w:t>
      </w:r>
    </w:p>
    <w:p w14:paraId="4027DEA4">
      <w:pPr>
        <w:widowControl w:val="0"/>
        <w:spacing w:line="360" w:lineRule="auto"/>
        <w:ind w:firstLine="240" w:firstLineChars="100"/>
        <w:jc w:val="center"/>
        <w:rPr>
          <w:rFonts w:ascii="Times New Roman" w:hAnsi="Times New Roman" w:eastAsia="等线" w:cs="Times New Roman"/>
          <w:kern w:val="2"/>
        </w:rPr>
      </w:pPr>
      <m:oMath>
        <m:sSub>
          <m:sSubPr>
            <m:ctrlPr>
              <w:rPr>
                <w:rFonts w:ascii="Cambria Math" w:hAnsi="Cambria Math" w:eastAsia="等线" w:cs="Times New Roman"/>
                <w:i/>
                <w:kern w:val="2"/>
              </w:rPr>
            </m:ctrlPr>
          </m:sSubPr>
          <m:e>
            <m:r>
              <m:rPr/>
              <w:rPr>
                <w:rFonts w:ascii="Cambria Math" w:hAnsi="Cambria Math" w:eastAsia="等线" w:cs="Times New Roman"/>
                <w:kern w:val="2"/>
              </w:rPr>
              <m:t>P</m:t>
            </m:r>
            <m:ctrlPr>
              <w:rPr>
                <w:rFonts w:ascii="Cambria Math" w:hAnsi="Cambria Math" w:eastAsia="等线" w:cs="Times New Roman"/>
                <w:i/>
                <w:kern w:val="2"/>
              </w:rPr>
            </m:ctrlPr>
          </m:e>
          <m:sub>
            <m:r>
              <m:rPr/>
              <w:rPr>
                <w:rFonts w:ascii="Cambria Math" w:hAnsi="Cambria Math" w:eastAsia="等线" w:cs="Times New Roman"/>
                <w:kern w:val="2"/>
              </w:rPr>
              <m:t>e</m:t>
            </m:r>
            <m:ctrlPr>
              <w:rPr>
                <w:rFonts w:ascii="Cambria Math" w:hAnsi="Cambria Math" w:eastAsia="等线" w:cs="Times New Roman"/>
                <w:i/>
                <w:kern w:val="2"/>
              </w:rPr>
            </m:ctrlPr>
          </m:sub>
        </m:sSub>
        <m:r>
          <m:rPr/>
          <w:rPr>
            <w:rFonts w:ascii="Cambria Math" w:hAnsi="Cambria Math" w:eastAsia="等线" w:cs="Times New Roman"/>
            <w:kern w:val="2"/>
          </w:rPr>
          <m:t>=(1−</m:t>
        </m:r>
        <m:f>
          <m:fPr>
            <m:ctrlPr>
              <w:rPr>
                <w:rFonts w:ascii="Cambria Math" w:hAnsi="Cambria Math" w:eastAsia="等线" w:cs="Times New Roman"/>
                <w:i/>
                <w:kern w:val="2"/>
              </w:rPr>
            </m:ctrlPr>
          </m:fPr>
          <m:num>
            <m:sSub>
              <m:sSubPr>
                <m:ctrlPr>
                  <w:rPr>
                    <w:rFonts w:ascii="Cambria Math" w:hAnsi="Cambria Math" w:eastAsia="等线" w:cs="Times New Roman"/>
                    <w:i/>
                    <w:kern w:val="2"/>
                  </w:rPr>
                </m:ctrlPr>
              </m:sSubPr>
              <m:e>
                <m:r>
                  <m:rPr/>
                  <w:rPr>
                    <w:rFonts w:ascii="Cambria Math" w:hAnsi="Cambria Math" w:eastAsia="等线" w:cs="Times New Roman"/>
                    <w:kern w:val="2"/>
                  </w:rPr>
                  <m:t>K</m:t>
                </m:r>
                <m:ctrlPr>
                  <w:rPr>
                    <w:rFonts w:ascii="Cambria Math" w:hAnsi="Cambria Math" w:eastAsia="等线" w:cs="Times New Roman"/>
                    <w:i/>
                    <w:kern w:val="2"/>
                  </w:rPr>
                </m:ctrlPr>
              </m:e>
              <m:sub>
                <m:r>
                  <m:rPr/>
                  <w:rPr>
                    <w:rFonts w:ascii="Cambria Math" w:hAnsi="Cambria Math" w:eastAsia="等线" w:cs="Times New Roman"/>
                    <w:kern w:val="2"/>
                  </w:rPr>
                  <m:t>2</m:t>
                </m:r>
                <m:ctrlPr>
                  <w:rPr>
                    <w:rFonts w:ascii="Cambria Math" w:hAnsi="Cambria Math" w:eastAsia="等线" w:cs="Times New Roman"/>
                    <w:i/>
                    <w:kern w:val="2"/>
                  </w:rPr>
                </m:ctrlPr>
              </m:sub>
            </m:sSub>
            <m:ctrlPr>
              <w:rPr>
                <w:rFonts w:ascii="Cambria Math" w:hAnsi="Cambria Math" w:eastAsia="等线" w:cs="Times New Roman"/>
                <w:i/>
                <w:kern w:val="2"/>
              </w:rPr>
            </m:ctrlPr>
          </m:num>
          <m:den>
            <m:sSub>
              <m:sSubPr>
                <m:ctrlPr>
                  <w:rPr>
                    <w:rFonts w:ascii="Cambria Math" w:hAnsi="Cambria Math" w:eastAsia="等线" w:cs="Times New Roman"/>
                    <w:i/>
                    <w:kern w:val="2"/>
                  </w:rPr>
                </m:ctrlPr>
              </m:sSubPr>
              <m:e>
                <m:r>
                  <m:rPr/>
                  <w:rPr>
                    <w:rFonts w:ascii="Cambria Math" w:hAnsi="Cambria Math" w:eastAsia="等线" w:cs="Times New Roman"/>
                    <w:kern w:val="2"/>
                  </w:rPr>
                  <m:t>K</m:t>
                </m:r>
                <m:ctrlPr>
                  <w:rPr>
                    <w:rFonts w:ascii="Cambria Math" w:hAnsi="Cambria Math" w:eastAsia="等线" w:cs="Times New Roman"/>
                    <w:i/>
                    <w:kern w:val="2"/>
                  </w:rPr>
                </m:ctrlPr>
              </m:e>
              <m:sub>
                <m:r>
                  <m:rPr/>
                  <w:rPr>
                    <w:rFonts w:ascii="Cambria Math" w:hAnsi="Cambria Math" w:eastAsia="等线" w:cs="Times New Roman"/>
                    <w:kern w:val="2"/>
                  </w:rPr>
                  <m:t>1</m:t>
                </m:r>
                <m:ctrlPr>
                  <w:rPr>
                    <w:rFonts w:ascii="Cambria Math" w:hAnsi="Cambria Math" w:eastAsia="等线" w:cs="Times New Roman"/>
                    <w:i/>
                    <w:kern w:val="2"/>
                  </w:rPr>
                </m:ctrlPr>
              </m:sub>
            </m:sSub>
            <m:ctrlPr>
              <w:rPr>
                <w:rFonts w:ascii="Cambria Math" w:hAnsi="Cambria Math" w:eastAsia="等线" w:cs="Times New Roman"/>
                <w:i/>
                <w:kern w:val="2"/>
              </w:rPr>
            </m:ctrlPr>
          </m:den>
        </m:f>
        <m:r>
          <m:rPr/>
          <w:rPr>
            <w:rFonts w:ascii="Cambria Math" w:hAnsi="Cambria Math" w:eastAsia="等线" w:cs="Times New Roman"/>
            <w:kern w:val="2"/>
          </w:rPr>
          <m:t>)∗100%</m:t>
        </m:r>
      </m:oMath>
      <w:r>
        <w:rPr>
          <w:rFonts w:ascii="Times New Roman" w:hAnsi="Times New Roman" w:eastAsia="等线" w:cs="Times New Roman"/>
          <w:kern w:val="2"/>
        </w:rPr>
        <w:t xml:space="preserve">  (Q4)</w:t>
      </w:r>
    </w:p>
    <w:p w14:paraId="54950BB3">
      <w:pPr>
        <w:spacing w:line="360" w:lineRule="auto"/>
        <w:ind w:firstLine="240" w:firstLineChars="100"/>
        <w:rPr>
          <w:rFonts w:ascii="Times New Roman" w:hAnsi="Times New Roman" w:eastAsia="等线" w:cs="Times New Roman"/>
          <w:kern w:val="2"/>
        </w:rPr>
      </w:pPr>
      <w:r>
        <w:rPr>
          <w:rFonts w:ascii="Times New Roman" w:hAnsi="Times New Roman" w:eastAsia="等线" w:cs="Times New Roman"/>
          <w:kern w:val="2"/>
        </w:rPr>
        <w:t>The core damage ratio (D</w:t>
      </w:r>
      <w:r>
        <w:rPr>
          <w:rFonts w:ascii="Times New Roman" w:hAnsi="Times New Roman" w:eastAsia="等线" w:cs="Times New Roman"/>
          <w:kern w:val="2"/>
          <w:vertAlign w:val="subscript"/>
        </w:rPr>
        <w:t>r</w:t>
      </w:r>
      <w:r>
        <w:rPr>
          <w:rFonts w:ascii="Times New Roman" w:hAnsi="Times New Roman" w:eastAsia="等线" w:cs="Times New Roman"/>
          <w:kern w:val="2"/>
        </w:rPr>
        <w:t>) is obtained by the following equation:</w:t>
      </w:r>
    </w:p>
    <w:p w14:paraId="74EEAEDC">
      <w:pPr>
        <w:spacing w:line="360" w:lineRule="auto"/>
        <w:ind w:firstLine="240" w:firstLineChars="100"/>
        <w:jc w:val="center"/>
        <w:rPr>
          <w:rFonts w:ascii="Times New Roman" w:hAnsi="Times New Roman" w:eastAsia="等线" w:cs="Times New Roman"/>
        </w:rPr>
      </w:pPr>
      <m:oMath>
        <m:sSub>
          <m:sSubPr>
            <m:ctrlPr>
              <w:rPr>
                <w:rFonts w:ascii="Cambria Math" w:hAnsi="Cambria Math" w:eastAsia="等线" w:cs="Times New Roman"/>
                <w:i/>
              </w:rPr>
            </m:ctrlPr>
          </m:sSubPr>
          <m:e>
            <m:r>
              <m:rPr/>
              <w:rPr>
                <w:rFonts w:ascii="Cambria Math" w:hAnsi="Cambria Math" w:eastAsia="等线" w:cs="Times New Roman"/>
              </w:rPr>
              <m:t>D</m:t>
            </m:r>
            <m:ctrlPr>
              <w:rPr>
                <w:rFonts w:ascii="Cambria Math" w:hAnsi="Cambria Math" w:eastAsia="等线" w:cs="Times New Roman"/>
                <w:i/>
              </w:rPr>
            </m:ctrlPr>
          </m:e>
          <m:sub>
            <m:r>
              <m:rPr/>
              <w:rPr>
                <w:rFonts w:ascii="Cambria Math" w:hAnsi="Cambria Math" w:eastAsia="等线" w:cs="Times New Roman"/>
              </w:rPr>
              <m:t>r</m:t>
            </m:r>
            <m:ctrlPr>
              <w:rPr>
                <w:rFonts w:ascii="Cambria Math" w:hAnsi="Cambria Math" w:eastAsia="等线" w:cs="Times New Roman"/>
                <w:i/>
              </w:rPr>
            </m:ctrlPr>
          </m:sub>
        </m:sSub>
        <m:r>
          <m:rPr/>
          <w:rPr>
            <w:rFonts w:ascii="Cambria Math" w:hAnsi="Cambria Math" w:eastAsia="等线" w:cs="Times New Roman"/>
          </w:rPr>
          <m:t>=(1−</m:t>
        </m:r>
        <m:f>
          <m:fPr>
            <m:ctrlPr>
              <w:rPr>
                <w:rFonts w:ascii="Cambria Math" w:hAnsi="Cambria Math" w:eastAsia="等线" w:cs="Times New Roman"/>
                <w:i/>
              </w:rPr>
            </m:ctrlPr>
          </m:fPr>
          <m:num>
            <m:sSub>
              <m:sSubPr>
                <m:ctrlPr>
                  <w:rPr>
                    <w:rFonts w:ascii="Cambria Math" w:hAnsi="Cambria Math" w:eastAsia="等线" w:cs="Times New Roman"/>
                    <w:i/>
                  </w:rPr>
                </m:ctrlPr>
              </m:sSubPr>
              <m:e>
                <m:r>
                  <m:rPr/>
                  <w:rPr>
                    <w:rFonts w:ascii="Cambria Math" w:hAnsi="Cambria Math" w:eastAsia="等线" w:cs="Times New Roman"/>
                  </w:rPr>
                  <m:t>K</m:t>
                </m:r>
                <m:ctrlPr>
                  <w:rPr>
                    <w:rFonts w:ascii="Cambria Math" w:hAnsi="Cambria Math" w:eastAsia="等线" w:cs="Times New Roman"/>
                    <w:i/>
                  </w:rPr>
                </m:ctrlPr>
              </m:e>
              <m:sub>
                <m:r>
                  <m:rPr/>
                  <w:rPr>
                    <w:rFonts w:ascii="Cambria Math" w:hAnsi="Cambria Math" w:eastAsia="等线" w:cs="Times New Roman"/>
                  </w:rPr>
                  <m:t>3</m:t>
                </m:r>
                <m:ctrlPr>
                  <w:rPr>
                    <w:rFonts w:ascii="Cambria Math" w:hAnsi="Cambria Math" w:eastAsia="等线" w:cs="Times New Roman"/>
                    <w:i/>
                  </w:rPr>
                </m:ctrlPr>
              </m:sub>
            </m:sSub>
            <m:ctrlPr>
              <w:rPr>
                <w:rFonts w:ascii="Cambria Math" w:hAnsi="Cambria Math" w:eastAsia="等线" w:cs="Times New Roman"/>
                <w:i/>
              </w:rPr>
            </m:ctrlPr>
          </m:num>
          <m:den>
            <m:sSub>
              <m:sSubPr>
                <m:ctrlPr>
                  <w:rPr>
                    <w:rFonts w:ascii="Cambria Math" w:hAnsi="Cambria Math" w:eastAsia="等线" w:cs="Times New Roman"/>
                    <w:i/>
                  </w:rPr>
                </m:ctrlPr>
              </m:sSubPr>
              <m:e>
                <m:r>
                  <m:rPr/>
                  <w:rPr>
                    <w:rFonts w:ascii="Cambria Math" w:hAnsi="Cambria Math" w:eastAsia="等线" w:cs="Times New Roman"/>
                  </w:rPr>
                  <m:t>K</m:t>
                </m:r>
                <m:ctrlPr>
                  <w:rPr>
                    <w:rFonts w:ascii="Cambria Math" w:hAnsi="Cambria Math" w:eastAsia="等线" w:cs="Times New Roman"/>
                    <w:i/>
                  </w:rPr>
                </m:ctrlPr>
              </m:e>
              <m:sub>
                <m:r>
                  <m:rPr/>
                  <w:rPr>
                    <w:rFonts w:ascii="Cambria Math" w:hAnsi="Cambria Math" w:eastAsia="等线" w:cs="Times New Roman"/>
                  </w:rPr>
                  <m:t>1</m:t>
                </m:r>
                <m:ctrlPr>
                  <w:rPr>
                    <w:rFonts w:ascii="Cambria Math" w:hAnsi="Cambria Math" w:eastAsia="等线" w:cs="Times New Roman"/>
                    <w:i/>
                  </w:rPr>
                </m:ctrlPr>
              </m:sub>
            </m:sSub>
            <m:ctrlPr>
              <w:rPr>
                <w:rFonts w:ascii="Cambria Math" w:hAnsi="Cambria Math" w:eastAsia="等线" w:cs="Times New Roman"/>
                <w:i/>
              </w:rPr>
            </m:ctrlPr>
          </m:den>
        </m:f>
        <m:r>
          <m:rPr/>
          <w:rPr>
            <w:rFonts w:ascii="Cambria Math" w:hAnsi="Cambria Math" w:eastAsia="等线" w:cs="Times New Roman"/>
          </w:rPr>
          <m:t>)∗100%</m:t>
        </m:r>
      </m:oMath>
      <w:r>
        <w:rPr>
          <w:rFonts w:hint="eastAsia" w:ascii="Times New Roman" w:hAnsi="Times New Roman" w:eastAsia="等线" w:cs="Times New Roman"/>
        </w:rPr>
        <w:t xml:space="preserve">  (Q5)</w:t>
      </w:r>
    </w:p>
    <w:p w14:paraId="03B73027">
      <w:pPr>
        <w:spacing w:line="360" w:lineRule="auto"/>
        <w:jc w:val="center"/>
        <w:rPr>
          <w:rFonts w:ascii="Times New Roman" w:hAnsi="Times New Roman" w:cs="Times New Roman"/>
          <w:b/>
          <w:bCs/>
          <w:sz w:val="21"/>
          <w:szCs w:val="21"/>
        </w:rPr>
      </w:pPr>
      <w:r>
        <w:rPr>
          <w:rFonts w:ascii="Times New Roman" w:hAnsi="Times New Roman" w:cs="Times New Roman"/>
          <w:b/>
          <w:bCs/>
          <w:sz w:val="21"/>
          <w:szCs w:val="21"/>
        </w:rPr>
        <w:t>Table S5. Displacement test results.</w:t>
      </w:r>
    </w:p>
    <w:tbl>
      <w:tblPr>
        <w:tblStyle w:val="14"/>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22"/>
        <w:gridCol w:w="2026"/>
        <w:gridCol w:w="2074"/>
        <w:gridCol w:w="2074"/>
      </w:tblGrid>
      <w:tr w14:paraId="7D9BE5D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2122" w:type="dxa"/>
            <w:tcBorders>
              <w:top w:val="single" w:color="000000" w:sz="12" w:space="0"/>
              <w:left w:val="nil"/>
              <w:bottom w:val="single" w:color="auto" w:sz="4" w:space="0"/>
              <w:right w:val="single" w:color="FFFFFF" w:sz="4" w:space="0"/>
            </w:tcBorders>
            <w:vAlign w:val="center"/>
          </w:tcPr>
          <w:p w14:paraId="25BEEFF5">
            <w:pPr>
              <w:widowControl w:val="0"/>
              <w:jc w:val="center"/>
              <w:rPr>
                <w:rFonts w:ascii="Times New Roman" w:hAnsi="Times New Roman" w:eastAsia="等线" w:cs="Times New Roman"/>
                <w:b/>
                <w:bCs/>
                <w:sz w:val="21"/>
                <w:szCs w:val="21"/>
              </w:rPr>
            </w:pPr>
            <w:r>
              <w:rPr>
                <w:rFonts w:ascii="Times New Roman" w:hAnsi="Times New Roman" w:eastAsia="等线" w:cs="Times New Roman"/>
                <w:b/>
                <w:bCs/>
                <w:sz w:val="21"/>
                <w:szCs w:val="21"/>
              </w:rPr>
              <w:t>Core state</w:t>
            </w:r>
          </w:p>
        </w:tc>
        <w:tc>
          <w:tcPr>
            <w:tcW w:w="2026" w:type="dxa"/>
            <w:tcBorders>
              <w:top w:val="single" w:color="000000" w:sz="12" w:space="0"/>
              <w:left w:val="nil"/>
              <w:bottom w:val="single" w:color="000000" w:sz="4" w:space="0"/>
              <w:right w:val="nil"/>
            </w:tcBorders>
            <w:vAlign w:val="center"/>
          </w:tcPr>
          <w:p w14:paraId="29084ECA">
            <w:pPr>
              <w:widowControl w:val="0"/>
              <w:jc w:val="center"/>
              <w:rPr>
                <w:rFonts w:ascii="Times New Roman" w:hAnsi="Times New Roman" w:eastAsia="等线" w:cs="Times New Roman"/>
                <w:b/>
                <w:bCs/>
                <w:sz w:val="21"/>
                <w:szCs w:val="21"/>
              </w:rPr>
            </w:pPr>
            <w:r>
              <w:rPr>
                <w:rFonts w:ascii="Times New Roman" w:hAnsi="Times New Roman" w:eastAsia="等线" w:cs="Times New Roman"/>
                <w:b/>
                <w:bCs/>
                <w:sz w:val="21"/>
                <w:szCs w:val="21"/>
              </w:rPr>
              <w:t>Before injection</w:t>
            </w:r>
          </w:p>
        </w:tc>
        <w:tc>
          <w:tcPr>
            <w:tcW w:w="2074" w:type="dxa"/>
            <w:tcBorders>
              <w:top w:val="single" w:color="000000" w:sz="12" w:space="0"/>
              <w:left w:val="nil"/>
              <w:bottom w:val="single" w:color="000000" w:sz="4" w:space="0"/>
              <w:right w:val="nil"/>
            </w:tcBorders>
            <w:vAlign w:val="center"/>
          </w:tcPr>
          <w:p w14:paraId="3EC36B7B">
            <w:pPr>
              <w:widowControl w:val="0"/>
              <w:jc w:val="center"/>
              <w:rPr>
                <w:rFonts w:ascii="Times New Roman" w:hAnsi="Times New Roman" w:eastAsia="等线" w:cs="Times New Roman"/>
                <w:b/>
                <w:bCs/>
                <w:sz w:val="21"/>
                <w:szCs w:val="21"/>
              </w:rPr>
            </w:pPr>
            <w:r>
              <w:rPr>
                <w:rFonts w:ascii="Times New Roman" w:hAnsi="Times New Roman" w:eastAsia="等线" w:cs="Times New Roman"/>
                <w:b/>
                <w:bCs/>
                <w:sz w:val="21"/>
                <w:szCs w:val="21"/>
              </w:rPr>
              <w:t>After injection</w:t>
            </w:r>
          </w:p>
        </w:tc>
        <w:tc>
          <w:tcPr>
            <w:tcW w:w="2074" w:type="dxa"/>
            <w:tcBorders>
              <w:top w:val="single" w:color="000000" w:sz="12" w:space="0"/>
              <w:left w:val="nil"/>
              <w:bottom w:val="single" w:color="000000" w:sz="4" w:space="0"/>
              <w:right w:val="nil"/>
            </w:tcBorders>
            <w:vAlign w:val="center"/>
          </w:tcPr>
          <w:p w14:paraId="69FF2E30">
            <w:pPr>
              <w:widowControl w:val="0"/>
              <w:jc w:val="center"/>
              <w:rPr>
                <w:rFonts w:ascii="Times New Roman" w:hAnsi="Times New Roman" w:eastAsia="等线" w:cs="Times New Roman"/>
                <w:b/>
                <w:bCs/>
                <w:sz w:val="21"/>
                <w:szCs w:val="21"/>
              </w:rPr>
            </w:pPr>
            <w:r>
              <w:rPr>
                <w:rFonts w:ascii="Times New Roman" w:hAnsi="Times New Roman" w:eastAsia="等线" w:cs="Times New Roman"/>
                <w:b/>
                <w:bCs/>
                <w:sz w:val="21"/>
                <w:szCs w:val="21"/>
              </w:rPr>
              <w:t>After degradation</w:t>
            </w:r>
          </w:p>
        </w:tc>
      </w:tr>
      <w:tr w14:paraId="7748327B">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122" w:type="dxa"/>
            <w:tcBorders>
              <w:top w:val="single" w:color="auto" w:sz="4" w:space="0"/>
              <w:left w:val="nil"/>
              <w:bottom w:val="single" w:color="FFFFFF" w:sz="4" w:space="0"/>
              <w:right w:val="single" w:color="FFFFFF" w:sz="4" w:space="0"/>
            </w:tcBorders>
            <w:vAlign w:val="center"/>
          </w:tcPr>
          <w:p w14:paraId="60CD535A">
            <w:pPr>
              <w:widowControl w:val="0"/>
              <w:jc w:val="center"/>
              <w:rPr>
                <w:rFonts w:ascii="Times New Roman" w:hAnsi="Times New Roman" w:eastAsia="等线" w:cs="Times New Roman"/>
                <w:b/>
                <w:bCs/>
                <w:sz w:val="21"/>
                <w:szCs w:val="21"/>
              </w:rPr>
            </w:pPr>
            <w:r>
              <w:rPr>
                <w:rFonts w:ascii="Times New Roman" w:hAnsi="Times New Roman" w:eastAsia="等线" w:cs="Times New Roman"/>
                <w:b/>
                <w:bCs/>
                <w:sz w:val="21"/>
                <w:szCs w:val="21"/>
              </w:rPr>
              <w:t>Flow rate (mL/min)</w:t>
            </w:r>
          </w:p>
        </w:tc>
        <w:tc>
          <w:tcPr>
            <w:tcW w:w="2026" w:type="dxa"/>
            <w:tcBorders>
              <w:top w:val="single" w:color="000000" w:sz="4" w:space="0"/>
              <w:left w:val="nil"/>
              <w:bottom w:val="nil"/>
              <w:right w:val="nil"/>
            </w:tcBorders>
            <w:vAlign w:val="center"/>
          </w:tcPr>
          <w:p w14:paraId="4003936A">
            <w:pPr>
              <w:widowControl w:val="0"/>
              <w:jc w:val="center"/>
              <w:rPr>
                <w:rFonts w:ascii="Times New Roman" w:hAnsi="Times New Roman" w:eastAsia="等线" w:cs="Times New Roman"/>
                <w:sz w:val="21"/>
                <w:szCs w:val="21"/>
              </w:rPr>
            </w:pPr>
            <w:r>
              <w:rPr>
                <w:rFonts w:ascii="Times New Roman" w:hAnsi="Times New Roman" w:eastAsia="等线" w:cs="Times New Roman"/>
                <w:sz w:val="21"/>
                <w:szCs w:val="21"/>
              </w:rPr>
              <w:t>1</w:t>
            </w:r>
          </w:p>
        </w:tc>
        <w:tc>
          <w:tcPr>
            <w:tcW w:w="2074" w:type="dxa"/>
            <w:tcBorders>
              <w:top w:val="single" w:color="000000" w:sz="4" w:space="0"/>
              <w:left w:val="nil"/>
              <w:bottom w:val="nil"/>
              <w:right w:val="nil"/>
            </w:tcBorders>
            <w:vAlign w:val="center"/>
          </w:tcPr>
          <w:p w14:paraId="643B1CAD">
            <w:pPr>
              <w:widowControl w:val="0"/>
              <w:jc w:val="center"/>
              <w:rPr>
                <w:rFonts w:ascii="Times New Roman" w:hAnsi="Times New Roman" w:eastAsia="等线" w:cs="Times New Roman"/>
                <w:sz w:val="21"/>
                <w:szCs w:val="21"/>
              </w:rPr>
            </w:pPr>
            <w:r>
              <w:rPr>
                <w:rFonts w:ascii="Times New Roman" w:hAnsi="Times New Roman" w:eastAsia="等线" w:cs="Times New Roman"/>
                <w:sz w:val="21"/>
                <w:szCs w:val="21"/>
              </w:rPr>
              <w:t>0.5</w:t>
            </w:r>
          </w:p>
        </w:tc>
        <w:tc>
          <w:tcPr>
            <w:tcW w:w="2074" w:type="dxa"/>
            <w:tcBorders>
              <w:top w:val="single" w:color="000000" w:sz="4" w:space="0"/>
              <w:left w:val="nil"/>
              <w:bottom w:val="nil"/>
              <w:right w:val="nil"/>
            </w:tcBorders>
            <w:vAlign w:val="center"/>
          </w:tcPr>
          <w:p w14:paraId="4AC80A83">
            <w:pPr>
              <w:widowControl w:val="0"/>
              <w:jc w:val="center"/>
              <w:rPr>
                <w:rFonts w:ascii="Times New Roman" w:hAnsi="Times New Roman" w:eastAsia="等线" w:cs="Times New Roman"/>
                <w:sz w:val="21"/>
                <w:szCs w:val="21"/>
              </w:rPr>
            </w:pPr>
            <w:r>
              <w:rPr>
                <w:rFonts w:ascii="Times New Roman" w:hAnsi="Times New Roman" w:eastAsia="等线" w:cs="Times New Roman"/>
                <w:sz w:val="21"/>
                <w:szCs w:val="21"/>
              </w:rPr>
              <w:t>1</w:t>
            </w:r>
          </w:p>
        </w:tc>
      </w:tr>
      <w:tr w14:paraId="2B0BBCC1">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122" w:type="dxa"/>
            <w:tcBorders>
              <w:top w:val="single" w:color="FFFFFF" w:sz="4" w:space="0"/>
              <w:left w:val="nil"/>
              <w:bottom w:val="single" w:color="FFFFFF" w:sz="4" w:space="0"/>
              <w:right w:val="single" w:color="FFFFFF" w:sz="4" w:space="0"/>
            </w:tcBorders>
            <w:vAlign w:val="center"/>
          </w:tcPr>
          <w:p w14:paraId="27C5924B">
            <w:pPr>
              <w:widowControl w:val="0"/>
              <w:jc w:val="center"/>
              <w:rPr>
                <w:rFonts w:ascii="Times New Roman" w:hAnsi="Times New Roman" w:eastAsia="等线" w:cs="Times New Roman"/>
                <w:b/>
                <w:bCs/>
                <w:sz w:val="21"/>
                <w:szCs w:val="21"/>
              </w:rPr>
            </w:pPr>
            <w:r>
              <w:rPr>
                <w:rFonts w:ascii="Times New Roman" w:hAnsi="Times New Roman" w:eastAsia="等线" w:cs="Times New Roman"/>
                <w:b/>
                <w:bCs/>
                <w:sz w:val="21"/>
                <w:szCs w:val="21"/>
              </w:rPr>
              <w:t>Pressure drop (MPa)</w:t>
            </w:r>
          </w:p>
        </w:tc>
        <w:tc>
          <w:tcPr>
            <w:tcW w:w="2026" w:type="dxa"/>
            <w:tcBorders>
              <w:top w:val="nil"/>
              <w:left w:val="nil"/>
              <w:bottom w:val="nil"/>
              <w:right w:val="nil"/>
            </w:tcBorders>
            <w:vAlign w:val="center"/>
          </w:tcPr>
          <w:p w14:paraId="618A1997">
            <w:pPr>
              <w:widowControl w:val="0"/>
              <w:jc w:val="center"/>
              <w:rPr>
                <w:rFonts w:ascii="Times New Roman" w:hAnsi="Times New Roman" w:eastAsia="等线" w:cs="Times New Roman"/>
                <w:sz w:val="21"/>
                <w:szCs w:val="21"/>
              </w:rPr>
            </w:pPr>
            <w:r>
              <w:rPr>
                <w:rFonts w:ascii="Times New Roman" w:hAnsi="Times New Roman" w:eastAsia="等线" w:cs="Times New Roman"/>
                <w:sz w:val="21"/>
                <w:szCs w:val="21"/>
              </w:rPr>
              <w:t>0.02</w:t>
            </w:r>
          </w:p>
        </w:tc>
        <w:tc>
          <w:tcPr>
            <w:tcW w:w="2074" w:type="dxa"/>
            <w:tcBorders>
              <w:top w:val="nil"/>
              <w:left w:val="nil"/>
              <w:bottom w:val="nil"/>
              <w:right w:val="nil"/>
            </w:tcBorders>
            <w:vAlign w:val="center"/>
          </w:tcPr>
          <w:p w14:paraId="0A04A79A">
            <w:pPr>
              <w:widowControl w:val="0"/>
              <w:jc w:val="center"/>
              <w:rPr>
                <w:rFonts w:ascii="Times New Roman" w:hAnsi="Times New Roman" w:eastAsia="等线" w:cs="Times New Roman"/>
                <w:sz w:val="21"/>
                <w:szCs w:val="21"/>
              </w:rPr>
            </w:pPr>
            <w:r>
              <w:rPr>
                <w:rFonts w:ascii="Times New Roman" w:hAnsi="Times New Roman" w:eastAsia="等线" w:cs="Times New Roman"/>
                <w:sz w:val="21"/>
                <w:szCs w:val="21"/>
              </w:rPr>
              <w:t>2.51</w:t>
            </w:r>
          </w:p>
        </w:tc>
        <w:tc>
          <w:tcPr>
            <w:tcW w:w="2074" w:type="dxa"/>
            <w:tcBorders>
              <w:top w:val="nil"/>
              <w:left w:val="nil"/>
              <w:bottom w:val="nil"/>
              <w:right w:val="nil"/>
            </w:tcBorders>
            <w:vAlign w:val="center"/>
          </w:tcPr>
          <w:p w14:paraId="6F9E6814">
            <w:pPr>
              <w:widowControl w:val="0"/>
              <w:jc w:val="center"/>
              <w:rPr>
                <w:rFonts w:ascii="Times New Roman" w:hAnsi="Times New Roman" w:eastAsia="等线" w:cs="Times New Roman"/>
                <w:sz w:val="21"/>
                <w:szCs w:val="21"/>
              </w:rPr>
            </w:pPr>
            <w:r>
              <w:rPr>
                <w:rFonts w:ascii="Times New Roman" w:hAnsi="Times New Roman" w:eastAsia="等线" w:cs="Times New Roman"/>
                <w:sz w:val="21"/>
                <w:szCs w:val="21"/>
              </w:rPr>
              <w:t>0.06</w:t>
            </w:r>
          </w:p>
        </w:tc>
      </w:tr>
      <w:tr w14:paraId="54BD3342">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122" w:type="dxa"/>
            <w:tcBorders>
              <w:top w:val="single" w:color="FFFFFF" w:sz="4" w:space="0"/>
              <w:left w:val="nil"/>
              <w:bottom w:val="single" w:color="000000" w:sz="8" w:space="0"/>
              <w:right w:val="single" w:color="FFFFFF" w:sz="4" w:space="0"/>
            </w:tcBorders>
            <w:vAlign w:val="center"/>
          </w:tcPr>
          <w:p w14:paraId="7C550AC1">
            <w:pPr>
              <w:widowControl w:val="0"/>
              <w:jc w:val="center"/>
              <w:rPr>
                <w:rFonts w:ascii="Times New Roman" w:hAnsi="Times New Roman" w:eastAsia="等线" w:cs="Times New Roman"/>
                <w:b/>
                <w:bCs/>
                <w:sz w:val="21"/>
                <w:szCs w:val="21"/>
              </w:rPr>
            </w:pPr>
            <w:r>
              <w:rPr>
                <w:rFonts w:ascii="Times New Roman" w:hAnsi="Times New Roman" w:eastAsia="等线" w:cs="Times New Roman"/>
                <w:b/>
                <w:bCs/>
                <w:sz w:val="21"/>
                <w:szCs w:val="21"/>
              </w:rPr>
              <w:t>Permeability (mD)</w:t>
            </w:r>
          </w:p>
        </w:tc>
        <w:tc>
          <w:tcPr>
            <w:tcW w:w="2026" w:type="dxa"/>
            <w:tcBorders>
              <w:top w:val="nil"/>
              <w:left w:val="nil"/>
              <w:bottom w:val="single" w:color="000000" w:sz="8" w:space="0"/>
              <w:right w:val="nil"/>
            </w:tcBorders>
            <w:vAlign w:val="center"/>
          </w:tcPr>
          <w:p w14:paraId="658A9BBA">
            <w:pPr>
              <w:widowControl w:val="0"/>
              <w:jc w:val="center"/>
              <w:rPr>
                <w:rFonts w:ascii="Times New Roman" w:hAnsi="Times New Roman" w:eastAsia="等线" w:cs="Times New Roman"/>
                <w:sz w:val="21"/>
                <w:szCs w:val="21"/>
              </w:rPr>
            </w:pPr>
            <w:r>
              <w:rPr>
                <w:rFonts w:ascii="Times New Roman" w:hAnsi="Times New Roman" w:eastAsia="等线" w:cs="Times New Roman"/>
                <w:sz w:val="21"/>
                <w:szCs w:val="21"/>
              </w:rPr>
              <w:t>120.6</w:t>
            </w:r>
          </w:p>
        </w:tc>
        <w:tc>
          <w:tcPr>
            <w:tcW w:w="2074" w:type="dxa"/>
            <w:tcBorders>
              <w:top w:val="nil"/>
              <w:left w:val="nil"/>
              <w:bottom w:val="single" w:color="000000" w:sz="8" w:space="0"/>
              <w:right w:val="nil"/>
            </w:tcBorders>
            <w:vAlign w:val="center"/>
          </w:tcPr>
          <w:p w14:paraId="1185141A">
            <w:pPr>
              <w:widowControl w:val="0"/>
              <w:jc w:val="center"/>
              <w:rPr>
                <w:rFonts w:ascii="Times New Roman" w:hAnsi="Times New Roman" w:eastAsia="等线" w:cs="Times New Roman"/>
                <w:sz w:val="21"/>
                <w:szCs w:val="21"/>
              </w:rPr>
            </w:pPr>
            <w:r>
              <w:rPr>
                <w:rFonts w:ascii="Times New Roman" w:hAnsi="Times New Roman" w:eastAsia="等线" w:cs="Times New Roman"/>
                <w:sz w:val="21"/>
                <w:szCs w:val="21"/>
              </w:rPr>
              <w:t>0.962</w:t>
            </w:r>
          </w:p>
        </w:tc>
        <w:tc>
          <w:tcPr>
            <w:tcW w:w="2074" w:type="dxa"/>
            <w:tcBorders>
              <w:top w:val="nil"/>
              <w:left w:val="nil"/>
              <w:bottom w:val="single" w:color="000000" w:sz="8" w:space="0"/>
              <w:right w:val="nil"/>
            </w:tcBorders>
            <w:vAlign w:val="center"/>
          </w:tcPr>
          <w:p w14:paraId="3960E1A4">
            <w:pPr>
              <w:widowControl w:val="0"/>
              <w:jc w:val="center"/>
              <w:rPr>
                <w:rFonts w:ascii="Times New Roman" w:hAnsi="Times New Roman" w:eastAsia="等线" w:cs="Times New Roman"/>
                <w:sz w:val="21"/>
                <w:szCs w:val="21"/>
              </w:rPr>
            </w:pPr>
            <w:r>
              <w:rPr>
                <w:rFonts w:ascii="Times New Roman" w:hAnsi="Times New Roman" w:eastAsia="等线" w:cs="Times New Roman"/>
                <w:sz w:val="21"/>
                <w:szCs w:val="21"/>
              </w:rPr>
              <w:t>40.2</w:t>
            </w:r>
          </w:p>
        </w:tc>
      </w:tr>
    </w:tbl>
    <w:p w14:paraId="79644D48">
      <w:pPr>
        <w:spacing w:line="360" w:lineRule="auto"/>
        <w:rPr>
          <w:rFonts w:ascii="Times New Roman" w:hAnsi="Times New Roman" w:cs="Times New Roman"/>
          <w:b/>
          <w:bCs/>
        </w:rPr>
      </w:pPr>
      <w:r>
        <w:rPr>
          <w:rFonts w:ascii="Times New Roman" w:hAnsi="Times New Roman" w:cs="Times New Roman"/>
          <w:b/>
          <w:bCs/>
        </w:rPr>
        <w:t>Density functional theory calculations</w:t>
      </w:r>
    </w:p>
    <w:bookmarkEnd w:id="7"/>
    <w:p w14:paraId="17F5A8FD">
      <w:pPr>
        <w:spacing w:line="360" w:lineRule="auto"/>
        <w:ind w:firstLine="120" w:firstLineChars="50"/>
        <w:rPr>
          <w:rFonts w:ascii="Times New Roman" w:hAnsi="Times New Roman" w:cs="Times New Roman" w:eastAsiaTheme="minorEastAsia"/>
          <w:kern w:val="2"/>
        </w:rPr>
      </w:pPr>
      <w:r>
        <w:rPr>
          <w:rFonts w:hint="eastAsia" w:ascii="Times New Roman" w:hAnsi="Times New Roman" w:cs="Times New Roman" w:eastAsiaTheme="minorEastAsia"/>
          <w:kern w:val="2"/>
        </w:rPr>
        <w:t xml:space="preserve">The electronic structure DMol3 package of Materials Studio 2023 is utilized to perform all of the Density Functional Theory (DFT) computations. The exchange-correlation energies are calculated using the generalized gradient approximation (GGA) with </w:t>
      </w:r>
      <w:r>
        <w:rPr>
          <w:rFonts w:ascii="Times New Roman" w:hAnsi="Times New Roman" w:cs="Times New Roman" w:eastAsiaTheme="minorEastAsia"/>
          <w:kern w:val="2"/>
        </w:rPr>
        <w:t xml:space="preserve">the </w:t>
      </w:r>
      <w:r>
        <w:rPr>
          <w:rFonts w:hint="eastAsia" w:ascii="Times New Roman" w:hAnsi="Times New Roman" w:cs="Times New Roman" w:eastAsiaTheme="minorEastAsia"/>
          <w:kern w:val="2"/>
        </w:rPr>
        <w:t xml:space="preserve">Perdew-Burke-Ernzerhof (PBE) functional. The basis set used is the double numerical plus polarization function (DNP). </w:t>
      </w:r>
      <w:bookmarkStart w:id="8" w:name="OLE_LINK2"/>
      <w:r>
        <w:rPr>
          <w:rFonts w:hint="eastAsia" w:ascii="Times New Roman" w:hAnsi="Times New Roman" w:cs="Times New Roman" w:eastAsiaTheme="minorEastAsia"/>
          <w:kern w:val="2"/>
        </w:rPr>
        <w:t>In all calculations, the van der Waals forces are accounted for using the DFT-D within TS</w:t>
      </w:r>
      <w:r>
        <w:rPr>
          <w:rFonts w:ascii="Times New Roman" w:hAnsi="Times New Roman" w:cs="Times New Roman" w:eastAsiaTheme="minorEastAsia"/>
          <w:kern w:val="2"/>
        </w:rPr>
        <w:t xml:space="preserve">'s scheme. </w:t>
      </w:r>
      <w:bookmarkEnd w:id="8"/>
      <w:r>
        <w:rPr>
          <w:rFonts w:ascii="Times New Roman" w:hAnsi="Times New Roman" w:cs="Times New Roman" w:eastAsiaTheme="minorEastAsia"/>
          <w:kern w:val="2"/>
        </w:rPr>
        <w:t xml:space="preserve">The binding energy is defined as follows: </w:t>
      </w:r>
    </w:p>
    <w:p w14:paraId="46609FB1">
      <w:pPr>
        <w:spacing w:line="360" w:lineRule="auto"/>
        <w:jc w:val="center"/>
        <w:rPr>
          <w:rFonts w:ascii="Times New Roman" w:hAnsi="Times New Roman" w:cs="Times New Roman" w:eastAsiaTheme="minorEastAsia"/>
          <w:kern w:val="2"/>
        </w:rPr>
      </w:pPr>
      <m:oMath>
        <m:sSub>
          <m:sSubPr>
            <m:ctrlPr>
              <w:rPr>
                <w:rFonts w:ascii="Cambria Math" w:hAnsi="Cambria Math" w:cs="Times New Roman" w:eastAsiaTheme="minorEastAsia"/>
                <w:kern w:val="2"/>
              </w:rPr>
            </m:ctrlPr>
          </m:sSubPr>
          <m:e>
            <m:r>
              <m:rPr/>
              <w:rPr>
                <w:rFonts w:ascii="Cambria Math" w:hAnsi="Cambria Math" w:cs="Times New Roman" w:eastAsiaTheme="minorEastAsia"/>
                <w:kern w:val="2"/>
              </w:rPr>
              <m:t>E</m:t>
            </m:r>
            <m:ctrlPr>
              <w:rPr>
                <w:rFonts w:ascii="Cambria Math" w:hAnsi="Cambria Math" w:cs="Times New Roman" w:eastAsiaTheme="minorEastAsia"/>
                <w:kern w:val="2"/>
              </w:rPr>
            </m:ctrlPr>
          </m:e>
          <m:sub>
            <m:r>
              <m:rPr/>
              <w:rPr>
                <w:rFonts w:ascii="Cambria Math" w:hAnsi="Cambria Math" w:cs="Times New Roman" w:eastAsiaTheme="minorEastAsia"/>
                <w:kern w:val="2"/>
              </w:rPr>
              <m:t>b</m:t>
            </m:r>
            <m:ctrlPr>
              <w:rPr>
                <w:rFonts w:ascii="Cambria Math" w:hAnsi="Cambria Math" w:cs="Times New Roman" w:eastAsiaTheme="minorEastAsia"/>
                <w:kern w:val="2"/>
              </w:rPr>
            </m:ctrlPr>
          </m:sub>
        </m:sSub>
        <m:r>
          <m:rPr>
            <m:sty m:val="p"/>
          </m:rPr>
          <w:rPr>
            <w:rFonts w:ascii="Cambria Math" w:hAnsi="Cambria Math" w:cs="Times New Roman" w:eastAsiaTheme="minorEastAsia"/>
            <w:kern w:val="2"/>
          </w:rPr>
          <m:t>=</m:t>
        </m:r>
        <m:sSub>
          <m:sSubPr>
            <m:ctrlPr>
              <w:rPr>
                <w:rFonts w:ascii="Cambria Math" w:hAnsi="Cambria Math" w:cs="Times New Roman" w:eastAsiaTheme="minorEastAsia"/>
                <w:kern w:val="2"/>
              </w:rPr>
            </m:ctrlPr>
          </m:sSubPr>
          <m:e>
            <m:r>
              <m:rPr/>
              <w:rPr>
                <w:rFonts w:ascii="Cambria Math" w:hAnsi="Cambria Math" w:cs="Times New Roman" w:eastAsiaTheme="minorEastAsia"/>
                <w:kern w:val="2"/>
              </w:rPr>
              <m:t>E</m:t>
            </m:r>
            <m:ctrlPr>
              <w:rPr>
                <w:rFonts w:ascii="Cambria Math" w:hAnsi="Cambria Math" w:cs="Times New Roman" w:eastAsiaTheme="minorEastAsia"/>
                <w:kern w:val="2"/>
              </w:rPr>
            </m:ctrlPr>
          </m:e>
          <m:sub>
            <m:r>
              <m:rPr/>
              <w:rPr>
                <w:rFonts w:ascii="Cambria Math" w:hAnsi="Cambria Math" w:cs="Times New Roman" w:eastAsiaTheme="minorEastAsia"/>
                <w:kern w:val="2"/>
              </w:rPr>
              <m:t>t</m:t>
            </m:r>
            <m:ctrlPr>
              <w:rPr>
                <w:rFonts w:ascii="Cambria Math" w:hAnsi="Cambria Math" w:cs="Times New Roman" w:eastAsiaTheme="minorEastAsia"/>
                <w:kern w:val="2"/>
              </w:rPr>
            </m:ctrlPr>
          </m:sub>
        </m:sSub>
        <m:r>
          <m:rPr>
            <m:sty m:val="p"/>
          </m:rPr>
          <w:rPr>
            <w:rFonts w:ascii="Cambria Math" w:hAnsi="Cambria Math" w:cs="Times New Roman" w:eastAsiaTheme="minorEastAsia"/>
            <w:kern w:val="2"/>
          </w:rPr>
          <m:t>−</m:t>
        </m:r>
        <m:sSub>
          <m:sSubPr>
            <m:ctrlPr>
              <w:rPr>
                <w:rFonts w:ascii="Cambria Math" w:hAnsi="Cambria Math" w:cs="Times New Roman" w:eastAsiaTheme="minorEastAsia"/>
                <w:kern w:val="2"/>
              </w:rPr>
            </m:ctrlPr>
          </m:sSubPr>
          <m:e>
            <m:r>
              <m:rPr/>
              <w:rPr>
                <w:rFonts w:ascii="Cambria Math" w:hAnsi="Cambria Math" w:cs="Times New Roman" w:eastAsiaTheme="minorEastAsia"/>
                <w:kern w:val="2"/>
              </w:rPr>
              <m:t>E</m:t>
            </m:r>
            <m:ctrlPr>
              <w:rPr>
                <w:rFonts w:ascii="Cambria Math" w:hAnsi="Cambria Math" w:cs="Times New Roman" w:eastAsiaTheme="minorEastAsia"/>
                <w:kern w:val="2"/>
              </w:rPr>
            </m:ctrlPr>
          </m:e>
          <m:sub>
            <m:r>
              <m:rPr>
                <m:sty m:val="p"/>
              </m:rPr>
              <w:rPr>
                <w:rFonts w:ascii="Cambria Math" w:hAnsi="Cambria Math" w:cs="Times New Roman" w:eastAsiaTheme="minorEastAsia"/>
                <w:kern w:val="2"/>
              </w:rPr>
              <m:t>1</m:t>
            </m:r>
            <m:ctrlPr>
              <w:rPr>
                <w:rFonts w:ascii="Cambria Math" w:hAnsi="Cambria Math" w:cs="Times New Roman" w:eastAsiaTheme="minorEastAsia"/>
                <w:kern w:val="2"/>
              </w:rPr>
            </m:ctrlPr>
          </m:sub>
        </m:sSub>
        <m:r>
          <m:rPr>
            <m:sty m:val="p"/>
          </m:rPr>
          <w:rPr>
            <w:rFonts w:ascii="Cambria Math" w:hAnsi="Cambria Math" w:cs="Times New Roman" w:eastAsiaTheme="minorEastAsia"/>
            <w:kern w:val="2"/>
          </w:rPr>
          <m:t>−</m:t>
        </m:r>
        <m:sSub>
          <m:sSubPr>
            <m:ctrlPr>
              <w:rPr>
                <w:rFonts w:ascii="Cambria Math" w:hAnsi="Cambria Math" w:cs="Times New Roman" w:eastAsiaTheme="minorEastAsia"/>
                <w:kern w:val="2"/>
              </w:rPr>
            </m:ctrlPr>
          </m:sSubPr>
          <m:e>
            <m:r>
              <m:rPr/>
              <w:rPr>
                <w:rFonts w:ascii="Cambria Math" w:hAnsi="Cambria Math" w:cs="Times New Roman" w:eastAsiaTheme="minorEastAsia"/>
                <w:kern w:val="2"/>
              </w:rPr>
              <m:t>E</m:t>
            </m:r>
            <m:ctrlPr>
              <w:rPr>
                <w:rFonts w:ascii="Cambria Math" w:hAnsi="Cambria Math" w:cs="Times New Roman" w:eastAsiaTheme="minorEastAsia"/>
                <w:kern w:val="2"/>
              </w:rPr>
            </m:ctrlPr>
          </m:e>
          <m:sub>
            <m:r>
              <m:rPr>
                <m:sty m:val="p"/>
              </m:rPr>
              <w:rPr>
                <w:rFonts w:ascii="Cambria Math" w:hAnsi="Cambria Math" w:cs="Times New Roman" w:eastAsiaTheme="minorEastAsia"/>
                <w:kern w:val="2"/>
              </w:rPr>
              <m:t>2</m:t>
            </m:r>
            <m:ctrlPr>
              <w:rPr>
                <w:rFonts w:ascii="Cambria Math" w:hAnsi="Cambria Math" w:cs="Times New Roman" w:eastAsiaTheme="minorEastAsia"/>
                <w:kern w:val="2"/>
              </w:rPr>
            </m:ctrlPr>
          </m:sub>
        </m:sSub>
      </m:oMath>
      <w:r>
        <w:rPr>
          <w:rFonts w:hint="eastAsia" w:ascii="Times New Roman" w:hAnsi="Times New Roman" w:cs="Times New Roman" w:eastAsiaTheme="minorEastAsia"/>
          <w:kern w:val="2"/>
        </w:rPr>
        <w:t xml:space="preserve">  (Q6)</w:t>
      </w:r>
    </w:p>
    <w:p w14:paraId="03DB2278">
      <w:pPr>
        <w:spacing w:line="360" w:lineRule="auto"/>
        <w:rPr>
          <w:rFonts w:ascii="Times New Roman" w:hAnsi="Times New Roman" w:cs="Times New Roman" w:eastAsiaTheme="minorEastAsia"/>
          <w:kern w:val="2"/>
        </w:rPr>
      </w:pPr>
      <w:r>
        <w:rPr>
          <w:rFonts w:ascii="Times New Roman" w:hAnsi="Times New Roman" w:cs="Times New Roman" w:eastAsiaTheme="minorEastAsia"/>
          <w:kern w:val="2"/>
        </w:rPr>
        <w:t xml:space="preserve">Where </w:t>
      </w:r>
      <w:r>
        <w:rPr>
          <w:rFonts w:ascii="Times New Roman" w:hAnsi="Times New Roman" w:cs="Times New Roman" w:eastAsiaTheme="minorEastAsia"/>
          <w:i/>
          <w:kern w:val="2"/>
        </w:rPr>
        <w:t>E</w:t>
      </w:r>
      <w:r>
        <w:rPr>
          <w:rFonts w:ascii="Times New Roman" w:hAnsi="Times New Roman" w:cs="Times New Roman" w:eastAsiaTheme="minorEastAsia"/>
          <w:i/>
          <w:kern w:val="2"/>
          <w:vertAlign w:val="subscript"/>
        </w:rPr>
        <w:t>t</w:t>
      </w:r>
      <w:r>
        <w:rPr>
          <w:rFonts w:ascii="Times New Roman" w:hAnsi="Times New Roman" w:cs="Times New Roman" w:eastAsiaTheme="minorEastAsia"/>
          <w:kern w:val="2"/>
          <w:vertAlign w:val="subscript"/>
        </w:rPr>
        <w:t xml:space="preserve"> </w:t>
      </w:r>
      <w:r>
        <w:rPr>
          <w:rFonts w:ascii="Times New Roman" w:hAnsi="Times New Roman" w:cs="Times New Roman" w:eastAsiaTheme="minorEastAsia"/>
          <w:kern w:val="2"/>
        </w:rPr>
        <w:t xml:space="preserve">is the total energy of the whole system, </w:t>
      </w:r>
      <w:r>
        <w:rPr>
          <w:rFonts w:ascii="Times New Roman" w:hAnsi="Times New Roman" w:cs="Times New Roman" w:eastAsiaTheme="minorEastAsia"/>
          <w:i/>
          <w:iCs/>
          <w:kern w:val="2"/>
        </w:rPr>
        <w:t>E</w:t>
      </w:r>
      <w:r>
        <w:rPr>
          <w:rFonts w:ascii="Times New Roman" w:hAnsi="Times New Roman" w:cs="Times New Roman" w:eastAsiaTheme="minorEastAsia"/>
          <w:kern w:val="2"/>
          <w:vertAlign w:val="subscript"/>
        </w:rPr>
        <w:t>1</w:t>
      </w:r>
      <w:r>
        <w:rPr>
          <w:rFonts w:ascii="Times New Roman" w:hAnsi="Times New Roman" w:cs="Times New Roman" w:eastAsiaTheme="minorEastAsia"/>
          <w:kern w:val="2"/>
        </w:rPr>
        <w:t xml:space="preserve"> is the total energy of component 1, and </w:t>
      </w:r>
      <w:r>
        <w:rPr>
          <w:rFonts w:ascii="Times New Roman" w:hAnsi="Times New Roman" w:cs="Times New Roman" w:eastAsiaTheme="minorEastAsia"/>
          <w:i/>
          <w:iCs/>
          <w:kern w:val="2"/>
        </w:rPr>
        <w:t>E</w:t>
      </w:r>
      <w:r>
        <w:rPr>
          <w:rFonts w:ascii="Times New Roman" w:hAnsi="Times New Roman" w:cs="Times New Roman" w:eastAsiaTheme="minorEastAsia"/>
          <w:kern w:val="2"/>
          <w:vertAlign w:val="subscript"/>
        </w:rPr>
        <w:t>2</w:t>
      </w:r>
      <w:r>
        <w:rPr>
          <w:rFonts w:ascii="Times New Roman" w:hAnsi="Times New Roman" w:cs="Times New Roman" w:eastAsiaTheme="minorEastAsia"/>
          <w:kern w:val="2"/>
        </w:rPr>
        <w:t xml:space="preserve"> is the total energy of component 2.</w:t>
      </w:r>
      <w:r>
        <w:rPr>
          <w:rFonts w:hint="eastAsia" w:ascii="Times New Roman" w:hAnsi="Times New Roman" w:cs="Times New Roman" w:eastAsiaTheme="minorEastAsia"/>
          <w:kern w:val="2"/>
        </w:rPr>
        <w:t xml:space="preserve"> </w:t>
      </w:r>
    </w:p>
    <w:p w14:paraId="08C60EEB">
      <w:pPr>
        <w:spacing w:line="360" w:lineRule="auto"/>
        <w:rPr>
          <w:rFonts w:ascii="Times New Roman" w:hAnsi="Times New Roman" w:cs="Times New Roman" w:eastAsiaTheme="minorEastAsia"/>
          <w:b/>
          <w:bCs/>
          <w:kern w:val="2"/>
        </w:rPr>
      </w:pPr>
      <w:r>
        <w:rPr>
          <w:rFonts w:hint="eastAsia" w:ascii="Times New Roman" w:hAnsi="Times New Roman" w:cs="Times New Roman" w:eastAsiaTheme="minorEastAsia"/>
          <w:b/>
          <w:bCs/>
          <w:kern w:val="2"/>
        </w:rPr>
        <w:t>Supporting figures</w:t>
      </w:r>
    </w:p>
    <w:p w14:paraId="3136FF20">
      <w:pPr>
        <w:spacing w:line="360" w:lineRule="auto"/>
        <w:jc w:val="center"/>
        <w:rPr>
          <w:rFonts w:hint="eastAsia"/>
        </w:rPr>
      </w:pPr>
      <w:r>
        <w:drawing>
          <wp:inline distT="0" distB="0" distL="0" distR="0">
            <wp:extent cx="3779520" cy="3060065"/>
            <wp:effectExtent l="0" t="0" r="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
                    <a:stretch>
                      <a:fillRect/>
                    </a:stretch>
                  </pic:blipFill>
                  <pic:spPr>
                    <a:xfrm>
                      <a:off x="0" y="0"/>
                      <a:ext cx="3779520" cy="3060192"/>
                    </a:xfrm>
                    <a:prstGeom prst="rect">
                      <a:avLst/>
                    </a:prstGeom>
                  </pic:spPr>
                </pic:pic>
              </a:graphicData>
            </a:graphic>
          </wp:inline>
        </w:drawing>
      </w:r>
    </w:p>
    <w:p w14:paraId="25E6397B">
      <w:pPr>
        <w:spacing w:line="360" w:lineRule="auto"/>
        <w:rPr>
          <w:rFonts w:ascii="Times New Roman" w:hAnsi="Times New Roman" w:cs="Times New Roman"/>
        </w:rPr>
      </w:pPr>
      <w:r>
        <w:rPr>
          <w:rFonts w:ascii="Times New Roman" w:hAnsi="Times New Roman" w:cs="Times New Roman"/>
          <w:b/>
          <w:bCs/>
        </w:rPr>
        <w:t xml:space="preserve">Figure S1. </w:t>
      </w:r>
      <w:r>
        <w:rPr>
          <w:rFonts w:ascii="Times New Roman" w:hAnsi="Times New Roman" w:cs="Times New Roman"/>
        </w:rPr>
        <w:t>Systematic optimization of the ratio of monomers for hydrogels. (A) The stress-strain of the as-prepared hydrogels with different ratios. (B) The stress-strain of the water-swollen hydrogels with different ratios. (C) The stress-strain of the brine-swollen hydrogels with different ratios. (D) The toughness of water-swollen hydrogels and bine-swollen hydrogels with different ratios.</w:t>
      </w:r>
    </w:p>
    <w:p w14:paraId="0C37E8C5">
      <w:pPr>
        <w:spacing w:line="360" w:lineRule="auto"/>
        <w:jc w:val="center"/>
        <w:rPr>
          <w:rFonts w:ascii="Times New Roman" w:hAnsi="Times New Roman" w:cs="Times New Roman"/>
          <w:color w:val="404040"/>
        </w:rPr>
      </w:pPr>
      <w:r>
        <w:rPr>
          <w:rFonts w:ascii="Times New Roman" w:hAnsi="Times New Roman" w:cs="Times New Roman"/>
          <w:color w:val="404040"/>
        </w:rPr>
        <w:t xml:space="preserve"> </w:t>
      </w:r>
      <w:r>
        <w:rPr>
          <w:rFonts w:ascii="Times New Roman" w:hAnsi="Times New Roman" w:cs="Times New Roman"/>
        </w:rPr>
        <w:drawing>
          <wp:inline distT="0" distB="0" distL="0" distR="0">
            <wp:extent cx="3635375" cy="1212215"/>
            <wp:effectExtent l="0" t="0" r="3175" b="6985"/>
            <wp:docPr id="7" name="图片 7" descr="一群不同颜色的手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一群不同颜色的手机&#10;&#10;AI 生成的内容可能不正确。"/>
                    <pic:cNvPicPr>
                      <a:picLocks noChangeAspect="1"/>
                    </pic:cNvPicPr>
                  </pic:nvPicPr>
                  <pic:blipFill>
                    <a:blip r:embed="rId5"/>
                    <a:stretch>
                      <a:fillRect/>
                    </a:stretch>
                  </pic:blipFill>
                  <pic:spPr>
                    <a:xfrm>
                      <a:off x="0" y="0"/>
                      <a:ext cx="3636000" cy="1212539"/>
                    </a:xfrm>
                    <a:prstGeom prst="rect">
                      <a:avLst/>
                    </a:prstGeom>
                  </pic:spPr>
                </pic:pic>
              </a:graphicData>
            </a:graphic>
          </wp:inline>
        </w:drawing>
      </w:r>
    </w:p>
    <w:p w14:paraId="57E9932C">
      <w:pPr>
        <w:spacing w:line="360" w:lineRule="auto"/>
        <w:jc w:val="center"/>
        <w:rPr>
          <w:rFonts w:ascii="Times New Roman" w:hAnsi="Times New Roman" w:cs="Times New Roman"/>
        </w:rPr>
      </w:pPr>
      <w:r>
        <w:rPr>
          <w:rFonts w:ascii="Times New Roman" w:hAnsi="Times New Roman" w:cs="Times New Roman"/>
          <w:b/>
          <w:bCs/>
        </w:rPr>
        <w:t xml:space="preserve">Figure S2. </w:t>
      </w:r>
      <w:r>
        <w:rPr>
          <w:rFonts w:ascii="Times New Roman" w:hAnsi="Times New Roman" w:cs="Times New Roman"/>
        </w:rPr>
        <w:t>Pictures demonstrating the swelling behavior of S</w:t>
      </w:r>
      <w:r>
        <w:rPr>
          <w:rFonts w:ascii="Times New Roman" w:hAnsi="Times New Roman" w:cs="Times New Roman"/>
          <w:vertAlign w:val="subscript"/>
        </w:rPr>
        <w:t>AMPS</w:t>
      </w:r>
      <w:r>
        <w:rPr>
          <w:rFonts w:ascii="Times New Roman" w:hAnsi="Times New Roman" w:cs="Times New Roman"/>
        </w:rPr>
        <w:t xml:space="preserve"> and S</w:t>
      </w:r>
      <w:r>
        <w:rPr>
          <w:rFonts w:ascii="Times New Roman" w:hAnsi="Times New Roman" w:cs="Times New Roman"/>
          <w:vertAlign w:val="subscript"/>
        </w:rPr>
        <w:t>AM-SBVI</w:t>
      </w:r>
      <w:r>
        <w:rPr>
          <w:rFonts w:ascii="Times New Roman" w:hAnsi="Times New Roman" w:cs="Times New Roman"/>
        </w:rPr>
        <w:t xml:space="preserve"> after swelling in distilled water.</w:t>
      </w:r>
    </w:p>
    <w:p w14:paraId="36BFF55F">
      <w:pPr>
        <w:spacing w:line="360" w:lineRule="auto"/>
        <w:jc w:val="center"/>
        <w:rPr>
          <w:rFonts w:ascii="Times New Roman" w:hAnsi="Times New Roman" w:cs="Times New Roman"/>
          <w:color w:val="404040"/>
        </w:rPr>
      </w:pPr>
      <w:r>
        <w:rPr>
          <w:rFonts w:ascii="Times New Roman" w:hAnsi="Times New Roman" w:cs="Times New Roman"/>
          <w:color w:val="404040"/>
        </w:rPr>
        <w:drawing>
          <wp:inline distT="0" distB="0" distL="0" distR="0">
            <wp:extent cx="1799590" cy="118300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
                    <a:stretch>
                      <a:fillRect/>
                    </a:stretch>
                  </pic:blipFill>
                  <pic:spPr>
                    <a:xfrm>
                      <a:off x="0" y="0"/>
                      <a:ext cx="1800000" cy="1183182"/>
                    </a:xfrm>
                    <a:prstGeom prst="rect">
                      <a:avLst/>
                    </a:prstGeom>
                  </pic:spPr>
                </pic:pic>
              </a:graphicData>
            </a:graphic>
          </wp:inline>
        </w:drawing>
      </w:r>
    </w:p>
    <w:p w14:paraId="7D35170C">
      <w:pPr>
        <w:spacing w:line="360" w:lineRule="auto"/>
        <w:jc w:val="center"/>
        <w:rPr>
          <w:rFonts w:ascii="Times New Roman" w:hAnsi="Times New Roman" w:cs="Times New Roman"/>
        </w:rPr>
      </w:pPr>
      <w:r>
        <w:rPr>
          <w:rFonts w:ascii="Times New Roman" w:hAnsi="Times New Roman" w:cs="Times New Roman"/>
          <w:b/>
          <w:bCs/>
        </w:rPr>
        <w:t xml:space="preserve">Figure S3. </w:t>
      </w:r>
      <w:r>
        <w:rPr>
          <w:rFonts w:ascii="Times New Roman" w:hAnsi="Times New Roman" w:cs="Times New Roman"/>
        </w:rPr>
        <w:t>Pictures demonstrating the contact angle of hydrogels after swelling in distilled water.</w:t>
      </w:r>
    </w:p>
    <w:p w14:paraId="78C229E2">
      <w:pPr>
        <w:spacing w:line="360" w:lineRule="auto"/>
        <w:jc w:val="center"/>
        <w:rPr>
          <w:rFonts w:ascii="Times New Roman" w:hAnsi="Times New Roman" w:cs="Times New Roman"/>
          <w:color w:val="404040"/>
        </w:rPr>
      </w:pPr>
      <w:r>
        <w:rPr>
          <w:rFonts w:hint="eastAsia" w:ascii="Times New Roman" w:hAnsi="Times New Roman" w:cs="Times New Roman"/>
          <w:color w:val="404040"/>
        </w:rPr>
        <w:drawing>
          <wp:inline distT="0" distB="0" distL="0" distR="0">
            <wp:extent cx="1799590" cy="1183005"/>
            <wp:effectExtent l="0" t="0" r="0" b="0"/>
            <wp:docPr id="18" name="图片 18" descr="图片包含 室内, 桌子, 小, 电脑&#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包含 室内, 桌子, 小, 电脑&#10;&#10;AI 生成的内容可能不正确。"/>
                    <pic:cNvPicPr>
                      <a:picLocks noChangeAspect="1"/>
                    </pic:cNvPicPr>
                  </pic:nvPicPr>
                  <pic:blipFill>
                    <a:blip r:embed="rId7"/>
                    <a:stretch>
                      <a:fillRect/>
                    </a:stretch>
                  </pic:blipFill>
                  <pic:spPr>
                    <a:xfrm>
                      <a:off x="0" y="0"/>
                      <a:ext cx="1800000" cy="1183182"/>
                    </a:xfrm>
                    <a:prstGeom prst="rect">
                      <a:avLst/>
                    </a:prstGeom>
                  </pic:spPr>
                </pic:pic>
              </a:graphicData>
            </a:graphic>
          </wp:inline>
        </w:drawing>
      </w:r>
    </w:p>
    <w:p w14:paraId="4BCDAD20">
      <w:pPr>
        <w:spacing w:line="360" w:lineRule="auto"/>
        <w:jc w:val="center"/>
        <w:rPr>
          <w:rFonts w:ascii="Times New Roman" w:hAnsi="Times New Roman" w:cs="Times New Roman"/>
        </w:rPr>
      </w:pPr>
      <w:r>
        <w:rPr>
          <w:rFonts w:ascii="Times New Roman" w:hAnsi="Times New Roman" w:cs="Times New Roman"/>
          <w:b/>
          <w:bCs/>
        </w:rPr>
        <w:t xml:space="preserve">Figure S4. </w:t>
      </w:r>
      <w:r>
        <w:rPr>
          <w:rFonts w:ascii="Times New Roman" w:hAnsi="Times New Roman" w:cs="Times New Roman"/>
        </w:rPr>
        <w:t>Pictures demonstrating the contact angle of hydrogels after swelling in brine.</w:t>
      </w:r>
    </w:p>
    <w:p w14:paraId="2C777F5D">
      <w:pPr>
        <w:spacing w:line="360" w:lineRule="auto"/>
        <w:jc w:val="center"/>
        <w:rPr>
          <w:rFonts w:ascii="Times New Roman" w:hAnsi="Times New Roman" w:cs="Times New Roman"/>
          <w:color w:val="404040"/>
        </w:rPr>
      </w:pPr>
      <w:r>
        <w:rPr>
          <w:rFonts w:ascii="Times New Roman" w:hAnsi="Times New Roman" w:cs="Times New Roman"/>
          <w:color w:val="404040"/>
        </w:rPr>
        <w:drawing>
          <wp:inline distT="0" distB="0" distL="0" distR="0">
            <wp:extent cx="3239770" cy="1440180"/>
            <wp:effectExtent l="0" t="0" r="0" b="76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8"/>
                    <a:stretch>
                      <a:fillRect/>
                    </a:stretch>
                  </pic:blipFill>
                  <pic:spPr>
                    <a:xfrm>
                      <a:off x="0" y="0"/>
                      <a:ext cx="3240024" cy="1440180"/>
                    </a:xfrm>
                    <a:prstGeom prst="rect">
                      <a:avLst/>
                    </a:prstGeom>
                  </pic:spPr>
                </pic:pic>
              </a:graphicData>
            </a:graphic>
          </wp:inline>
        </w:drawing>
      </w:r>
    </w:p>
    <w:p w14:paraId="7F5DEB59">
      <w:pPr>
        <w:spacing w:line="360" w:lineRule="auto"/>
        <w:rPr>
          <w:rFonts w:ascii="Times New Roman" w:hAnsi="Times New Roman" w:cs="Times New Roman"/>
        </w:rPr>
      </w:pPr>
      <w:r>
        <w:rPr>
          <w:rFonts w:ascii="Times New Roman" w:hAnsi="Times New Roman" w:cs="Times New Roman"/>
          <w:b/>
          <w:bCs/>
        </w:rPr>
        <w:t>Figure S5.</w:t>
      </w:r>
      <w:r>
        <w:rPr>
          <w:rFonts w:ascii="Times New Roman" w:hAnsi="Times New Roman" w:cs="Times New Roman"/>
        </w:rPr>
        <w:t xml:space="preserve"> Images demonstrating the reversible optical switching of D</w:t>
      </w:r>
      <w:r>
        <w:rPr>
          <w:rFonts w:ascii="Times New Roman" w:hAnsi="Times New Roman" w:cs="Times New Roman"/>
          <w:vertAlign w:val="subscript"/>
        </w:rPr>
        <w:t>AMPS/AM-SBVI</w:t>
      </w:r>
      <w:r>
        <w:rPr>
          <w:rFonts w:ascii="Times New Roman" w:hAnsi="Times New Roman" w:cs="Times New Roman"/>
        </w:rPr>
        <w:t>, transitioning between opaque in water and transparent in brine.</w:t>
      </w:r>
    </w:p>
    <w:p w14:paraId="511AA9FF">
      <w:pPr>
        <w:spacing w:line="360" w:lineRule="auto"/>
        <w:jc w:val="center"/>
        <w:rPr>
          <w:rFonts w:ascii="Times New Roman" w:hAnsi="Times New Roman" w:cs="Times New Roman"/>
          <w:color w:val="404040"/>
        </w:rPr>
      </w:pPr>
      <w:r>
        <w:rPr>
          <w:rFonts w:ascii="Times New Roman" w:hAnsi="Times New Roman" w:cs="Times New Roman"/>
          <w:color w:val="404040"/>
        </w:rPr>
        <w:drawing>
          <wp:inline distT="0" distB="0" distL="0" distR="0">
            <wp:extent cx="2393315" cy="1259840"/>
            <wp:effectExtent l="0" t="0" r="6985" b="0"/>
            <wp:docPr id="19" name="图片 19" descr="图片包含 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包含 图表&#10;&#10;AI 生成的内容可能不正确。"/>
                    <pic:cNvPicPr>
                      <a:picLocks noChangeAspect="1"/>
                    </pic:cNvPicPr>
                  </pic:nvPicPr>
                  <pic:blipFill>
                    <a:blip r:embed="rId9"/>
                    <a:stretch>
                      <a:fillRect/>
                    </a:stretch>
                  </pic:blipFill>
                  <pic:spPr>
                    <a:xfrm>
                      <a:off x="0" y="0"/>
                      <a:ext cx="2393341" cy="1260000"/>
                    </a:xfrm>
                    <a:prstGeom prst="rect">
                      <a:avLst/>
                    </a:prstGeom>
                  </pic:spPr>
                </pic:pic>
              </a:graphicData>
            </a:graphic>
          </wp:inline>
        </w:drawing>
      </w:r>
    </w:p>
    <w:p w14:paraId="06F86E70">
      <w:pPr>
        <w:spacing w:line="360" w:lineRule="auto"/>
        <w:rPr>
          <w:rFonts w:ascii="Times New Roman" w:hAnsi="Times New Roman" w:cs="Times New Roman"/>
        </w:rPr>
      </w:pPr>
      <w:r>
        <w:rPr>
          <w:rFonts w:ascii="Times New Roman" w:hAnsi="Times New Roman" w:cs="Times New Roman"/>
          <w:b/>
          <w:bCs/>
        </w:rPr>
        <w:t xml:space="preserve">Figure S6. </w:t>
      </w:r>
      <w:r>
        <w:rPr>
          <w:rFonts w:ascii="Times New Roman" w:hAnsi="Times New Roman" w:cs="Times New Roman"/>
        </w:rPr>
        <w:t>Microstructural images illustrating the contrasting optical properties of S</w:t>
      </w:r>
      <w:r>
        <w:rPr>
          <w:rFonts w:ascii="Times New Roman" w:hAnsi="Times New Roman" w:cs="Times New Roman"/>
          <w:vertAlign w:val="subscript"/>
        </w:rPr>
        <w:t>AM-SBVI</w:t>
      </w:r>
      <w:r>
        <w:rPr>
          <w:rFonts w:ascii="Times New Roman" w:hAnsi="Times New Roman" w:cs="Times New Roman"/>
        </w:rPr>
        <w:t>, appearing opaque in water but transparent in brine at the microscale.</w:t>
      </w:r>
    </w:p>
    <w:p w14:paraId="03B16727">
      <w:pPr>
        <w:spacing w:line="360" w:lineRule="auto"/>
        <w:jc w:val="center"/>
        <w:rPr>
          <w:rFonts w:ascii="Times New Roman" w:hAnsi="Times New Roman" w:cs="Times New Roman"/>
          <w:color w:val="404040"/>
        </w:rPr>
      </w:pPr>
      <w:r>
        <w:rPr>
          <w:rFonts w:ascii="Times New Roman" w:hAnsi="Times New Roman" w:cs="Times New Roman"/>
          <w:color w:val="404040"/>
        </w:rPr>
        <w:drawing>
          <wp:inline distT="0" distB="0" distL="0" distR="0">
            <wp:extent cx="3600450" cy="1078865"/>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3600450" cy="1078992"/>
                    </a:xfrm>
                    <a:prstGeom prst="rect">
                      <a:avLst/>
                    </a:prstGeom>
                  </pic:spPr>
                </pic:pic>
              </a:graphicData>
            </a:graphic>
          </wp:inline>
        </w:drawing>
      </w:r>
    </w:p>
    <w:p w14:paraId="47CEF9F1">
      <w:pPr>
        <w:spacing w:line="360" w:lineRule="auto"/>
        <w:jc w:val="center"/>
        <w:rPr>
          <w:rFonts w:ascii="Times New Roman" w:hAnsi="Times New Roman" w:cs="Times New Roman"/>
        </w:rPr>
      </w:pPr>
      <w:r>
        <w:rPr>
          <w:rFonts w:ascii="Times New Roman" w:hAnsi="Times New Roman" w:cs="Times New Roman"/>
          <w:b/>
          <w:bCs/>
        </w:rPr>
        <w:t xml:space="preserve">Figure S7. </w:t>
      </w:r>
      <w:r>
        <w:rPr>
          <w:rFonts w:ascii="Times New Roman" w:hAnsi="Times New Roman" w:cs="Times New Roman"/>
        </w:rPr>
        <w:t>Summary of the testing methodology of hydrogel property changes with degradation.</w:t>
      </w:r>
    </w:p>
    <w:p w14:paraId="6A5763EC">
      <w:pPr>
        <w:spacing w:line="360" w:lineRule="auto"/>
        <w:rPr>
          <w:rFonts w:ascii="Times New Roman" w:hAnsi="Times New Roman" w:cs="Times New Roman"/>
          <w:b/>
          <w:bCs/>
        </w:rPr>
      </w:pPr>
    </w:p>
    <w:sectPr>
      <w:pgSz w:w="11906" w:h="16838"/>
      <w:pgMar w:top="1440" w:right="1440" w:bottom="1440" w:left="1440"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hideSpellingErrors/>
  <w:hideGrammaticalErrors/>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MDM3MTYAAlMzM1NTIyUdpeDU4uLM/DyQAiPDWgD2e1kJLQAAAA=="/>
  </w:docVars>
  <w:rsids>
    <w:rsidRoot w:val="00660DA9"/>
    <w:rsid w:val="00002B7B"/>
    <w:rsid w:val="00014DEF"/>
    <w:rsid w:val="00027F97"/>
    <w:rsid w:val="00047225"/>
    <w:rsid w:val="0005791D"/>
    <w:rsid w:val="00082292"/>
    <w:rsid w:val="00093F0C"/>
    <w:rsid w:val="000D7AFC"/>
    <w:rsid w:val="000F2814"/>
    <w:rsid w:val="000F68EE"/>
    <w:rsid w:val="001135D0"/>
    <w:rsid w:val="00125DBD"/>
    <w:rsid w:val="00131244"/>
    <w:rsid w:val="00146B21"/>
    <w:rsid w:val="00154E69"/>
    <w:rsid w:val="00156F2E"/>
    <w:rsid w:val="00190E72"/>
    <w:rsid w:val="001913CF"/>
    <w:rsid w:val="001915C1"/>
    <w:rsid w:val="00194F09"/>
    <w:rsid w:val="001A20E6"/>
    <w:rsid w:val="001B7E48"/>
    <w:rsid w:val="001D607F"/>
    <w:rsid w:val="002329D4"/>
    <w:rsid w:val="00236F09"/>
    <w:rsid w:val="00246665"/>
    <w:rsid w:val="0026316E"/>
    <w:rsid w:val="00267C49"/>
    <w:rsid w:val="002A41A6"/>
    <w:rsid w:val="002B1875"/>
    <w:rsid w:val="002C5A81"/>
    <w:rsid w:val="002D6202"/>
    <w:rsid w:val="002E3C22"/>
    <w:rsid w:val="002F213B"/>
    <w:rsid w:val="00305294"/>
    <w:rsid w:val="003053A0"/>
    <w:rsid w:val="00320436"/>
    <w:rsid w:val="003343EB"/>
    <w:rsid w:val="00366D4F"/>
    <w:rsid w:val="0039466D"/>
    <w:rsid w:val="003B22EB"/>
    <w:rsid w:val="003B70F2"/>
    <w:rsid w:val="004176DA"/>
    <w:rsid w:val="00450C8A"/>
    <w:rsid w:val="00454559"/>
    <w:rsid w:val="00456AAE"/>
    <w:rsid w:val="004576AE"/>
    <w:rsid w:val="00472CD7"/>
    <w:rsid w:val="00480467"/>
    <w:rsid w:val="00494FAF"/>
    <w:rsid w:val="004A1AD7"/>
    <w:rsid w:val="004A6FEE"/>
    <w:rsid w:val="004B1527"/>
    <w:rsid w:val="004C4C66"/>
    <w:rsid w:val="004D1B7E"/>
    <w:rsid w:val="004E07E0"/>
    <w:rsid w:val="0051344A"/>
    <w:rsid w:val="00516CB2"/>
    <w:rsid w:val="0054359B"/>
    <w:rsid w:val="0055490C"/>
    <w:rsid w:val="00566285"/>
    <w:rsid w:val="005958A3"/>
    <w:rsid w:val="005B35F0"/>
    <w:rsid w:val="005B50D2"/>
    <w:rsid w:val="00611975"/>
    <w:rsid w:val="00617E20"/>
    <w:rsid w:val="00631B2B"/>
    <w:rsid w:val="00653DF8"/>
    <w:rsid w:val="00660DA9"/>
    <w:rsid w:val="006A2333"/>
    <w:rsid w:val="006B0BB6"/>
    <w:rsid w:val="006E63F0"/>
    <w:rsid w:val="007113B7"/>
    <w:rsid w:val="00713CD2"/>
    <w:rsid w:val="00726177"/>
    <w:rsid w:val="00733705"/>
    <w:rsid w:val="00742E66"/>
    <w:rsid w:val="00762450"/>
    <w:rsid w:val="00783BE8"/>
    <w:rsid w:val="007B140C"/>
    <w:rsid w:val="007B49D1"/>
    <w:rsid w:val="007D344F"/>
    <w:rsid w:val="007E5D41"/>
    <w:rsid w:val="0080195D"/>
    <w:rsid w:val="00801CC3"/>
    <w:rsid w:val="00806A1B"/>
    <w:rsid w:val="008129A3"/>
    <w:rsid w:val="008152A1"/>
    <w:rsid w:val="00841AC4"/>
    <w:rsid w:val="00850251"/>
    <w:rsid w:val="00855DA4"/>
    <w:rsid w:val="00885999"/>
    <w:rsid w:val="008E26E0"/>
    <w:rsid w:val="008F4443"/>
    <w:rsid w:val="00911509"/>
    <w:rsid w:val="009213A4"/>
    <w:rsid w:val="009257ED"/>
    <w:rsid w:val="0092749A"/>
    <w:rsid w:val="00941D5F"/>
    <w:rsid w:val="009857D4"/>
    <w:rsid w:val="009A59A2"/>
    <w:rsid w:val="00A00A61"/>
    <w:rsid w:val="00A0278C"/>
    <w:rsid w:val="00A02E62"/>
    <w:rsid w:val="00A156BA"/>
    <w:rsid w:val="00A16AE0"/>
    <w:rsid w:val="00A20CE8"/>
    <w:rsid w:val="00A24E29"/>
    <w:rsid w:val="00A47CB9"/>
    <w:rsid w:val="00A6048A"/>
    <w:rsid w:val="00A74D00"/>
    <w:rsid w:val="00A834D3"/>
    <w:rsid w:val="00AB173C"/>
    <w:rsid w:val="00AB1871"/>
    <w:rsid w:val="00AD0DA1"/>
    <w:rsid w:val="00AE289B"/>
    <w:rsid w:val="00AE5375"/>
    <w:rsid w:val="00B73B78"/>
    <w:rsid w:val="00B768E6"/>
    <w:rsid w:val="00B84C47"/>
    <w:rsid w:val="00BA1A48"/>
    <w:rsid w:val="00BA2F0B"/>
    <w:rsid w:val="00BE0858"/>
    <w:rsid w:val="00BE1351"/>
    <w:rsid w:val="00C15FA6"/>
    <w:rsid w:val="00C20FDE"/>
    <w:rsid w:val="00C2155F"/>
    <w:rsid w:val="00C527BF"/>
    <w:rsid w:val="00C7052B"/>
    <w:rsid w:val="00C72ABF"/>
    <w:rsid w:val="00C84BB0"/>
    <w:rsid w:val="00C84C4F"/>
    <w:rsid w:val="00CA31D6"/>
    <w:rsid w:val="00CB1530"/>
    <w:rsid w:val="00D0500E"/>
    <w:rsid w:val="00D54E28"/>
    <w:rsid w:val="00D5717C"/>
    <w:rsid w:val="00D70809"/>
    <w:rsid w:val="00DA4242"/>
    <w:rsid w:val="00DA665C"/>
    <w:rsid w:val="00DA7536"/>
    <w:rsid w:val="00DE40A2"/>
    <w:rsid w:val="00DF28C0"/>
    <w:rsid w:val="00DF499F"/>
    <w:rsid w:val="00E04C69"/>
    <w:rsid w:val="00E201DB"/>
    <w:rsid w:val="00E50782"/>
    <w:rsid w:val="00E77CCC"/>
    <w:rsid w:val="00E81669"/>
    <w:rsid w:val="00E86340"/>
    <w:rsid w:val="00E918DC"/>
    <w:rsid w:val="00E944E1"/>
    <w:rsid w:val="00EA2DAC"/>
    <w:rsid w:val="00EB7660"/>
    <w:rsid w:val="00EC56AB"/>
    <w:rsid w:val="00ED3371"/>
    <w:rsid w:val="00ED488E"/>
    <w:rsid w:val="00F22CD4"/>
    <w:rsid w:val="00F25B86"/>
    <w:rsid w:val="00F41C4B"/>
    <w:rsid w:val="00F53063"/>
    <w:rsid w:val="00F61C21"/>
    <w:rsid w:val="00F71902"/>
    <w:rsid w:val="00F741A6"/>
    <w:rsid w:val="00F911FE"/>
    <w:rsid w:val="00FB45B1"/>
    <w:rsid w:val="00FC31A4"/>
    <w:rsid w:val="00FF0000"/>
    <w:rsid w:val="00FF38A7"/>
    <w:rsid w:val="11030CB2"/>
    <w:rsid w:val="17F64B14"/>
    <w:rsid w:val="37A70344"/>
    <w:rsid w:val="633C6C9A"/>
    <w:rsid w:val="69FD1480"/>
    <w:rsid w:val="6AF279C3"/>
    <w:rsid w:val="7237187C"/>
    <w:rsid w:val="754E4AB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9"/>
    <w:unhideWhenUsed/>
    <w:qFormat/>
    <w:uiPriority w:val="99"/>
    <w:pPr>
      <w:tabs>
        <w:tab w:val="center" w:pos="4153"/>
        <w:tab w:val="right" w:pos="8306"/>
      </w:tabs>
      <w:snapToGrid w:val="0"/>
    </w:pPr>
    <w:rPr>
      <w:sz w:val="18"/>
      <w:szCs w:val="18"/>
    </w:rPr>
  </w:style>
  <w:style w:type="paragraph" w:styleId="3">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Hyperlink"/>
    <w:basedOn w:val="6"/>
    <w:unhideWhenUsed/>
    <w:qFormat/>
    <w:uiPriority w:val="99"/>
    <w:rPr>
      <w:color w:val="0000FF"/>
      <w:u w:val="single"/>
    </w:rPr>
  </w:style>
  <w:style w:type="character" w:customStyle="1" w:styleId="8">
    <w:name w:val="页眉 字符"/>
    <w:basedOn w:val="6"/>
    <w:link w:val="3"/>
    <w:qFormat/>
    <w:uiPriority w:val="99"/>
    <w:rPr>
      <w:sz w:val="18"/>
      <w:szCs w:val="18"/>
    </w:rPr>
  </w:style>
  <w:style w:type="character" w:customStyle="1" w:styleId="9">
    <w:name w:val="页脚 字符"/>
    <w:basedOn w:val="6"/>
    <w:link w:val="2"/>
    <w:qFormat/>
    <w:uiPriority w:val="99"/>
    <w:rPr>
      <w:sz w:val="18"/>
      <w:szCs w:val="18"/>
    </w:rPr>
  </w:style>
  <w:style w:type="table" w:customStyle="1" w:styleId="10">
    <w:name w:val="网格型1"/>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
    <w:name w:val="网格型2"/>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laceholder Text"/>
    <w:basedOn w:val="6"/>
    <w:unhideWhenUsed/>
    <w:qFormat/>
    <w:uiPriority w:val="99"/>
    <w:rPr>
      <w:color w:val="666666"/>
    </w:rPr>
  </w:style>
  <w:style w:type="paragraph" w:customStyle="1" w:styleId="13">
    <w:name w:val="修订1"/>
    <w:hidden/>
    <w:unhideWhenUsed/>
    <w:qFormat/>
    <w:uiPriority w:val="99"/>
    <w:rPr>
      <w:rFonts w:ascii="宋体" w:hAnsi="宋体" w:eastAsia="宋体" w:cs="宋体"/>
      <w:sz w:val="24"/>
      <w:szCs w:val="24"/>
      <w:lang w:val="en-US" w:eastAsia="zh-CN" w:bidi="ar-SA"/>
    </w:rPr>
  </w:style>
  <w:style w:type="table" w:customStyle="1" w:styleId="14">
    <w:name w:val="网格型3"/>
    <w:basedOn w:val="4"/>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
    <w:name w:val="修订2"/>
    <w:hidden/>
    <w:unhideWhenUsed/>
    <w:qFormat/>
    <w:uiPriority w:val="99"/>
    <w:rPr>
      <w:rFonts w:ascii="宋体" w:hAnsi="宋体" w:eastAsia="宋体" w:cs="宋体"/>
      <w:sz w:val="24"/>
      <w:szCs w:val="24"/>
      <w:lang w:val="en-US" w:eastAsia="zh-CN" w:bidi="ar-SA"/>
    </w:rPr>
  </w:style>
  <w:style w:type="character" w:customStyle="1" w:styleId="16">
    <w:name w:val="Unresolved Mention"/>
    <w:basedOn w:val="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tiff"/><Relationship Id="rId8" Type="http://schemas.openxmlformats.org/officeDocument/2006/relationships/image" Target="media/image5.tiff"/><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1876</Words>
  <Characters>10261</Characters>
  <Lines>299</Lines>
  <Paragraphs>224</Paragraphs>
  <TotalTime>0</TotalTime>
  <ScaleCrop>false</ScaleCrop>
  <LinksUpToDate>false</LinksUpToDate>
  <CharactersWithSpaces>11924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2025-07-08T14:40:00Z</dcterms:created>
  <dc:creator>Lingling Ren</dc:creator>
  <cp:lastModifiedBy>杨治宽</cp:lastModifiedBy>
  <dcterms:modified xsi:type="dcterms:W3CDTF">2025-10-11T05:02:13Z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077356846f7b99c6bd9faf8205c6a958502775d5e884203de0587ab7097a8f29</vt:lpwstr>
  </property>
  <property fmtid="{D5CDD505-2E9C-101B-9397-08002B2CF9AE}" pid="3" name="KSOTemplateDocerSaveRecord">
    <vt:lpwstr>eyJoZGlkIjoiODk4MTc1ZGQ4YzQ2OGQ2ZDFmMjUxNjllZTM2M2VkNTAiLCJ1c2VySWQiOiI0Mzg3MzAxMjAifQ==</vt:lpwstr>
  </property>
  <property fmtid="{D5CDD505-2E9C-101B-9397-08002B2CF9AE}" pid="4" name="KSOProductBuildVer">
    <vt:lpwstr>2052-12.1.0.22529</vt:lpwstr>
  </property>
  <property fmtid="{D5CDD505-2E9C-101B-9397-08002B2CF9AE}" pid="5" name="ICV">
    <vt:lpwstr>7D60604DB5354E1E9D9B3B9E20D073CC_12</vt:lpwstr>
  </property>
</Properties>
</file>