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40128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</w:p>
    <w:p w14:paraId="75AD3B23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</w:p>
    <w:p w14:paraId="11C2A53B" w14:textId="4DE4B009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noProof/>
          <w:lang w:val="en-US"/>
        </w:rPr>
        <w:drawing>
          <wp:inline distT="0" distB="0" distL="0" distR="0" wp14:anchorId="5567679B" wp14:editId="6FAC71A5">
            <wp:extent cx="5676900" cy="3810000"/>
            <wp:effectExtent l="0" t="0" r="0" b="0"/>
            <wp:docPr id="1869289725" name="Picture 3" descr="A close-up of a fec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289725" name="Picture 3" descr="A close-up of a fec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9711E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 xml:space="preserve">Supplementary Figure 1. Isolation and culture of murine lacrimal gland epithelial cells (mLGECs). </w:t>
      </w:r>
      <w:r>
        <w:rPr>
          <w:rFonts w:asciiTheme="minorHAnsi" w:hAnsiTheme="minorHAnsi" w:cstheme="minorHAnsi"/>
          <w:lang w:val="en-US"/>
        </w:rPr>
        <w:t>The lacrimal gland was dissected from neonatal C57BL/6J mice (indicated by dashed line) and carefully excised. The isolated tissue was minced into small fragments and cultured on collagen I-coated plates. Outgrowth of murine lacrimal gland epithelial cells was observed from the explanted tissue after 1-3 days in culture.</w:t>
      </w:r>
    </w:p>
    <w:p w14:paraId="63857DF0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</w:p>
    <w:p w14:paraId="133D4BB6" w14:textId="38FE665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noProof/>
          <w:lang w:val="en-US"/>
        </w:rPr>
        <w:lastRenderedPageBreak/>
        <w:drawing>
          <wp:inline distT="0" distB="0" distL="0" distR="0" wp14:anchorId="7AFE983F" wp14:editId="4590CB91">
            <wp:extent cx="5731510" cy="5467985"/>
            <wp:effectExtent l="0" t="0" r="2540" b="0"/>
            <wp:docPr id="1512210752" name="Picture 2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210752" name="Picture 2" descr="A collage of graphs and diagram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6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E51B2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Supplementary Figure 2. Additional analysis of differentially expressed genes in the classical MAPK signaling pathway after ethanol-induced injury.</w:t>
      </w:r>
    </w:p>
    <w:p w14:paraId="3BE0E591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(A)</w:t>
      </w:r>
      <w:r>
        <w:rPr>
          <w:rFonts w:asciiTheme="minorHAnsi" w:hAnsiTheme="minorHAnsi" w:cstheme="minorHAnsi"/>
          <w:lang w:val="en-US"/>
        </w:rPr>
        <w:t xml:space="preserve"> Comparison of mean normalized expression (MNE) values of examined MAPK pathway genes in untreated mLGECs.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Epha2</w:t>
      </w:r>
      <w:r>
        <w:rPr>
          <w:rFonts w:asciiTheme="minorHAnsi" w:hAnsiTheme="minorHAnsi" w:cstheme="minorHAnsi"/>
          <w:lang w:val="en-US"/>
        </w:rPr>
        <w:t xml:space="preserve">,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Hbegf</w:t>
      </w:r>
      <w:r>
        <w:rPr>
          <w:rFonts w:asciiTheme="minorHAnsi" w:hAnsiTheme="minorHAnsi" w:cstheme="minorHAnsi"/>
          <w:lang w:val="en-US"/>
        </w:rPr>
        <w:t xml:space="preserve">, and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Ngf</w:t>
      </w:r>
      <w:r>
        <w:rPr>
          <w:rFonts w:asciiTheme="minorHAnsi" w:hAnsiTheme="minorHAnsi" w:cstheme="minorHAnsi"/>
          <w:lang w:val="en-US"/>
        </w:rPr>
        <w:t xml:space="preserve"> showed relatively high basal expression, whereas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Areg</w:t>
      </w:r>
      <w:r>
        <w:rPr>
          <w:rFonts w:asciiTheme="minorHAnsi" w:hAnsiTheme="minorHAnsi" w:cstheme="minorHAnsi"/>
          <w:lang w:val="en-US"/>
        </w:rPr>
        <w:t xml:space="preserve"> and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Kit</w:t>
      </w:r>
      <w:r>
        <w:rPr>
          <w:rFonts w:asciiTheme="minorHAnsi" w:hAnsiTheme="minorHAnsi" w:cstheme="minorHAnsi"/>
          <w:lang w:val="en-US"/>
        </w:rPr>
        <w:t xml:space="preserve"> exhibited low baseline levels. </w:t>
      </w:r>
      <w:r>
        <w:rPr>
          <w:rFonts w:asciiTheme="minorHAnsi" w:hAnsiTheme="minorHAnsi" w:cstheme="minorHAnsi"/>
          <w:b/>
          <w:bCs/>
          <w:lang w:val="en-US"/>
        </w:rPr>
        <w:t>(B)</w:t>
      </w:r>
      <w:r>
        <w:rPr>
          <w:rFonts w:asciiTheme="minorHAnsi" w:hAnsiTheme="minorHAnsi" w:cstheme="minorHAnsi"/>
          <w:lang w:val="en-US"/>
        </w:rPr>
        <w:t xml:space="preserve"> Relative gene expression of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Hbegf</w:t>
      </w:r>
      <w:r>
        <w:rPr>
          <w:rFonts w:asciiTheme="minorHAnsi" w:hAnsiTheme="minorHAnsi" w:cstheme="minorHAnsi"/>
          <w:lang w:val="en-US"/>
        </w:rPr>
        <w:t xml:space="preserve">,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Ngf</w:t>
      </w:r>
      <w:r>
        <w:rPr>
          <w:rFonts w:asciiTheme="minorHAnsi" w:hAnsiTheme="minorHAnsi" w:cstheme="minorHAnsi"/>
          <w:lang w:val="en-US"/>
        </w:rPr>
        <w:t xml:space="preserve">,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Gdnf</w:t>
      </w:r>
      <w:r>
        <w:rPr>
          <w:rFonts w:asciiTheme="minorHAnsi" w:hAnsiTheme="minorHAnsi" w:cstheme="minorHAnsi"/>
          <w:lang w:val="en-US"/>
        </w:rPr>
        <w:t xml:space="preserve">,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Areg</w:t>
      </w:r>
      <w:r>
        <w:rPr>
          <w:rFonts w:asciiTheme="minorHAnsi" w:hAnsiTheme="minorHAnsi" w:cstheme="minorHAnsi"/>
          <w:lang w:val="en-US"/>
        </w:rPr>
        <w:t xml:space="preserve">, and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Egf</w:t>
      </w:r>
      <w:r>
        <w:rPr>
          <w:rFonts w:asciiTheme="minorHAnsi" w:hAnsiTheme="minorHAnsi" w:cstheme="minorHAnsi"/>
          <w:lang w:val="en-US"/>
        </w:rPr>
        <w:t xml:space="preserve"> within 24 hours after acute ethanol injury.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Hbegf</w:t>
      </w:r>
      <w:r>
        <w:rPr>
          <w:rFonts w:asciiTheme="minorHAnsi" w:hAnsiTheme="minorHAnsi" w:cstheme="minorHAnsi"/>
          <w:lang w:val="en-US"/>
        </w:rPr>
        <w:t xml:space="preserve"> and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Areg</w:t>
      </w:r>
      <w:r>
        <w:rPr>
          <w:rFonts w:asciiTheme="minorHAnsi" w:hAnsiTheme="minorHAnsi" w:cstheme="minorHAnsi"/>
          <w:lang w:val="en-US"/>
        </w:rPr>
        <w:t xml:space="preserve"> were rapidly induced,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Ngf</w:t>
      </w:r>
      <w:r>
        <w:rPr>
          <w:rFonts w:asciiTheme="minorHAnsi" w:hAnsiTheme="minorHAnsi" w:cstheme="minorHAnsi"/>
          <w:lang w:val="en-US"/>
        </w:rPr>
        <w:t xml:space="preserve"> and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Gdnf</w:t>
      </w:r>
      <w:r>
        <w:rPr>
          <w:rFonts w:asciiTheme="minorHAnsi" w:hAnsiTheme="minorHAnsi" w:cstheme="minorHAnsi"/>
          <w:lang w:val="en-US"/>
        </w:rPr>
        <w:t xml:space="preserve"> peaked at 4 hours, while </w:t>
      </w:r>
      <w:r>
        <w:rPr>
          <w:rStyle w:val="Emphasis"/>
          <w:rFonts w:asciiTheme="minorHAnsi" w:eastAsiaTheme="majorEastAsia" w:hAnsiTheme="minorHAnsi" w:cstheme="minorHAnsi"/>
          <w:lang w:val="en-US"/>
        </w:rPr>
        <w:t>Egf</w:t>
      </w:r>
      <w:r>
        <w:rPr>
          <w:rFonts w:asciiTheme="minorHAnsi" w:hAnsiTheme="minorHAnsi" w:cstheme="minorHAnsi"/>
          <w:lang w:val="en-US"/>
        </w:rPr>
        <w:t xml:space="preserve"> was significantly downregulated. Data are mean ± SEM; n &gt; 5 biological replicates; two-way ANOVA with Dunnett’s multiple comparisons test. </w:t>
      </w:r>
      <w:r>
        <w:rPr>
          <w:rFonts w:asciiTheme="minorHAnsi" w:hAnsiTheme="minorHAnsi" w:cstheme="minorHAnsi"/>
          <w:b/>
          <w:bCs/>
          <w:lang w:val="en-US"/>
        </w:rPr>
        <w:t>(C)</w:t>
      </w:r>
      <w:r>
        <w:rPr>
          <w:rFonts w:asciiTheme="minorHAnsi" w:hAnsiTheme="minorHAnsi" w:cstheme="minorHAnsi"/>
          <w:lang w:val="en-US"/>
        </w:rPr>
        <w:t xml:space="preserve"> Dose–response analyses of HBEGF, NGF, GDNF, and AREG as well as the MAPK inhibitor SCH772984 on mLGEC viability. Growth factors showed high-affinity activity (Kd &lt; 1 ng/ml, saturation at 12.5 ng/ml), and SCH772984 exhibited non-cytotoxic inhibition (IC₅₀ 32.7–98.5 nM). Nonlinear regression was performed using a hyperbolic one-site binding model (X = concentration). Bars show means with individual data points; each point represents the mean of technical triplicates for one donor.</w:t>
      </w:r>
    </w:p>
    <w:p w14:paraId="3DD3C597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</w:p>
    <w:p w14:paraId="00500A80" w14:textId="06359D21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noProof/>
          <w:lang w:val="en-US"/>
        </w:rPr>
        <w:drawing>
          <wp:inline distT="0" distB="0" distL="0" distR="0" wp14:anchorId="14239B28" wp14:editId="193AF780">
            <wp:extent cx="5731510" cy="4453890"/>
            <wp:effectExtent l="0" t="0" r="2540" b="3810"/>
            <wp:docPr id="1659615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5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F7F68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Supplementary Figure 3. Growth factor-induced regeneration following acute ethanol injury.</w:t>
      </w:r>
    </w:p>
    <w:p w14:paraId="7CB78761" w14:textId="77777777" w:rsidR="00CA5BE5" w:rsidRDefault="00CA5BE5" w:rsidP="00CA5BE5">
      <w:pPr>
        <w:adjustRightInd w:val="0"/>
        <w:snapToGrid w:val="0"/>
        <w:spacing w:line="276" w:lineRule="auto"/>
        <w:ind w:right="-2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(A–D)</w:t>
      </w:r>
      <w:r>
        <w:rPr>
          <w:rFonts w:asciiTheme="minorHAnsi" w:hAnsiTheme="minorHAnsi" w:cstheme="minorHAnsi"/>
          <w:lang w:val="en-US"/>
        </w:rPr>
        <w:t xml:space="preserve"> Relative viability/ intracellular ATP of mLGECs with or without 20% ethanol injury followed by EGF-free medium incubation, supplemented with </w:t>
      </w:r>
      <w:r>
        <w:rPr>
          <w:rFonts w:asciiTheme="minorHAnsi" w:hAnsiTheme="minorHAnsi" w:cstheme="minorHAnsi"/>
          <w:b/>
          <w:bCs/>
          <w:lang w:val="en-US"/>
        </w:rPr>
        <w:t>(A)</w:t>
      </w:r>
      <w:r>
        <w:rPr>
          <w:rFonts w:asciiTheme="minorHAnsi" w:hAnsiTheme="minorHAnsi" w:cstheme="minorHAnsi"/>
          <w:lang w:val="en-US"/>
        </w:rPr>
        <w:t xml:space="preserve"> AREG (12.5 ng/ml), </w:t>
      </w:r>
      <w:r>
        <w:rPr>
          <w:rFonts w:asciiTheme="minorHAnsi" w:hAnsiTheme="minorHAnsi" w:cstheme="minorHAnsi"/>
          <w:b/>
          <w:bCs/>
          <w:lang w:val="en-US"/>
        </w:rPr>
        <w:t>(B)</w:t>
      </w:r>
      <w:r>
        <w:rPr>
          <w:rFonts w:asciiTheme="minorHAnsi" w:hAnsiTheme="minorHAnsi" w:cstheme="minorHAnsi"/>
          <w:lang w:val="en-US"/>
        </w:rPr>
        <w:t xml:space="preserve"> GDNF (12.5 ng/ml), </w:t>
      </w:r>
      <w:r>
        <w:rPr>
          <w:rFonts w:asciiTheme="minorHAnsi" w:hAnsiTheme="minorHAnsi" w:cstheme="minorHAnsi"/>
          <w:b/>
          <w:bCs/>
          <w:lang w:val="en-US"/>
        </w:rPr>
        <w:t>(C)</w:t>
      </w:r>
      <w:r>
        <w:rPr>
          <w:rFonts w:asciiTheme="minorHAnsi" w:hAnsiTheme="minorHAnsi" w:cstheme="minorHAnsi"/>
          <w:lang w:val="en-US"/>
        </w:rPr>
        <w:t xml:space="preserve"> EGF (12.5 ng/ml) or </w:t>
      </w:r>
      <w:r>
        <w:rPr>
          <w:rFonts w:asciiTheme="minorHAnsi" w:hAnsiTheme="minorHAnsi" w:cstheme="minorHAnsi"/>
          <w:b/>
          <w:bCs/>
          <w:lang w:val="en-US"/>
        </w:rPr>
        <w:t>(D)</w:t>
      </w:r>
      <w:r>
        <w:rPr>
          <w:rFonts w:asciiTheme="minorHAnsi" w:hAnsiTheme="minorHAnsi" w:cstheme="minorHAnsi"/>
          <w:lang w:val="en-US"/>
        </w:rPr>
        <w:t xml:space="preserve"> NGF (12.5 ng/ml) over 24 hours. n = 9 biological replicates. Data are mean ± SEM; two-way ANOVA with Dunnett’s multiple comparisons test; *p ≤ 0.05, **p ≤ 0.01, ***p ≤ 0.001, ****p ≤ 0.0001.</w:t>
      </w:r>
    </w:p>
    <w:p w14:paraId="5037F5C5" w14:textId="4C385711" w:rsidR="00CA5BE5" w:rsidRDefault="00CA5BE5" w:rsidP="00CA5BE5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lang w:val="fr-FR"/>
        </w:rPr>
        <w:br w:type="column"/>
      </w:r>
      <w:r>
        <w:rPr>
          <w:rFonts w:asciiTheme="minorHAnsi" w:hAnsiTheme="minorHAnsi" w:cstheme="minorHAnsi"/>
          <w:b/>
        </w:rPr>
        <w:lastRenderedPageBreak/>
        <w:t xml:space="preserve">Supplemental Table 1. </w:t>
      </w:r>
      <w:r>
        <w:rPr>
          <w:rStyle w:val="Strong"/>
          <w:rFonts w:asciiTheme="minorHAnsi" w:eastAsiaTheme="majorEastAsia" w:hAnsiTheme="minorHAnsi" w:cstheme="minorHAnsi"/>
        </w:rPr>
        <w:t>Differentially expressed genes associated with structural, contractile, stress, and metabolic responses identified in Figure 1A.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42"/>
        <w:gridCol w:w="3828"/>
        <w:gridCol w:w="1275"/>
        <w:gridCol w:w="1418"/>
        <w:gridCol w:w="1093"/>
      </w:tblGrid>
      <w:tr w:rsidR="00CA5BE5" w14:paraId="37562600" w14:textId="77777777"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DC73D1" w14:textId="77777777" w:rsidR="00CA5BE5" w:rsidRDefault="00CA5BE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 xml:space="preserve">Gene 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53C5F5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Full name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DE2836" w14:textId="77777777" w:rsidR="00CA5BE5" w:rsidRDefault="00CA5BE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log2FC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B98225" w14:textId="77777777" w:rsidR="00CA5BE5" w:rsidRDefault="00CA5BE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padj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C2C040" w14:textId="77777777" w:rsidR="00CA5BE5" w:rsidRDefault="00CA5BE5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stat</w:t>
            </w:r>
          </w:p>
        </w:tc>
      </w:tr>
      <w:tr w:rsidR="00CA5BE5" w14:paraId="3D32DB1D" w14:textId="77777777">
        <w:tc>
          <w:tcPr>
            <w:tcW w:w="885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FCA42A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Structural and contractile genes </w:t>
            </w:r>
          </w:p>
        </w:tc>
      </w:tr>
      <w:tr w:rsidR="00CA5BE5" w14:paraId="6FA1DE9B" w14:textId="77777777">
        <w:tc>
          <w:tcPr>
            <w:tcW w:w="1242" w:type="dxa"/>
            <w:hideMark/>
          </w:tcPr>
          <w:p w14:paraId="630CCB1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Acta1</w:t>
            </w:r>
          </w:p>
        </w:tc>
        <w:tc>
          <w:tcPr>
            <w:tcW w:w="3828" w:type="dxa"/>
            <w:hideMark/>
          </w:tcPr>
          <w:p w14:paraId="7CD900BB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actin, alpha 1</w:t>
            </w:r>
          </w:p>
        </w:tc>
        <w:tc>
          <w:tcPr>
            <w:tcW w:w="1275" w:type="dxa"/>
            <w:hideMark/>
          </w:tcPr>
          <w:p w14:paraId="2BFE0709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-10.60</w:t>
            </w:r>
          </w:p>
        </w:tc>
        <w:tc>
          <w:tcPr>
            <w:tcW w:w="1418" w:type="dxa"/>
            <w:hideMark/>
          </w:tcPr>
          <w:p w14:paraId="4B60BCE9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593C0BE9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-50.51</w:t>
            </w:r>
          </w:p>
        </w:tc>
      </w:tr>
      <w:tr w:rsidR="00CA5BE5" w14:paraId="6C3A7723" w14:textId="77777777">
        <w:tc>
          <w:tcPr>
            <w:tcW w:w="1242" w:type="dxa"/>
            <w:hideMark/>
          </w:tcPr>
          <w:p w14:paraId="2FE5CEE7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Mef2c</w:t>
            </w:r>
          </w:p>
        </w:tc>
        <w:tc>
          <w:tcPr>
            <w:tcW w:w="3828" w:type="dxa"/>
            <w:hideMark/>
          </w:tcPr>
          <w:p w14:paraId="1E3F51A8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myocyte enhancer factor 2 C</w:t>
            </w:r>
          </w:p>
        </w:tc>
        <w:tc>
          <w:tcPr>
            <w:tcW w:w="1275" w:type="dxa"/>
            <w:hideMark/>
          </w:tcPr>
          <w:p w14:paraId="7E2C566C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-6.13</w:t>
            </w:r>
          </w:p>
        </w:tc>
        <w:tc>
          <w:tcPr>
            <w:tcW w:w="1418" w:type="dxa"/>
            <w:hideMark/>
          </w:tcPr>
          <w:p w14:paraId="05FC5683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3C8F9B02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-35.73</w:t>
            </w:r>
          </w:p>
        </w:tc>
      </w:tr>
      <w:tr w:rsidR="00CA5BE5" w14:paraId="7CB7EE04" w14:textId="77777777">
        <w:tc>
          <w:tcPr>
            <w:tcW w:w="1242" w:type="dxa"/>
            <w:hideMark/>
          </w:tcPr>
          <w:p w14:paraId="19F96AA2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Mylpf</w:t>
            </w:r>
          </w:p>
        </w:tc>
        <w:tc>
          <w:tcPr>
            <w:tcW w:w="3828" w:type="dxa"/>
            <w:hideMark/>
          </w:tcPr>
          <w:p w14:paraId="107C9881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myosin light chain, phosphorylatable</w:t>
            </w:r>
          </w:p>
        </w:tc>
        <w:tc>
          <w:tcPr>
            <w:tcW w:w="1275" w:type="dxa"/>
            <w:hideMark/>
          </w:tcPr>
          <w:p w14:paraId="16F34390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-9.51</w:t>
            </w:r>
          </w:p>
        </w:tc>
        <w:tc>
          <w:tcPr>
            <w:tcW w:w="1418" w:type="dxa"/>
            <w:hideMark/>
          </w:tcPr>
          <w:p w14:paraId="0D73B5B8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2B0F157C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-34.53</w:t>
            </w:r>
          </w:p>
        </w:tc>
      </w:tr>
      <w:tr w:rsidR="00CA5BE5" w14:paraId="48454E35" w14:textId="77777777">
        <w:tc>
          <w:tcPr>
            <w:tcW w:w="1242" w:type="dxa"/>
            <w:hideMark/>
          </w:tcPr>
          <w:p w14:paraId="37330398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Creb5</w:t>
            </w:r>
          </w:p>
        </w:tc>
        <w:tc>
          <w:tcPr>
            <w:tcW w:w="3828" w:type="dxa"/>
            <w:hideMark/>
          </w:tcPr>
          <w:p w14:paraId="3B1DA6AD" w14:textId="77777777" w:rsidR="00CA5BE5" w:rsidRDefault="00CA5BE5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cAMP responsive element binding protein 5</w:t>
            </w:r>
          </w:p>
        </w:tc>
        <w:tc>
          <w:tcPr>
            <w:tcW w:w="1275" w:type="dxa"/>
            <w:hideMark/>
          </w:tcPr>
          <w:p w14:paraId="7B90071F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-5.39</w:t>
            </w:r>
          </w:p>
        </w:tc>
        <w:tc>
          <w:tcPr>
            <w:tcW w:w="1418" w:type="dxa"/>
            <w:hideMark/>
          </w:tcPr>
          <w:p w14:paraId="5F6E2D04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2.87e-253</w:t>
            </w:r>
          </w:p>
        </w:tc>
        <w:tc>
          <w:tcPr>
            <w:tcW w:w="1093" w:type="dxa"/>
            <w:hideMark/>
          </w:tcPr>
          <w:p w14:paraId="20C1DCE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-34.20</w:t>
            </w:r>
          </w:p>
        </w:tc>
      </w:tr>
      <w:tr w:rsidR="00CA5BE5" w14:paraId="17F9097D" w14:textId="77777777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D6267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Eno3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8F5E15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enolase 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1908D8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-6.20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752FAB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B28DDB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-33.93</w:t>
            </w:r>
          </w:p>
        </w:tc>
      </w:tr>
      <w:tr w:rsidR="00CA5BE5" w14:paraId="0925AE95" w14:textId="77777777">
        <w:tc>
          <w:tcPr>
            <w:tcW w:w="885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EDCEDC" w14:textId="77777777" w:rsidR="00CA5BE5" w:rsidRDefault="00CA5BE5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Stress- and immune-related genes </w:t>
            </w:r>
          </w:p>
        </w:tc>
      </w:tr>
      <w:tr w:rsidR="00CA5BE5" w14:paraId="63C4923C" w14:textId="77777777">
        <w:tc>
          <w:tcPr>
            <w:tcW w:w="1242" w:type="dxa"/>
            <w:hideMark/>
          </w:tcPr>
          <w:p w14:paraId="05A749BF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Spp1</w:t>
            </w:r>
          </w:p>
        </w:tc>
        <w:tc>
          <w:tcPr>
            <w:tcW w:w="3828" w:type="dxa"/>
            <w:hideMark/>
          </w:tcPr>
          <w:p w14:paraId="7DC4E007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secreted phosphoprotein 1</w:t>
            </w:r>
          </w:p>
        </w:tc>
        <w:tc>
          <w:tcPr>
            <w:tcW w:w="1275" w:type="dxa"/>
            <w:hideMark/>
          </w:tcPr>
          <w:p w14:paraId="04D35CD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9.63</w:t>
            </w:r>
          </w:p>
        </w:tc>
        <w:tc>
          <w:tcPr>
            <w:tcW w:w="1418" w:type="dxa"/>
            <w:hideMark/>
          </w:tcPr>
          <w:p w14:paraId="3B9E488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425220E4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57.77</w:t>
            </w:r>
          </w:p>
        </w:tc>
      </w:tr>
      <w:tr w:rsidR="00CA5BE5" w14:paraId="3ABB46D2" w14:textId="77777777">
        <w:tc>
          <w:tcPr>
            <w:tcW w:w="1242" w:type="dxa"/>
            <w:hideMark/>
          </w:tcPr>
          <w:p w14:paraId="072AE59C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Cxcl5</w:t>
            </w:r>
          </w:p>
        </w:tc>
        <w:tc>
          <w:tcPr>
            <w:tcW w:w="3828" w:type="dxa"/>
            <w:hideMark/>
          </w:tcPr>
          <w:p w14:paraId="13B75509" w14:textId="77777777" w:rsidR="00CA5BE5" w:rsidRDefault="00CA5BE5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C-X-C motif chemokine ligand 5</w:t>
            </w:r>
          </w:p>
        </w:tc>
        <w:tc>
          <w:tcPr>
            <w:tcW w:w="1275" w:type="dxa"/>
            <w:hideMark/>
          </w:tcPr>
          <w:p w14:paraId="7B45F90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11.26</w:t>
            </w:r>
          </w:p>
        </w:tc>
        <w:tc>
          <w:tcPr>
            <w:tcW w:w="1418" w:type="dxa"/>
            <w:hideMark/>
          </w:tcPr>
          <w:p w14:paraId="46709688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684BB067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38.65</w:t>
            </w:r>
          </w:p>
        </w:tc>
      </w:tr>
      <w:tr w:rsidR="00CA5BE5" w14:paraId="63971BA5" w14:textId="77777777">
        <w:tc>
          <w:tcPr>
            <w:tcW w:w="1242" w:type="dxa"/>
            <w:hideMark/>
          </w:tcPr>
          <w:p w14:paraId="3D98B33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Serpine1</w:t>
            </w:r>
          </w:p>
        </w:tc>
        <w:tc>
          <w:tcPr>
            <w:tcW w:w="3828" w:type="dxa"/>
            <w:hideMark/>
          </w:tcPr>
          <w:p w14:paraId="262119E8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serpin family E member 1</w:t>
            </w:r>
          </w:p>
        </w:tc>
        <w:tc>
          <w:tcPr>
            <w:tcW w:w="1275" w:type="dxa"/>
            <w:hideMark/>
          </w:tcPr>
          <w:p w14:paraId="5EEB9E97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7.29</w:t>
            </w:r>
          </w:p>
        </w:tc>
        <w:tc>
          <w:tcPr>
            <w:tcW w:w="1418" w:type="dxa"/>
            <w:hideMark/>
          </w:tcPr>
          <w:p w14:paraId="102FE15F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17E5BD2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38.05</w:t>
            </w:r>
          </w:p>
        </w:tc>
      </w:tr>
      <w:tr w:rsidR="00CA5BE5" w14:paraId="772CA24F" w14:textId="77777777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0C80E7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Brinp3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B9F056" w14:textId="77777777" w:rsidR="00CA5BE5" w:rsidRDefault="00CA5BE5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BMP/retinoic acid inducible neural specific 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460BF3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10.02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455B19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8.14e-234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C47E42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32.86</w:t>
            </w:r>
          </w:p>
        </w:tc>
      </w:tr>
      <w:tr w:rsidR="00CA5BE5" w14:paraId="0500724B" w14:textId="77777777">
        <w:tc>
          <w:tcPr>
            <w:tcW w:w="885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5BA61E" w14:textId="77777777" w:rsidR="00CA5BE5" w:rsidRDefault="00CA5BE5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>Inflammatory and stress response genes</w:t>
            </w:r>
          </w:p>
        </w:tc>
      </w:tr>
      <w:tr w:rsidR="00CA5BE5" w14:paraId="631CC4C9" w14:textId="77777777">
        <w:tc>
          <w:tcPr>
            <w:tcW w:w="1242" w:type="dxa"/>
            <w:hideMark/>
          </w:tcPr>
          <w:p w14:paraId="7D2D4CDB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Ptx3</w:t>
            </w:r>
          </w:p>
        </w:tc>
        <w:tc>
          <w:tcPr>
            <w:tcW w:w="3828" w:type="dxa"/>
            <w:hideMark/>
          </w:tcPr>
          <w:p w14:paraId="4DEA74CE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pentraxin 3</w:t>
            </w:r>
          </w:p>
        </w:tc>
        <w:tc>
          <w:tcPr>
            <w:tcW w:w="1275" w:type="dxa"/>
            <w:hideMark/>
          </w:tcPr>
          <w:p w14:paraId="368FD76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5.62</w:t>
            </w:r>
          </w:p>
        </w:tc>
        <w:tc>
          <w:tcPr>
            <w:tcW w:w="1418" w:type="dxa"/>
            <w:hideMark/>
          </w:tcPr>
          <w:p w14:paraId="47487392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4186955C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41.39</w:t>
            </w:r>
          </w:p>
        </w:tc>
      </w:tr>
      <w:tr w:rsidR="00CA5BE5" w14:paraId="7178E3DE" w14:textId="77777777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B62F1B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Sgk1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3A01B7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serum/glucocorticoid regulated kinase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609A54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3.86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0D61FB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74AF61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40.86</w:t>
            </w:r>
          </w:p>
        </w:tc>
      </w:tr>
      <w:tr w:rsidR="00CA5BE5" w14:paraId="0B900339" w14:textId="77777777">
        <w:tc>
          <w:tcPr>
            <w:tcW w:w="885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CAAE5D" w14:textId="77777777" w:rsidR="00CA5BE5" w:rsidRDefault="00CA5BE5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>Hormonal and metabolic response genes</w:t>
            </w:r>
          </w:p>
        </w:tc>
      </w:tr>
      <w:tr w:rsidR="00CA5BE5" w14:paraId="2E99064A" w14:textId="77777777">
        <w:tc>
          <w:tcPr>
            <w:tcW w:w="1242" w:type="dxa"/>
            <w:hideMark/>
          </w:tcPr>
          <w:p w14:paraId="2ED86897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Emb</w:t>
            </w:r>
          </w:p>
        </w:tc>
        <w:tc>
          <w:tcPr>
            <w:tcW w:w="3828" w:type="dxa"/>
            <w:hideMark/>
          </w:tcPr>
          <w:p w14:paraId="3F313C40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embigin</w:t>
            </w:r>
          </w:p>
        </w:tc>
        <w:tc>
          <w:tcPr>
            <w:tcW w:w="1275" w:type="dxa"/>
            <w:hideMark/>
          </w:tcPr>
          <w:p w14:paraId="5EE14375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5.17</w:t>
            </w:r>
          </w:p>
        </w:tc>
        <w:tc>
          <w:tcPr>
            <w:tcW w:w="1418" w:type="dxa"/>
            <w:hideMark/>
          </w:tcPr>
          <w:p w14:paraId="02E5C20A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0.00e+00</w:t>
            </w:r>
          </w:p>
        </w:tc>
        <w:tc>
          <w:tcPr>
            <w:tcW w:w="1093" w:type="dxa"/>
            <w:hideMark/>
          </w:tcPr>
          <w:p w14:paraId="4351A7A4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53.59</w:t>
            </w:r>
          </w:p>
        </w:tc>
      </w:tr>
      <w:tr w:rsidR="00CA5BE5" w14:paraId="0938F199" w14:textId="77777777">
        <w:tc>
          <w:tcPr>
            <w:tcW w:w="1242" w:type="dxa"/>
            <w:hideMark/>
          </w:tcPr>
          <w:p w14:paraId="3F9308D8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Vdr</w:t>
            </w:r>
          </w:p>
        </w:tc>
        <w:tc>
          <w:tcPr>
            <w:tcW w:w="3828" w:type="dxa"/>
            <w:hideMark/>
          </w:tcPr>
          <w:p w14:paraId="06C716A5" w14:textId="77777777" w:rsidR="00CA5BE5" w:rsidRDefault="00CA5BE5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vitamin D receptor</w:t>
            </w:r>
          </w:p>
        </w:tc>
        <w:tc>
          <w:tcPr>
            <w:tcW w:w="1275" w:type="dxa"/>
            <w:hideMark/>
          </w:tcPr>
          <w:p w14:paraId="1EBC790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5.01</w:t>
            </w:r>
          </w:p>
        </w:tc>
        <w:tc>
          <w:tcPr>
            <w:tcW w:w="1418" w:type="dxa"/>
            <w:hideMark/>
          </w:tcPr>
          <w:p w14:paraId="3F7CE202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1.07e-286</w:t>
            </w:r>
          </w:p>
        </w:tc>
        <w:tc>
          <w:tcPr>
            <w:tcW w:w="1093" w:type="dxa"/>
            <w:hideMark/>
          </w:tcPr>
          <w:p w14:paraId="34F72AFD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36.39</w:t>
            </w:r>
          </w:p>
        </w:tc>
      </w:tr>
      <w:tr w:rsidR="00CA5BE5" w14:paraId="0F02AE73" w14:textId="77777777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992B35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Cyp1b1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1B8C09" w14:textId="77777777" w:rsidR="00CA5BE5" w:rsidRDefault="00CA5BE5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cytochrome P450 family 1 subfamily B member 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D811CE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4.90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2FF230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6.72e-233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6AF9EC" w14:textId="77777777" w:rsidR="00CA5BE5" w:rsidRDefault="00CA5BE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0"/>
              </w:rPr>
              <w:t>32.80</w:t>
            </w:r>
          </w:p>
        </w:tc>
      </w:tr>
    </w:tbl>
    <w:p w14:paraId="74EB31D7" w14:textId="77777777" w:rsidR="00CA5BE5" w:rsidRDefault="00CA5BE5" w:rsidP="00CA5BE5">
      <w:pPr>
        <w:spacing w:line="276" w:lineRule="auto"/>
        <w:rPr>
          <w:rFonts w:asciiTheme="minorHAnsi" w:hAnsiTheme="minorHAnsi" w:cstheme="minorHAnsi"/>
          <w:sz w:val="16"/>
          <w:szCs w:val="22"/>
          <w:lang w:val="en-US" w:bidi="en-US"/>
        </w:rPr>
      </w:pPr>
      <w:r>
        <w:rPr>
          <w:rFonts w:asciiTheme="minorHAnsi" w:hAnsiTheme="minorHAnsi" w:cstheme="minorHAnsi"/>
          <w:sz w:val="16"/>
          <w:szCs w:val="22"/>
          <w:lang w:val="en-US" w:bidi="en-US"/>
        </w:rPr>
        <w:t>List of representative significantly regulated genes from the RNA-seq comparison between native murine lacrimal gland tissue (mLG) and primary lacrimal gland epithelial cells (mLGECs). Genes are grouped by functional category, and values indicate the log₂ fold change, adjusted p value (padj), and Wald test statistic (stat).</w:t>
      </w:r>
    </w:p>
    <w:p w14:paraId="7DE3EA8E" w14:textId="77777777" w:rsidR="00CA5BE5" w:rsidRDefault="00CA5BE5" w:rsidP="00CA5BE5">
      <w:pPr>
        <w:pStyle w:val="MDPI41tablecaption"/>
        <w:spacing w:line="276" w:lineRule="auto"/>
        <w:ind w:left="0"/>
        <w:jc w:val="both"/>
        <w:rPr>
          <w:rFonts w:asciiTheme="minorHAnsi" w:hAnsiTheme="minorHAnsi" w:cstheme="minorHAnsi"/>
          <w:b/>
          <w:color w:val="auto"/>
          <w:sz w:val="24"/>
          <w:szCs w:val="24"/>
        </w:rPr>
      </w:pPr>
    </w:p>
    <w:p w14:paraId="2BAA47B1" w14:textId="77777777" w:rsidR="00CA5BE5" w:rsidRDefault="00CA5BE5" w:rsidP="00CA5BE5">
      <w:pPr>
        <w:pStyle w:val="MDPI41tablecaption"/>
        <w:spacing w:line="276" w:lineRule="auto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color w:val="auto"/>
          <w:sz w:val="24"/>
          <w:szCs w:val="24"/>
        </w:rPr>
        <w:t>Supplemental Table 2.</w:t>
      </w:r>
      <w:r>
        <w:t xml:space="preserve"> </w:t>
      </w:r>
      <w:r>
        <w:rPr>
          <w:rFonts w:asciiTheme="minorHAnsi" w:hAnsiTheme="minorHAnsi" w:cstheme="minorHAnsi"/>
          <w:bCs/>
          <w:color w:val="auto"/>
          <w:sz w:val="24"/>
          <w:szCs w:val="24"/>
        </w:rPr>
        <w:t>Differentially expressed genes associated with stress, immune, and regenerative responses identified in Figure 4A.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76"/>
        <w:gridCol w:w="3827"/>
        <w:gridCol w:w="1276"/>
        <w:gridCol w:w="1418"/>
        <w:gridCol w:w="1031"/>
      </w:tblGrid>
      <w:tr w:rsidR="00CA5BE5" w14:paraId="6B7B9B8D" w14:textId="77777777"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8D1FC0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Gene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07E968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9220C3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log2FC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FF947C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padj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F02300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stat</w:t>
            </w:r>
          </w:p>
        </w:tc>
      </w:tr>
      <w:tr w:rsidR="00CA5BE5" w14:paraId="5086271F" w14:textId="77777777">
        <w:tc>
          <w:tcPr>
            <w:tcW w:w="88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0B674A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Stress- and autophagy-related genes</w:t>
            </w:r>
          </w:p>
        </w:tc>
      </w:tr>
      <w:tr w:rsidR="00CA5BE5" w14:paraId="7A077E09" w14:textId="77777777">
        <w:tc>
          <w:tcPr>
            <w:tcW w:w="1276" w:type="dxa"/>
            <w:hideMark/>
          </w:tcPr>
          <w:p w14:paraId="4597B4AB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Fnip1</w:t>
            </w:r>
          </w:p>
        </w:tc>
        <w:tc>
          <w:tcPr>
            <w:tcW w:w="3827" w:type="dxa"/>
            <w:hideMark/>
          </w:tcPr>
          <w:p w14:paraId="67FAD484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folliculin interacting protein 1</w:t>
            </w:r>
          </w:p>
        </w:tc>
        <w:tc>
          <w:tcPr>
            <w:tcW w:w="1276" w:type="dxa"/>
            <w:hideMark/>
          </w:tcPr>
          <w:p w14:paraId="1CB7C856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+2.20</w:t>
            </w:r>
          </w:p>
        </w:tc>
        <w:tc>
          <w:tcPr>
            <w:tcW w:w="1418" w:type="dxa"/>
            <w:hideMark/>
          </w:tcPr>
          <w:p w14:paraId="518D52CC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1.62e−215</w:t>
            </w:r>
          </w:p>
        </w:tc>
        <w:tc>
          <w:tcPr>
            <w:tcW w:w="1031" w:type="dxa"/>
            <w:hideMark/>
          </w:tcPr>
          <w:p w14:paraId="35AE47DB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+22.07</w:t>
            </w:r>
          </w:p>
        </w:tc>
      </w:tr>
      <w:tr w:rsidR="00CA5BE5" w14:paraId="588FDBE4" w14:textId="77777777">
        <w:tc>
          <w:tcPr>
            <w:tcW w:w="1276" w:type="dxa"/>
            <w:hideMark/>
          </w:tcPr>
          <w:p w14:paraId="0C7B2B8A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Ndrg1</w:t>
            </w:r>
          </w:p>
        </w:tc>
        <w:tc>
          <w:tcPr>
            <w:tcW w:w="3827" w:type="dxa"/>
            <w:hideMark/>
          </w:tcPr>
          <w:p w14:paraId="6C4201CE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N-myc downstream regulated gene 1</w:t>
            </w:r>
          </w:p>
        </w:tc>
        <w:tc>
          <w:tcPr>
            <w:tcW w:w="1276" w:type="dxa"/>
            <w:hideMark/>
          </w:tcPr>
          <w:p w14:paraId="3B4C3046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+2.39</w:t>
            </w:r>
          </w:p>
        </w:tc>
        <w:tc>
          <w:tcPr>
            <w:tcW w:w="1418" w:type="dxa"/>
            <w:hideMark/>
          </w:tcPr>
          <w:p w14:paraId="74E4D1C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4.94e−180</w:t>
            </w:r>
          </w:p>
        </w:tc>
        <w:tc>
          <w:tcPr>
            <w:tcW w:w="1031" w:type="dxa"/>
            <w:hideMark/>
          </w:tcPr>
          <w:p w14:paraId="094FE1A3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+19.04</w:t>
            </w:r>
          </w:p>
        </w:tc>
      </w:tr>
      <w:tr w:rsidR="00CA5BE5" w14:paraId="65027AD2" w14:textId="77777777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F3A414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Sqstm1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EA5C79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sequestosome 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EA533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+1.68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865258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2.13e−157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11E81D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+17.56</w:t>
            </w:r>
          </w:p>
        </w:tc>
      </w:tr>
      <w:tr w:rsidR="00CA5BE5" w14:paraId="3C65FD98" w14:textId="77777777">
        <w:tc>
          <w:tcPr>
            <w:tcW w:w="88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2EC5C6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Immune and interferon-related genes</w:t>
            </w:r>
          </w:p>
        </w:tc>
      </w:tr>
      <w:tr w:rsidR="00CA5BE5" w14:paraId="496AFD76" w14:textId="77777777">
        <w:tc>
          <w:tcPr>
            <w:tcW w:w="1276" w:type="dxa"/>
            <w:hideMark/>
          </w:tcPr>
          <w:p w14:paraId="2FBE80B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Ccl5</w:t>
            </w:r>
          </w:p>
        </w:tc>
        <w:tc>
          <w:tcPr>
            <w:tcW w:w="3827" w:type="dxa"/>
            <w:hideMark/>
          </w:tcPr>
          <w:p w14:paraId="3A5BE34A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C-C motif chemokine ligand 5</w:t>
            </w:r>
          </w:p>
        </w:tc>
        <w:tc>
          <w:tcPr>
            <w:tcW w:w="1276" w:type="dxa"/>
            <w:hideMark/>
          </w:tcPr>
          <w:p w14:paraId="722B515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+4.94</w:t>
            </w:r>
          </w:p>
        </w:tc>
        <w:tc>
          <w:tcPr>
            <w:tcW w:w="1418" w:type="dxa"/>
            <w:hideMark/>
          </w:tcPr>
          <w:p w14:paraId="02DB7C8D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1.12e−172</w:t>
            </w:r>
          </w:p>
        </w:tc>
        <w:tc>
          <w:tcPr>
            <w:tcW w:w="1031" w:type="dxa"/>
            <w:hideMark/>
          </w:tcPr>
          <w:p w14:paraId="3945E4E5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+18.71</w:t>
            </w:r>
          </w:p>
        </w:tc>
      </w:tr>
      <w:tr w:rsidR="00CA5BE5" w14:paraId="5F92E90F" w14:textId="77777777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8A614C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Ifit1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C37ABF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interferon induced protein with tetratricopeptide repeats 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48DEEE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+4.01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9D3FBB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2.89e−160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A2B8A8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+17.18</w:t>
            </w:r>
          </w:p>
        </w:tc>
      </w:tr>
      <w:tr w:rsidR="00CA5BE5" w14:paraId="07796E19" w14:textId="77777777">
        <w:tc>
          <w:tcPr>
            <w:tcW w:w="88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03D119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Repair and regeneration-associated genes</w:t>
            </w:r>
          </w:p>
        </w:tc>
      </w:tr>
      <w:tr w:rsidR="00CA5BE5" w14:paraId="3FE2FEF5" w14:textId="77777777">
        <w:tc>
          <w:tcPr>
            <w:tcW w:w="1276" w:type="dxa"/>
            <w:hideMark/>
          </w:tcPr>
          <w:p w14:paraId="58816988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Klf5</w:t>
            </w:r>
          </w:p>
        </w:tc>
        <w:tc>
          <w:tcPr>
            <w:tcW w:w="3827" w:type="dxa"/>
            <w:hideMark/>
          </w:tcPr>
          <w:p w14:paraId="77BA65F0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Kruppel-like factor 5</w:t>
            </w:r>
          </w:p>
        </w:tc>
        <w:tc>
          <w:tcPr>
            <w:tcW w:w="1276" w:type="dxa"/>
            <w:hideMark/>
          </w:tcPr>
          <w:p w14:paraId="44E598BB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+3.77</w:t>
            </w:r>
          </w:p>
        </w:tc>
        <w:tc>
          <w:tcPr>
            <w:tcW w:w="1418" w:type="dxa"/>
            <w:hideMark/>
          </w:tcPr>
          <w:p w14:paraId="3721112E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7.56e−158</w:t>
            </w:r>
          </w:p>
        </w:tc>
        <w:tc>
          <w:tcPr>
            <w:tcW w:w="1031" w:type="dxa"/>
            <w:hideMark/>
          </w:tcPr>
          <w:p w14:paraId="0A9CE3FC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+17.53</w:t>
            </w:r>
          </w:p>
        </w:tc>
      </w:tr>
      <w:tr w:rsidR="00CA5BE5" w14:paraId="2241C62D" w14:textId="77777777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25BD0A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Hbegf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5F58E1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heparin-binding EGF-like growth factor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E15F8C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+2.69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1B43FE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1.23e−155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0C41B6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+17.13</w:t>
            </w:r>
          </w:p>
        </w:tc>
      </w:tr>
      <w:tr w:rsidR="00CA5BE5" w14:paraId="0392AACB" w14:textId="77777777">
        <w:tc>
          <w:tcPr>
            <w:tcW w:w="88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5C64C5" w14:textId="77777777" w:rsidR="00CA5BE5" w:rsidRDefault="00CA5BE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Transcriptional and developmental regulator</w:t>
            </w:r>
          </w:p>
        </w:tc>
      </w:tr>
      <w:tr w:rsidR="00CA5BE5" w14:paraId="01A0BBB8" w14:textId="77777777"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AEDD54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Id3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6DA01A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inhibitor of DNA binding 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A3F550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−1.41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06DF2B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3.64e−153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AC5E0C" w14:textId="77777777" w:rsidR="00CA5BE5" w:rsidRDefault="00CA5BE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−17.42</w:t>
            </w:r>
          </w:p>
        </w:tc>
      </w:tr>
    </w:tbl>
    <w:p w14:paraId="0E4E2EA7" w14:textId="77777777" w:rsidR="00CA5BE5" w:rsidRDefault="00CA5BE5" w:rsidP="00CA5BE5">
      <w:pPr>
        <w:spacing w:line="276" w:lineRule="auto"/>
        <w:rPr>
          <w:rFonts w:asciiTheme="minorHAnsi" w:hAnsiTheme="minorHAnsi" w:cstheme="minorHAnsi"/>
          <w:sz w:val="16"/>
          <w:szCs w:val="22"/>
          <w:lang w:val="en-US" w:bidi="en-US"/>
        </w:rPr>
      </w:pPr>
      <w:r>
        <w:rPr>
          <w:rFonts w:asciiTheme="minorHAnsi" w:hAnsiTheme="minorHAnsi" w:cstheme="minorHAnsi"/>
          <w:sz w:val="16"/>
          <w:szCs w:val="22"/>
          <w:lang w:val="en-US" w:bidi="en-US"/>
        </w:rPr>
        <w:t>List of representative significantly regulated genes from the RNA-seq comparison between untreated (−EtOH) and 20 % ethanol-treated (+EtOH) primary murine lacrimal gland epithelial cells (mLGECs) two hours after exposure. Genes are grouped by functional category, and values indicate the log₂ fold change, adjusted p-value (padj), and Wald test statistic (stat).</w:t>
      </w:r>
    </w:p>
    <w:p w14:paraId="6CAB7E20" w14:textId="77777777" w:rsidR="00CA5BE5" w:rsidRDefault="00CA5BE5"/>
    <w:sectPr w:rsidR="00CA5B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BE5"/>
    <w:rsid w:val="00767E38"/>
    <w:rsid w:val="00866F7D"/>
    <w:rsid w:val="00942AB6"/>
    <w:rsid w:val="00CA5BE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E60D2"/>
  <w15:chartTrackingRefBased/>
  <w15:docId w15:val="{B03479FD-3596-4D08-AF6B-426727BA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BE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BE5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BE5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BE5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BE5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BE5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BE5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BE5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BE5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BE5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BE5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5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BE5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5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BE5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5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BE5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5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BE5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CA5BE5"/>
    <w:pPr>
      <w:suppressAutoHyphens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character" w:styleId="Strong">
    <w:name w:val="Strong"/>
    <w:basedOn w:val="DefaultParagraphFont"/>
    <w:uiPriority w:val="22"/>
    <w:qFormat/>
    <w:rsid w:val="00CA5BE5"/>
    <w:rPr>
      <w:b/>
      <w:bCs/>
    </w:rPr>
  </w:style>
  <w:style w:type="character" w:styleId="Emphasis">
    <w:name w:val="Emphasis"/>
    <w:basedOn w:val="DefaultParagraphFont"/>
    <w:uiPriority w:val="20"/>
    <w:qFormat/>
    <w:rsid w:val="00CA5B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681</Words>
  <Characters>4071</Characters>
  <Application>Microsoft Office Word</Application>
  <DocSecurity>0</DocSecurity>
  <Lines>185</Lines>
  <Paragraphs>158</Paragraphs>
  <ScaleCrop>false</ScaleCrop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2025-12-02T11:19:00Z</dcterms:created>
  <dcterms:modified xsi:type="dcterms:W3CDTF">2025-12-02T11:20:00Z</dcterms:modified>
</cp:coreProperties>
</file>