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112A9F">
      <w:pPr>
        <w:pStyle w:val="2"/>
        <w:jc w:val="center"/>
        <w:rPr>
          <w:rFonts w:hint="eastAsia" w:ascii="Times New Roman" w:hAnsi="Times New Roman" w:cs="Times New Roman"/>
          <w:color w:val="000000" w:themeColor="text1"/>
          <w:sz w:val="24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 w:eastAsiaTheme="minorEastAsia"/>
          <w:b/>
          <w:bCs/>
          <w:kern w:val="2"/>
          <w:sz w:val="24"/>
          <w:szCs w:val="22"/>
          <w:lang w:val="en-US" w:eastAsia="zh-CN" w:bidi="ar-SA"/>
          <w14:ligatures w14:val="standardContextual"/>
        </w:rPr>
        <w:t xml:space="preserve">Table S1. </w:t>
      </w:r>
      <w:r>
        <w:rPr>
          <w:rFonts w:hint="eastAsia" w:ascii="Times New Roman" w:hAnsi="Times New Roman" w:cs="Times New Roman"/>
          <w:b/>
          <w:bCs/>
          <w:sz w:val="24"/>
        </w:rPr>
        <w:t>Cox regression analysis</w:t>
      </w:r>
    </w:p>
    <w:tbl>
      <w:tblPr>
        <w:tblStyle w:val="3"/>
        <w:tblpPr w:leftFromText="180" w:rightFromText="180" w:vertAnchor="page" w:horzAnchor="page" w:tblpX="754" w:tblpY="1845"/>
        <w:tblW w:w="1091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62"/>
        <w:gridCol w:w="862"/>
        <w:gridCol w:w="1488"/>
        <w:gridCol w:w="1111"/>
        <w:gridCol w:w="967"/>
        <w:gridCol w:w="1669"/>
        <w:gridCol w:w="1060"/>
      </w:tblGrid>
      <w:tr w14:paraId="51EE9C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3762" w:type="dxa"/>
            <w:tcBorders>
              <w:top w:val="single" w:color="auto" w:sz="12" w:space="0"/>
            </w:tcBorders>
            <w:shd w:val="clear" w:color="auto" w:fill="auto"/>
            <w:vAlign w:val="center"/>
          </w:tcPr>
          <w:p w14:paraId="0696D1D5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Covariate</w:t>
            </w:r>
          </w:p>
        </w:tc>
        <w:tc>
          <w:tcPr>
            <w:tcW w:w="3461" w:type="dxa"/>
            <w:gridSpan w:val="3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 w14:paraId="2DDB7CEE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bookmarkStart w:id="0" w:name="_Hlk196844169"/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U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nivariable</w:t>
            </w:r>
            <w:bookmarkEnd w:id="0"/>
          </w:p>
        </w:tc>
        <w:tc>
          <w:tcPr>
            <w:tcW w:w="3696" w:type="dxa"/>
            <w:gridSpan w:val="3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 w14:paraId="180A8106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M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ultivariable</w:t>
            </w:r>
          </w:p>
        </w:tc>
      </w:tr>
      <w:tr w14:paraId="6A2BD6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3762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 w14:paraId="62AA84C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862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 w14:paraId="32C302F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HR</w:t>
            </w:r>
          </w:p>
        </w:tc>
        <w:tc>
          <w:tcPr>
            <w:tcW w:w="1488" w:type="dxa"/>
            <w:tcBorders>
              <w:top w:val="single" w:color="auto" w:sz="12" w:space="0"/>
              <w:bottom w:val="single" w:color="auto" w:sz="12" w:space="0"/>
            </w:tcBorders>
          </w:tcPr>
          <w:p w14:paraId="7B45262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95% CI</w:t>
            </w:r>
          </w:p>
        </w:tc>
        <w:tc>
          <w:tcPr>
            <w:tcW w:w="1111" w:type="dxa"/>
            <w:tcBorders>
              <w:top w:val="single" w:color="auto" w:sz="12" w:space="0"/>
              <w:bottom w:val="single" w:color="auto" w:sz="12" w:space="0"/>
            </w:tcBorders>
          </w:tcPr>
          <w:p w14:paraId="7F29CAB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4"/>
                <w:lang w:bidi="ar"/>
              </w:rPr>
              <w:t>p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 value</w:t>
            </w:r>
          </w:p>
        </w:tc>
        <w:tc>
          <w:tcPr>
            <w:tcW w:w="967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 w14:paraId="1E0BCFBF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 xml:space="preserve">HR </w:t>
            </w:r>
          </w:p>
        </w:tc>
        <w:tc>
          <w:tcPr>
            <w:tcW w:w="1669" w:type="dxa"/>
            <w:tcBorders>
              <w:top w:val="single" w:color="auto" w:sz="12" w:space="0"/>
              <w:bottom w:val="single" w:color="auto" w:sz="12" w:space="0"/>
            </w:tcBorders>
          </w:tcPr>
          <w:p w14:paraId="684D1AE8">
            <w:pPr>
              <w:widowControl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95% CI</w:t>
            </w:r>
          </w:p>
        </w:tc>
        <w:tc>
          <w:tcPr>
            <w:tcW w:w="1060" w:type="dxa"/>
            <w:tcBorders>
              <w:top w:val="single" w:color="auto" w:sz="12" w:space="0"/>
              <w:bottom w:val="single" w:color="auto" w:sz="12" w:space="0"/>
            </w:tcBorders>
          </w:tcPr>
          <w:p w14:paraId="66534E80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4"/>
                <w:lang w:bidi="ar"/>
              </w:rPr>
              <w:t>p</w:t>
            </w: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 value</w:t>
            </w:r>
          </w:p>
        </w:tc>
      </w:tr>
      <w:tr w14:paraId="1390AF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3762" w:type="dxa"/>
            <w:tcBorders>
              <w:top w:val="single" w:color="auto" w:sz="12" w:space="0"/>
            </w:tcBorders>
            <w:shd w:val="clear" w:color="auto" w:fill="auto"/>
            <w:noWrap/>
            <w:vAlign w:val="center"/>
          </w:tcPr>
          <w:p w14:paraId="3905D65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Age</w:t>
            </w:r>
          </w:p>
        </w:tc>
        <w:tc>
          <w:tcPr>
            <w:tcW w:w="862" w:type="dxa"/>
            <w:tcBorders>
              <w:top w:val="single" w:color="auto" w:sz="12" w:space="0"/>
            </w:tcBorders>
            <w:shd w:val="clear" w:color="auto" w:fill="auto"/>
            <w:noWrap/>
            <w:vAlign w:val="center"/>
          </w:tcPr>
          <w:p w14:paraId="1924B118">
            <w:pPr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  <w:t>1.061</w:t>
            </w:r>
          </w:p>
        </w:tc>
        <w:tc>
          <w:tcPr>
            <w:tcW w:w="1488" w:type="dxa"/>
            <w:tcBorders>
              <w:top w:val="single" w:color="auto" w:sz="12" w:space="0"/>
            </w:tcBorders>
            <w:shd w:val="clear" w:color="auto" w:fill="auto"/>
            <w:vAlign w:val="top"/>
          </w:tcPr>
          <w:p w14:paraId="0ABB6C6F">
            <w:pPr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  <w:t>1.032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  <w:t>-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  <w:t>1.090</w:t>
            </w:r>
          </w:p>
        </w:tc>
        <w:tc>
          <w:tcPr>
            <w:tcW w:w="1111" w:type="dxa"/>
            <w:tcBorders>
              <w:top w:val="single" w:color="auto" w:sz="12" w:space="0"/>
            </w:tcBorders>
            <w:shd w:val="clear" w:color="auto" w:fill="auto"/>
            <w:vAlign w:val="top"/>
          </w:tcPr>
          <w:p w14:paraId="4E4505F0">
            <w:pPr>
              <w:jc w:val="left"/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967" w:type="dxa"/>
            <w:tcBorders>
              <w:top w:val="single" w:color="auto" w:sz="12" w:space="0"/>
            </w:tcBorders>
            <w:shd w:val="clear" w:color="auto" w:fill="auto"/>
            <w:noWrap/>
            <w:vAlign w:val="top"/>
          </w:tcPr>
          <w:p w14:paraId="472D9853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1.091</w:t>
            </w:r>
          </w:p>
        </w:tc>
        <w:tc>
          <w:tcPr>
            <w:tcW w:w="1669" w:type="dxa"/>
            <w:tcBorders>
              <w:top w:val="single" w:color="auto" w:sz="12" w:space="0"/>
            </w:tcBorders>
            <w:shd w:val="clear" w:color="auto" w:fill="auto"/>
            <w:vAlign w:val="top"/>
          </w:tcPr>
          <w:p w14:paraId="52C43F01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1.053-1.131</w:t>
            </w:r>
          </w:p>
        </w:tc>
        <w:tc>
          <w:tcPr>
            <w:tcW w:w="1060" w:type="dxa"/>
            <w:tcBorders>
              <w:top w:val="single" w:color="auto" w:sz="12" w:space="0"/>
            </w:tcBorders>
            <w:shd w:val="clear" w:color="auto" w:fill="auto"/>
            <w:vAlign w:val="top"/>
          </w:tcPr>
          <w:p w14:paraId="70D79415">
            <w:pP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&lt;0.001</w:t>
            </w:r>
          </w:p>
        </w:tc>
      </w:tr>
      <w:tr w14:paraId="3B1568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3762" w:type="dxa"/>
            <w:shd w:val="clear" w:color="auto" w:fill="auto"/>
            <w:noWrap/>
            <w:vAlign w:val="center"/>
          </w:tcPr>
          <w:p w14:paraId="669AEDA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HIV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Infection(yes)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 w14:paraId="2A120EEF">
            <w:pPr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  <w:t>1.677</w:t>
            </w:r>
          </w:p>
        </w:tc>
        <w:tc>
          <w:tcPr>
            <w:tcW w:w="1488" w:type="dxa"/>
            <w:shd w:val="clear" w:color="auto" w:fill="auto"/>
            <w:vAlign w:val="top"/>
          </w:tcPr>
          <w:p w14:paraId="306EC016">
            <w:pPr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  <w:t>0.769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  <w:t>-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  <w:t>3.658</w:t>
            </w:r>
          </w:p>
        </w:tc>
        <w:tc>
          <w:tcPr>
            <w:tcW w:w="1111" w:type="dxa"/>
            <w:shd w:val="clear" w:color="auto" w:fill="auto"/>
            <w:vAlign w:val="top"/>
          </w:tcPr>
          <w:p w14:paraId="55039C7C"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val="en-US" w:eastAsia="zh-CN" w:bidi="ar"/>
              </w:rPr>
              <w:t>0.194</w:t>
            </w:r>
          </w:p>
        </w:tc>
        <w:tc>
          <w:tcPr>
            <w:tcW w:w="967" w:type="dxa"/>
            <w:shd w:val="clear" w:color="auto" w:fill="auto"/>
            <w:noWrap/>
            <w:vAlign w:val="center"/>
          </w:tcPr>
          <w:p w14:paraId="4F1CD825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15.283</w:t>
            </w:r>
          </w:p>
        </w:tc>
        <w:tc>
          <w:tcPr>
            <w:tcW w:w="1669" w:type="dxa"/>
            <w:shd w:val="clear" w:color="auto" w:fill="auto"/>
            <w:vAlign w:val="top"/>
          </w:tcPr>
          <w:p w14:paraId="3BC5A233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3.679-63.495</w:t>
            </w:r>
          </w:p>
        </w:tc>
        <w:tc>
          <w:tcPr>
            <w:tcW w:w="1060" w:type="dxa"/>
            <w:shd w:val="clear" w:color="auto" w:fill="auto"/>
            <w:vAlign w:val="top"/>
          </w:tcPr>
          <w:p w14:paraId="50C36EC2">
            <w:pPr>
              <w:jc w:val="left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&lt;0.001</w:t>
            </w:r>
          </w:p>
        </w:tc>
      </w:tr>
      <w:tr w14:paraId="0350A7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3762" w:type="dxa"/>
            <w:shd w:val="clear" w:color="auto" w:fill="auto"/>
            <w:noWrap/>
            <w:vAlign w:val="center"/>
          </w:tcPr>
          <w:p w14:paraId="369AC80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Extracutaneous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involvement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(yes)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 w14:paraId="2F545CBF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  <w:t>0.679</w:t>
            </w:r>
          </w:p>
        </w:tc>
        <w:tc>
          <w:tcPr>
            <w:tcW w:w="1488" w:type="dxa"/>
            <w:shd w:val="clear" w:color="auto" w:fill="auto"/>
            <w:vAlign w:val="top"/>
          </w:tcPr>
          <w:p w14:paraId="08FAC7FF">
            <w:pPr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  <w:t>0.313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  <w:t>-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  <w:t>1.469</w:t>
            </w:r>
          </w:p>
        </w:tc>
        <w:tc>
          <w:tcPr>
            <w:tcW w:w="1111" w:type="dxa"/>
            <w:shd w:val="clear" w:color="auto" w:fill="auto"/>
            <w:vAlign w:val="top"/>
          </w:tcPr>
          <w:p w14:paraId="205E9676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0.325</w:t>
            </w:r>
          </w:p>
        </w:tc>
        <w:tc>
          <w:tcPr>
            <w:tcW w:w="967" w:type="dxa"/>
            <w:shd w:val="clear" w:color="auto" w:fill="auto"/>
            <w:noWrap/>
            <w:vAlign w:val="center"/>
          </w:tcPr>
          <w:p w14:paraId="43B101DA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0.114</w:t>
            </w:r>
          </w:p>
        </w:tc>
        <w:tc>
          <w:tcPr>
            <w:tcW w:w="1669" w:type="dxa"/>
            <w:shd w:val="clear" w:color="auto" w:fill="auto"/>
            <w:vAlign w:val="top"/>
          </w:tcPr>
          <w:p w14:paraId="2F6E2435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0.002-5.675</w:t>
            </w:r>
          </w:p>
        </w:tc>
        <w:tc>
          <w:tcPr>
            <w:tcW w:w="1060" w:type="dxa"/>
            <w:shd w:val="clear" w:color="auto" w:fill="auto"/>
            <w:vAlign w:val="top"/>
          </w:tcPr>
          <w:p w14:paraId="66A15322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  <w:t>0.276</w:t>
            </w:r>
          </w:p>
        </w:tc>
      </w:tr>
      <w:tr w14:paraId="2F2A5A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3762" w:type="dxa"/>
            <w:shd w:val="clear" w:color="auto" w:fill="auto"/>
            <w:noWrap/>
            <w:vAlign w:val="center"/>
          </w:tcPr>
          <w:p w14:paraId="64FB4C1E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Classification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of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Krigel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(grade 2)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 w14:paraId="0D484F62">
            <w:pPr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  <w:t>1.182</w:t>
            </w:r>
          </w:p>
        </w:tc>
        <w:tc>
          <w:tcPr>
            <w:tcW w:w="1488" w:type="dxa"/>
            <w:shd w:val="clear" w:color="auto" w:fill="auto"/>
            <w:vAlign w:val="top"/>
          </w:tcPr>
          <w:p w14:paraId="77990BCC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  <w:t>0.540-2.585</w:t>
            </w:r>
          </w:p>
        </w:tc>
        <w:tc>
          <w:tcPr>
            <w:tcW w:w="1111" w:type="dxa"/>
            <w:shd w:val="clear" w:color="auto" w:fill="auto"/>
            <w:vAlign w:val="top"/>
          </w:tcPr>
          <w:p w14:paraId="257F48BD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0.676</w:t>
            </w:r>
          </w:p>
        </w:tc>
        <w:tc>
          <w:tcPr>
            <w:tcW w:w="967" w:type="dxa"/>
            <w:shd w:val="clear" w:color="auto" w:fill="auto"/>
            <w:noWrap/>
            <w:vAlign w:val="center"/>
          </w:tcPr>
          <w:p w14:paraId="1D5921D5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0.739</w:t>
            </w:r>
          </w:p>
        </w:tc>
        <w:tc>
          <w:tcPr>
            <w:tcW w:w="1669" w:type="dxa"/>
            <w:shd w:val="clear" w:color="auto" w:fill="auto"/>
            <w:vAlign w:val="top"/>
          </w:tcPr>
          <w:p w14:paraId="55555F30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0.258-2.112</w:t>
            </w:r>
          </w:p>
        </w:tc>
        <w:tc>
          <w:tcPr>
            <w:tcW w:w="1060" w:type="dxa"/>
            <w:shd w:val="clear" w:color="auto" w:fill="auto"/>
            <w:vAlign w:val="top"/>
          </w:tcPr>
          <w:p w14:paraId="71CB2AF4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  <w:t>0.572</w:t>
            </w:r>
          </w:p>
        </w:tc>
      </w:tr>
      <w:tr w14:paraId="77A78A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3762" w:type="dxa"/>
            <w:shd w:val="clear" w:color="auto" w:fill="auto"/>
            <w:noWrap/>
            <w:vAlign w:val="center"/>
          </w:tcPr>
          <w:p w14:paraId="1EC1BE23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Classification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of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Krigel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(&gt;=grade 3)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 w14:paraId="34CCBAF9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  <w:t>1.098</w:t>
            </w:r>
          </w:p>
        </w:tc>
        <w:tc>
          <w:tcPr>
            <w:tcW w:w="1488" w:type="dxa"/>
            <w:shd w:val="clear" w:color="auto" w:fill="auto"/>
            <w:vAlign w:val="top"/>
          </w:tcPr>
          <w:p w14:paraId="45E33638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  <w:t>0.457-2.640</w:t>
            </w:r>
          </w:p>
        </w:tc>
        <w:tc>
          <w:tcPr>
            <w:tcW w:w="1111" w:type="dxa"/>
            <w:shd w:val="clear" w:color="auto" w:fill="auto"/>
            <w:vAlign w:val="top"/>
          </w:tcPr>
          <w:p w14:paraId="19513BD2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  <w:t>0.834</w:t>
            </w:r>
          </w:p>
        </w:tc>
        <w:tc>
          <w:tcPr>
            <w:tcW w:w="967" w:type="dxa"/>
            <w:shd w:val="clear" w:color="auto" w:fill="auto"/>
            <w:noWrap/>
            <w:vAlign w:val="center"/>
          </w:tcPr>
          <w:p w14:paraId="55282F2F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  <w:t>0.671</w:t>
            </w:r>
          </w:p>
        </w:tc>
        <w:tc>
          <w:tcPr>
            <w:tcW w:w="1669" w:type="dxa"/>
            <w:shd w:val="clear" w:color="auto" w:fill="auto"/>
            <w:vAlign w:val="top"/>
          </w:tcPr>
          <w:p w14:paraId="59D58659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  <w:t>0.187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-2.411</w:t>
            </w:r>
          </w:p>
        </w:tc>
        <w:tc>
          <w:tcPr>
            <w:tcW w:w="1060" w:type="dxa"/>
            <w:shd w:val="clear" w:color="auto" w:fill="auto"/>
            <w:vAlign w:val="top"/>
          </w:tcPr>
          <w:p w14:paraId="75C84B24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  <w:t>0.541</w:t>
            </w:r>
          </w:p>
        </w:tc>
      </w:tr>
      <w:tr w14:paraId="014108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3762" w:type="dxa"/>
            <w:shd w:val="clear" w:color="auto" w:fill="auto"/>
            <w:noWrap/>
            <w:vAlign w:val="center"/>
          </w:tcPr>
          <w:p w14:paraId="628FB67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Area of lesions(1-5%)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 w14:paraId="578D6DFD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14</w:t>
            </w:r>
          </w:p>
        </w:tc>
        <w:tc>
          <w:tcPr>
            <w:tcW w:w="1488" w:type="dxa"/>
            <w:shd w:val="clear" w:color="auto" w:fill="auto"/>
            <w:vAlign w:val="top"/>
          </w:tcPr>
          <w:p w14:paraId="77CEDBB4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55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-1.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835</w:t>
            </w:r>
          </w:p>
        </w:tc>
        <w:tc>
          <w:tcPr>
            <w:tcW w:w="1111" w:type="dxa"/>
            <w:shd w:val="clear" w:color="auto" w:fill="auto"/>
            <w:vAlign w:val="top"/>
          </w:tcPr>
          <w:p w14:paraId="2CB64740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  <w:t>0.800</w:t>
            </w:r>
          </w:p>
        </w:tc>
        <w:tc>
          <w:tcPr>
            <w:tcW w:w="967" w:type="dxa"/>
            <w:shd w:val="clear" w:color="auto" w:fill="auto"/>
            <w:noWrap/>
            <w:vAlign w:val="center"/>
          </w:tcPr>
          <w:p w14:paraId="53367C3C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  <w:t>2.950</w:t>
            </w:r>
          </w:p>
        </w:tc>
        <w:tc>
          <w:tcPr>
            <w:tcW w:w="1669" w:type="dxa"/>
            <w:shd w:val="clear" w:color="auto" w:fill="auto"/>
            <w:vAlign w:val="top"/>
          </w:tcPr>
          <w:p w14:paraId="0765F185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  <w:t>1.189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-7.316</w:t>
            </w:r>
          </w:p>
        </w:tc>
        <w:tc>
          <w:tcPr>
            <w:tcW w:w="1060" w:type="dxa"/>
            <w:shd w:val="clear" w:color="auto" w:fill="auto"/>
            <w:vAlign w:val="top"/>
          </w:tcPr>
          <w:p w14:paraId="7332A88B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  <w:t>0.020</w:t>
            </w:r>
          </w:p>
        </w:tc>
      </w:tr>
      <w:tr w14:paraId="757F68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3762" w:type="dxa"/>
            <w:shd w:val="clear" w:color="auto" w:fill="auto"/>
            <w:noWrap/>
            <w:vAlign w:val="center"/>
          </w:tcPr>
          <w:p w14:paraId="4BAD2AC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Area of lesions(&gt;=5%)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 w14:paraId="4B3CFAD6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245</w:t>
            </w:r>
          </w:p>
        </w:tc>
        <w:tc>
          <w:tcPr>
            <w:tcW w:w="1488" w:type="dxa"/>
            <w:shd w:val="clear" w:color="auto" w:fill="auto"/>
            <w:vAlign w:val="top"/>
          </w:tcPr>
          <w:p w14:paraId="0DA59BEF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88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-3.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177</w:t>
            </w:r>
          </w:p>
        </w:tc>
        <w:tc>
          <w:tcPr>
            <w:tcW w:w="1111" w:type="dxa"/>
            <w:shd w:val="clear" w:color="auto" w:fill="auto"/>
            <w:vAlign w:val="top"/>
          </w:tcPr>
          <w:p w14:paraId="4030C270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  <w:t>0.647</w:t>
            </w:r>
          </w:p>
        </w:tc>
        <w:tc>
          <w:tcPr>
            <w:tcW w:w="967" w:type="dxa"/>
            <w:shd w:val="clear" w:color="auto" w:fill="auto"/>
            <w:noWrap/>
            <w:vAlign w:val="center"/>
          </w:tcPr>
          <w:p w14:paraId="672C0197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  <w:t>3.016</w:t>
            </w:r>
          </w:p>
        </w:tc>
        <w:tc>
          <w:tcPr>
            <w:tcW w:w="1669" w:type="dxa"/>
            <w:shd w:val="clear" w:color="auto" w:fill="auto"/>
            <w:vAlign w:val="top"/>
          </w:tcPr>
          <w:p w14:paraId="60F57198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  <w:t>0.842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-10.799</w:t>
            </w:r>
          </w:p>
        </w:tc>
        <w:tc>
          <w:tcPr>
            <w:tcW w:w="1060" w:type="dxa"/>
            <w:shd w:val="clear" w:color="auto" w:fill="auto"/>
            <w:vAlign w:val="top"/>
          </w:tcPr>
          <w:p w14:paraId="3D092A3B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  <w:t>0.090</w:t>
            </w:r>
          </w:p>
        </w:tc>
      </w:tr>
      <w:tr w14:paraId="7718D3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3762" w:type="dxa"/>
            <w:shd w:val="clear" w:color="auto" w:fill="auto"/>
            <w:noWrap/>
            <w:vAlign w:val="center"/>
          </w:tcPr>
          <w:p w14:paraId="6B4E4A3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2"/>
                <w:sz w:val="24"/>
                <w:szCs w:val="24"/>
                <w:highlight w:val="yellow"/>
                <w:lang w:val="en-US" w:eastAsia="zh-CN" w:bidi="ar-SA"/>
                <w14:ligatures w14:val="standardContextual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Mucosal involvement(yes)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 w14:paraId="1D8164A7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080</w:t>
            </w:r>
          </w:p>
        </w:tc>
        <w:tc>
          <w:tcPr>
            <w:tcW w:w="1488" w:type="dxa"/>
            <w:shd w:val="clear" w:color="auto" w:fill="auto"/>
            <w:vAlign w:val="top"/>
          </w:tcPr>
          <w:p w14:paraId="4DFF4522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452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2.583</w:t>
            </w:r>
          </w:p>
        </w:tc>
        <w:tc>
          <w:tcPr>
            <w:tcW w:w="1111" w:type="dxa"/>
            <w:vAlign w:val="top"/>
          </w:tcPr>
          <w:p w14:paraId="582BA077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0.862</w:t>
            </w:r>
          </w:p>
        </w:tc>
        <w:tc>
          <w:tcPr>
            <w:tcW w:w="967" w:type="dxa"/>
            <w:shd w:val="clear" w:color="auto" w:fill="auto"/>
            <w:noWrap/>
            <w:vAlign w:val="center"/>
          </w:tcPr>
          <w:p w14:paraId="7D0B74E6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0.824</w:t>
            </w:r>
          </w:p>
        </w:tc>
        <w:tc>
          <w:tcPr>
            <w:tcW w:w="1669" w:type="dxa"/>
            <w:vAlign w:val="top"/>
          </w:tcPr>
          <w:p w14:paraId="468259E8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0.259-2.620</w:t>
            </w:r>
          </w:p>
        </w:tc>
        <w:tc>
          <w:tcPr>
            <w:tcW w:w="1060" w:type="dxa"/>
            <w:vAlign w:val="top"/>
          </w:tcPr>
          <w:p w14:paraId="7AA80A14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0.743</w:t>
            </w:r>
          </w:p>
        </w:tc>
      </w:tr>
      <w:tr w14:paraId="184554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3762" w:type="dxa"/>
            <w:shd w:val="clear" w:color="auto" w:fill="auto"/>
            <w:noWrap/>
            <w:vAlign w:val="center"/>
          </w:tcPr>
          <w:p w14:paraId="19610365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bookmarkStart w:id="1" w:name="_Hlk193726267"/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Lymphnodes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involvement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(yes)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 w14:paraId="49A6068E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0.783</w:t>
            </w:r>
          </w:p>
        </w:tc>
        <w:tc>
          <w:tcPr>
            <w:tcW w:w="1488" w:type="dxa"/>
            <w:shd w:val="clear" w:color="auto" w:fill="auto"/>
            <w:vAlign w:val="top"/>
          </w:tcPr>
          <w:p w14:paraId="79708E4B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0.340-1.599</w:t>
            </w:r>
          </w:p>
        </w:tc>
        <w:tc>
          <w:tcPr>
            <w:tcW w:w="1111" w:type="dxa"/>
            <w:vAlign w:val="top"/>
          </w:tcPr>
          <w:p w14:paraId="67148BE6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0.441</w:t>
            </w:r>
          </w:p>
        </w:tc>
        <w:tc>
          <w:tcPr>
            <w:tcW w:w="967" w:type="dxa"/>
            <w:shd w:val="clear" w:color="auto" w:fill="auto"/>
            <w:noWrap/>
            <w:vAlign w:val="center"/>
          </w:tcPr>
          <w:p w14:paraId="65817943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4.452</w:t>
            </w:r>
          </w:p>
        </w:tc>
        <w:tc>
          <w:tcPr>
            <w:tcW w:w="1669" w:type="dxa"/>
            <w:vAlign w:val="top"/>
          </w:tcPr>
          <w:p w14:paraId="78B26FDC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0.101-195.673</w:t>
            </w:r>
          </w:p>
        </w:tc>
        <w:tc>
          <w:tcPr>
            <w:tcW w:w="1060" w:type="dxa"/>
            <w:vAlign w:val="top"/>
          </w:tcPr>
          <w:p w14:paraId="5AF24047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0.439</w:t>
            </w:r>
          </w:p>
        </w:tc>
      </w:tr>
      <w:tr w14:paraId="68D511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3762" w:type="dxa"/>
            <w:shd w:val="clear" w:color="auto" w:fill="auto"/>
            <w:noWrap/>
            <w:vAlign w:val="center"/>
          </w:tcPr>
          <w:p w14:paraId="50BDC8D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L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ymphoedema</w:t>
            </w:r>
            <w:bookmarkEnd w:id="1"/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(yes)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 w14:paraId="5E498922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1.749</w:t>
            </w:r>
          </w:p>
        </w:tc>
        <w:tc>
          <w:tcPr>
            <w:tcW w:w="1488" w:type="dxa"/>
          </w:tcPr>
          <w:p w14:paraId="4C4CB8B2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0.951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-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3.216</w:t>
            </w:r>
          </w:p>
        </w:tc>
        <w:tc>
          <w:tcPr>
            <w:tcW w:w="1111" w:type="dxa"/>
            <w:vAlign w:val="top"/>
          </w:tcPr>
          <w:p w14:paraId="3048223C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val="en-US" w:eastAsia="zh-CN" w:bidi="ar"/>
              </w:rPr>
              <w:t>0.072</w:t>
            </w:r>
          </w:p>
        </w:tc>
        <w:tc>
          <w:tcPr>
            <w:tcW w:w="967" w:type="dxa"/>
            <w:shd w:val="clear" w:color="auto" w:fill="auto"/>
            <w:noWrap/>
            <w:vAlign w:val="center"/>
          </w:tcPr>
          <w:p w14:paraId="0D7CDE33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1.963</w:t>
            </w:r>
          </w:p>
        </w:tc>
        <w:tc>
          <w:tcPr>
            <w:tcW w:w="1669" w:type="dxa"/>
            <w:vAlign w:val="top"/>
          </w:tcPr>
          <w:p w14:paraId="528380E1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1.672-4.420</w:t>
            </w:r>
          </w:p>
        </w:tc>
        <w:tc>
          <w:tcPr>
            <w:tcW w:w="1060" w:type="dxa"/>
            <w:vAlign w:val="top"/>
          </w:tcPr>
          <w:p w14:paraId="060E48CF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val="en-US" w:eastAsia="zh-CN" w:bidi="ar"/>
              </w:rPr>
              <w:t>0.038</w:t>
            </w:r>
          </w:p>
        </w:tc>
      </w:tr>
      <w:tr w14:paraId="3A308F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3762" w:type="dxa"/>
            <w:shd w:val="clear" w:color="auto" w:fill="auto"/>
            <w:noWrap/>
            <w:vAlign w:val="center"/>
          </w:tcPr>
          <w:p w14:paraId="5F1A7E5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highlight w:val="yellow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Gastrointestinal involvement(yes)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 w14:paraId="5D95DCA6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0.715</w:t>
            </w:r>
          </w:p>
        </w:tc>
        <w:tc>
          <w:tcPr>
            <w:tcW w:w="1488" w:type="dxa"/>
          </w:tcPr>
          <w:p w14:paraId="78E1D0B8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0.098-5.245</w:t>
            </w:r>
          </w:p>
        </w:tc>
        <w:tc>
          <w:tcPr>
            <w:tcW w:w="1111" w:type="dxa"/>
            <w:vAlign w:val="top"/>
          </w:tcPr>
          <w:p w14:paraId="330C7B60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0.742</w:t>
            </w:r>
          </w:p>
        </w:tc>
        <w:tc>
          <w:tcPr>
            <w:tcW w:w="967" w:type="dxa"/>
            <w:shd w:val="clear" w:color="auto" w:fill="auto"/>
            <w:noWrap/>
            <w:vAlign w:val="center"/>
          </w:tcPr>
          <w:p w14:paraId="65073336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1.129</w:t>
            </w:r>
          </w:p>
        </w:tc>
        <w:tc>
          <w:tcPr>
            <w:tcW w:w="1669" w:type="dxa"/>
            <w:vAlign w:val="top"/>
          </w:tcPr>
          <w:p w14:paraId="7D244A83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0.099-12.935</w:t>
            </w:r>
          </w:p>
        </w:tc>
        <w:tc>
          <w:tcPr>
            <w:tcW w:w="1060" w:type="dxa"/>
            <w:vAlign w:val="top"/>
          </w:tcPr>
          <w:p w14:paraId="0AB6C6C5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0.922</w:t>
            </w:r>
          </w:p>
        </w:tc>
      </w:tr>
      <w:tr w14:paraId="476369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3762" w:type="dxa"/>
            <w:shd w:val="clear" w:color="auto" w:fill="auto"/>
            <w:noWrap/>
            <w:vAlign w:val="top"/>
          </w:tcPr>
          <w:p w14:paraId="761482CC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CD4T_counts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 w14:paraId="5752F42F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1.000</w:t>
            </w:r>
          </w:p>
        </w:tc>
        <w:tc>
          <w:tcPr>
            <w:tcW w:w="1488" w:type="dxa"/>
            <w:vAlign w:val="top"/>
          </w:tcPr>
          <w:p w14:paraId="12B79427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0.999-1.001</w:t>
            </w:r>
          </w:p>
        </w:tc>
        <w:tc>
          <w:tcPr>
            <w:tcW w:w="1111" w:type="dxa"/>
            <w:vAlign w:val="top"/>
          </w:tcPr>
          <w:p w14:paraId="3828922E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0.440</w:t>
            </w:r>
          </w:p>
        </w:tc>
        <w:tc>
          <w:tcPr>
            <w:tcW w:w="967" w:type="dxa"/>
            <w:shd w:val="clear" w:color="auto" w:fill="auto"/>
            <w:noWrap/>
            <w:vAlign w:val="top"/>
          </w:tcPr>
          <w:p w14:paraId="75E23E8D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1.000</w:t>
            </w:r>
          </w:p>
        </w:tc>
        <w:tc>
          <w:tcPr>
            <w:tcW w:w="1669" w:type="dxa"/>
            <w:vAlign w:val="center"/>
          </w:tcPr>
          <w:p w14:paraId="3ECDF0EF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0.999-1.002</w:t>
            </w:r>
          </w:p>
        </w:tc>
        <w:tc>
          <w:tcPr>
            <w:tcW w:w="1060" w:type="dxa"/>
            <w:vAlign w:val="top"/>
          </w:tcPr>
          <w:p w14:paraId="5A84FBC3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0.616</w:t>
            </w:r>
          </w:p>
        </w:tc>
      </w:tr>
      <w:tr w14:paraId="006764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3762" w:type="dxa"/>
            <w:shd w:val="clear" w:color="auto" w:fill="auto"/>
            <w:noWrap/>
            <w:vAlign w:val="top"/>
          </w:tcPr>
          <w:p w14:paraId="590612E5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CD8T_counts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 w14:paraId="620DA3D7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1.001</w:t>
            </w:r>
          </w:p>
        </w:tc>
        <w:tc>
          <w:tcPr>
            <w:tcW w:w="1488" w:type="dxa"/>
            <w:vAlign w:val="top"/>
          </w:tcPr>
          <w:p w14:paraId="4F792311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1.000-1.001</w:t>
            </w:r>
          </w:p>
        </w:tc>
        <w:tc>
          <w:tcPr>
            <w:tcW w:w="1111" w:type="dxa"/>
            <w:vAlign w:val="top"/>
          </w:tcPr>
          <w:p w14:paraId="0D659BD8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val="en-US" w:eastAsia="zh-CN" w:bidi="ar"/>
              </w:rPr>
              <w:t>0.096</w:t>
            </w:r>
          </w:p>
        </w:tc>
        <w:tc>
          <w:tcPr>
            <w:tcW w:w="967" w:type="dxa"/>
            <w:shd w:val="clear" w:color="auto" w:fill="auto"/>
            <w:noWrap/>
            <w:vAlign w:val="top"/>
          </w:tcPr>
          <w:p w14:paraId="572DB51B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1.000</w:t>
            </w:r>
          </w:p>
        </w:tc>
        <w:tc>
          <w:tcPr>
            <w:tcW w:w="1669" w:type="dxa"/>
            <w:vAlign w:val="center"/>
          </w:tcPr>
          <w:p w14:paraId="3ABEE87E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0.999-1.001</w:t>
            </w:r>
          </w:p>
        </w:tc>
        <w:tc>
          <w:tcPr>
            <w:tcW w:w="1060" w:type="dxa"/>
            <w:vAlign w:val="top"/>
          </w:tcPr>
          <w:p w14:paraId="332FC037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0.705</w:t>
            </w:r>
          </w:p>
        </w:tc>
      </w:tr>
      <w:tr w14:paraId="316D81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3762" w:type="dxa"/>
            <w:shd w:val="clear" w:color="auto" w:fill="auto"/>
            <w:noWrap/>
            <w:vAlign w:val="top"/>
          </w:tcPr>
          <w:p w14:paraId="10C89A9C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CD19B_counts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 w14:paraId="3F48257F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1.001</w:t>
            </w:r>
          </w:p>
        </w:tc>
        <w:tc>
          <w:tcPr>
            <w:tcW w:w="1488" w:type="dxa"/>
            <w:vAlign w:val="top"/>
          </w:tcPr>
          <w:p w14:paraId="3445DD48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0.997-1.004</w:t>
            </w:r>
          </w:p>
        </w:tc>
        <w:tc>
          <w:tcPr>
            <w:tcW w:w="1111" w:type="dxa"/>
            <w:vAlign w:val="top"/>
          </w:tcPr>
          <w:p w14:paraId="20241E14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0.682</w:t>
            </w:r>
          </w:p>
        </w:tc>
        <w:tc>
          <w:tcPr>
            <w:tcW w:w="967" w:type="dxa"/>
            <w:shd w:val="clear" w:color="auto" w:fill="auto"/>
            <w:noWrap/>
            <w:vAlign w:val="top"/>
          </w:tcPr>
          <w:p w14:paraId="18757EA0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1.004</w:t>
            </w:r>
          </w:p>
        </w:tc>
        <w:tc>
          <w:tcPr>
            <w:tcW w:w="1669" w:type="dxa"/>
            <w:vAlign w:val="center"/>
          </w:tcPr>
          <w:p w14:paraId="609C26AE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0.998-1.009</w:t>
            </w:r>
          </w:p>
        </w:tc>
        <w:tc>
          <w:tcPr>
            <w:tcW w:w="1060" w:type="dxa"/>
            <w:shd w:val="clear" w:color="auto" w:fill="auto"/>
            <w:vAlign w:val="top"/>
          </w:tcPr>
          <w:p w14:paraId="72A4E194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0.176</w:t>
            </w:r>
          </w:p>
        </w:tc>
      </w:tr>
      <w:tr w14:paraId="7E3B7A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3762" w:type="dxa"/>
            <w:shd w:val="clear" w:color="auto" w:fill="auto"/>
            <w:noWrap/>
            <w:vAlign w:val="top"/>
          </w:tcPr>
          <w:p w14:paraId="5206DF99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CD56NK_counts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 w14:paraId="1F4D430C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1.000</w:t>
            </w:r>
          </w:p>
        </w:tc>
        <w:tc>
          <w:tcPr>
            <w:tcW w:w="1488" w:type="dxa"/>
            <w:vAlign w:val="top"/>
          </w:tcPr>
          <w:p w14:paraId="30D240E3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0.996-1.004</w:t>
            </w:r>
          </w:p>
        </w:tc>
        <w:tc>
          <w:tcPr>
            <w:tcW w:w="1111" w:type="dxa"/>
            <w:vAlign w:val="top"/>
          </w:tcPr>
          <w:p w14:paraId="6F6E5F86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0.974</w:t>
            </w:r>
          </w:p>
        </w:tc>
        <w:tc>
          <w:tcPr>
            <w:tcW w:w="967" w:type="dxa"/>
            <w:shd w:val="clear" w:color="auto" w:fill="auto"/>
            <w:noWrap/>
            <w:vAlign w:val="top"/>
          </w:tcPr>
          <w:p w14:paraId="223C9CBA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1.001</w:t>
            </w:r>
          </w:p>
        </w:tc>
        <w:tc>
          <w:tcPr>
            <w:tcW w:w="1669" w:type="dxa"/>
            <w:vAlign w:val="center"/>
          </w:tcPr>
          <w:p w14:paraId="363E74F5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0.994-1.008</w:t>
            </w:r>
          </w:p>
        </w:tc>
        <w:tc>
          <w:tcPr>
            <w:tcW w:w="1060" w:type="dxa"/>
            <w:shd w:val="clear" w:color="auto" w:fill="auto"/>
            <w:vAlign w:val="top"/>
          </w:tcPr>
          <w:p w14:paraId="1CC3EC45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  <w14:ligatures w14:val="standardContextual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0.752</w:t>
            </w:r>
          </w:p>
        </w:tc>
      </w:tr>
      <w:tr w14:paraId="4D2A30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3762" w:type="dxa"/>
            <w:shd w:val="clear" w:color="auto" w:fill="auto"/>
            <w:noWrap/>
            <w:vAlign w:val="center"/>
          </w:tcPr>
          <w:p w14:paraId="08BB56F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IL-1</w:t>
            </w:r>
            <w:r>
              <w:rPr>
                <w:rFonts w:ascii="Times New Roman" w:hAnsi="Times New Roman" w:eastAsia="宋体" w:cs="Times New Roman"/>
                <w:sz w:val="24"/>
                <w:szCs w:val="28"/>
                <w:highlight w:val="none"/>
              </w:rPr>
              <w:t>β</w:t>
            </w:r>
          </w:p>
        </w:tc>
        <w:tc>
          <w:tcPr>
            <w:tcW w:w="862" w:type="dxa"/>
            <w:shd w:val="clear" w:color="auto" w:fill="auto"/>
            <w:noWrap/>
            <w:vAlign w:val="center"/>
          </w:tcPr>
          <w:p w14:paraId="0E3AC199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1.0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06</w:t>
            </w:r>
          </w:p>
        </w:tc>
        <w:tc>
          <w:tcPr>
            <w:tcW w:w="1488" w:type="dxa"/>
            <w:vAlign w:val="top"/>
          </w:tcPr>
          <w:p w14:paraId="7A80EAC5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0.997-1.016</w:t>
            </w:r>
          </w:p>
        </w:tc>
        <w:tc>
          <w:tcPr>
            <w:tcW w:w="1111" w:type="dxa"/>
            <w:vAlign w:val="top"/>
          </w:tcPr>
          <w:p w14:paraId="14B64E6D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0.192</w:t>
            </w:r>
          </w:p>
        </w:tc>
        <w:tc>
          <w:tcPr>
            <w:tcW w:w="967" w:type="dxa"/>
            <w:shd w:val="clear" w:color="auto" w:fill="auto"/>
            <w:noWrap/>
            <w:vAlign w:val="center"/>
          </w:tcPr>
          <w:p w14:paraId="419C5130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1.006</w:t>
            </w:r>
          </w:p>
        </w:tc>
        <w:tc>
          <w:tcPr>
            <w:tcW w:w="1669" w:type="dxa"/>
            <w:vAlign w:val="top"/>
          </w:tcPr>
          <w:p w14:paraId="244E0900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0.990-1.023</w:t>
            </w:r>
          </w:p>
        </w:tc>
        <w:tc>
          <w:tcPr>
            <w:tcW w:w="1060" w:type="dxa"/>
            <w:vAlign w:val="top"/>
          </w:tcPr>
          <w:p w14:paraId="3A0252C1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0.437</w:t>
            </w:r>
          </w:p>
        </w:tc>
      </w:tr>
      <w:tr w14:paraId="5E8081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3762" w:type="dxa"/>
            <w:shd w:val="clear" w:color="auto" w:fill="auto"/>
            <w:noWrap/>
            <w:vAlign w:val="center"/>
          </w:tcPr>
          <w:p w14:paraId="3943D8A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IL-6</w:t>
            </w:r>
          </w:p>
        </w:tc>
        <w:tc>
          <w:tcPr>
            <w:tcW w:w="862" w:type="dxa"/>
            <w:shd w:val="clear" w:color="auto" w:fill="auto"/>
            <w:noWrap/>
            <w:vAlign w:val="top"/>
          </w:tcPr>
          <w:p w14:paraId="451AFD5F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1.001</w:t>
            </w:r>
          </w:p>
        </w:tc>
        <w:tc>
          <w:tcPr>
            <w:tcW w:w="1488" w:type="dxa"/>
            <w:vAlign w:val="top"/>
          </w:tcPr>
          <w:p w14:paraId="3A062F2C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0.995-1.008</w:t>
            </w:r>
          </w:p>
        </w:tc>
        <w:tc>
          <w:tcPr>
            <w:tcW w:w="1111" w:type="dxa"/>
            <w:vAlign w:val="top"/>
          </w:tcPr>
          <w:p w14:paraId="4069B654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0.684</w:t>
            </w:r>
          </w:p>
        </w:tc>
        <w:tc>
          <w:tcPr>
            <w:tcW w:w="967" w:type="dxa"/>
            <w:shd w:val="clear" w:color="auto" w:fill="auto"/>
            <w:noWrap/>
            <w:vAlign w:val="center"/>
          </w:tcPr>
          <w:p w14:paraId="0AAEE414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0.993</w:t>
            </w:r>
          </w:p>
        </w:tc>
        <w:tc>
          <w:tcPr>
            <w:tcW w:w="1669" w:type="dxa"/>
            <w:vAlign w:val="top"/>
          </w:tcPr>
          <w:p w14:paraId="5CC29D0C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0.982-1.004</w:t>
            </w:r>
          </w:p>
        </w:tc>
        <w:tc>
          <w:tcPr>
            <w:tcW w:w="1060" w:type="dxa"/>
            <w:vAlign w:val="top"/>
          </w:tcPr>
          <w:p w14:paraId="0E41448F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0.217</w:t>
            </w:r>
          </w:p>
        </w:tc>
      </w:tr>
      <w:tr w14:paraId="0A9323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3762" w:type="dxa"/>
            <w:shd w:val="clear" w:color="auto" w:fill="auto"/>
            <w:noWrap/>
            <w:vAlign w:val="center"/>
          </w:tcPr>
          <w:p w14:paraId="1A47E5D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IFN-</w:t>
            </w:r>
            <w:r>
              <w:rPr>
                <w:rFonts w:ascii="Times New Roman" w:hAnsi="Times New Roman" w:eastAsia="宋体" w:cs="Times New Roman"/>
                <w:sz w:val="24"/>
                <w:szCs w:val="28"/>
                <w:highlight w:val="none"/>
              </w:rPr>
              <w:t>γ</w:t>
            </w:r>
          </w:p>
        </w:tc>
        <w:tc>
          <w:tcPr>
            <w:tcW w:w="862" w:type="dxa"/>
            <w:shd w:val="clear" w:color="auto" w:fill="auto"/>
            <w:noWrap/>
            <w:vAlign w:val="top"/>
          </w:tcPr>
          <w:p w14:paraId="06E1E91F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0.999</w:t>
            </w:r>
          </w:p>
        </w:tc>
        <w:tc>
          <w:tcPr>
            <w:tcW w:w="1488" w:type="dxa"/>
            <w:vAlign w:val="top"/>
          </w:tcPr>
          <w:p w14:paraId="43116CC3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0.998-1.001</w:t>
            </w:r>
          </w:p>
        </w:tc>
        <w:tc>
          <w:tcPr>
            <w:tcW w:w="1111" w:type="dxa"/>
            <w:vAlign w:val="top"/>
          </w:tcPr>
          <w:p w14:paraId="105B9140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0.499</w:t>
            </w:r>
          </w:p>
        </w:tc>
        <w:tc>
          <w:tcPr>
            <w:tcW w:w="967" w:type="dxa"/>
            <w:shd w:val="clear" w:color="auto" w:fill="auto"/>
            <w:noWrap/>
            <w:vAlign w:val="center"/>
          </w:tcPr>
          <w:p w14:paraId="7EA0666C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1.001</w:t>
            </w:r>
          </w:p>
        </w:tc>
        <w:tc>
          <w:tcPr>
            <w:tcW w:w="1669" w:type="dxa"/>
            <w:vAlign w:val="top"/>
          </w:tcPr>
          <w:p w14:paraId="53846716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0.998-1.003</w:t>
            </w:r>
          </w:p>
        </w:tc>
        <w:tc>
          <w:tcPr>
            <w:tcW w:w="1060" w:type="dxa"/>
            <w:vAlign w:val="top"/>
          </w:tcPr>
          <w:p w14:paraId="6C6B2514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0.715</w:t>
            </w:r>
          </w:p>
        </w:tc>
      </w:tr>
      <w:tr w14:paraId="1D4D72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3762" w:type="dxa"/>
            <w:shd w:val="clear" w:color="auto" w:fill="auto"/>
            <w:noWrap/>
            <w:vAlign w:val="center"/>
          </w:tcPr>
          <w:p w14:paraId="0870629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CXCL-9</w:t>
            </w:r>
          </w:p>
        </w:tc>
        <w:tc>
          <w:tcPr>
            <w:tcW w:w="862" w:type="dxa"/>
            <w:shd w:val="clear" w:color="auto" w:fill="auto"/>
            <w:noWrap/>
            <w:vAlign w:val="top"/>
          </w:tcPr>
          <w:p w14:paraId="02E3B98D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1.000</w:t>
            </w:r>
          </w:p>
        </w:tc>
        <w:tc>
          <w:tcPr>
            <w:tcW w:w="1488" w:type="dxa"/>
            <w:vAlign w:val="top"/>
          </w:tcPr>
          <w:p w14:paraId="52CE98D4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0.999-1.000</w:t>
            </w:r>
          </w:p>
        </w:tc>
        <w:tc>
          <w:tcPr>
            <w:tcW w:w="1111" w:type="dxa"/>
            <w:vAlign w:val="top"/>
          </w:tcPr>
          <w:p w14:paraId="018C3F7B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0.595</w:t>
            </w:r>
          </w:p>
        </w:tc>
        <w:tc>
          <w:tcPr>
            <w:tcW w:w="967" w:type="dxa"/>
            <w:shd w:val="clear" w:color="auto" w:fill="auto"/>
            <w:noWrap/>
            <w:vAlign w:val="center"/>
          </w:tcPr>
          <w:p w14:paraId="5B9EF18F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1.000</w:t>
            </w:r>
          </w:p>
        </w:tc>
        <w:tc>
          <w:tcPr>
            <w:tcW w:w="1669" w:type="dxa"/>
            <w:vAlign w:val="top"/>
          </w:tcPr>
          <w:p w14:paraId="46BE1EB0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0.999-1.001</w:t>
            </w:r>
          </w:p>
        </w:tc>
        <w:tc>
          <w:tcPr>
            <w:tcW w:w="1060" w:type="dxa"/>
            <w:vAlign w:val="top"/>
          </w:tcPr>
          <w:p w14:paraId="2CF08E50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0.872</w:t>
            </w:r>
          </w:p>
        </w:tc>
      </w:tr>
      <w:tr w14:paraId="77B164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3762" w:type="dxa"/>
            <w:shd w:val="clear" w:color="auto" w:fill="auto"/>
            <w:noWrap/>
            <w:vAlign w:val="center"/>
          </w:tcPr>
          <w:p w14:paraId="6DA052CB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kern w:val="0"/>
                <w:sz w:val="24"/>
                <w:lang w:val="en-US" w:eastAsia="zh-CN" w:bidi="ar"/>
              </w:rPr>
              <w:t>KSHV viral load</w:t>
            </w:r>
          </w:p>
        </w:tc>
        <w:tc>
          <w:tcPr>
            <w:tcW w:w="862" w:type="dxa"/>
            <w:shd w:val="clear" w:color="auto" w:fill="auto"/>
            <w:noWrap/>
            <w:vAlign w:val="top"/>
          </w:tcPr>
          <w:p w14:paraId="60AD0619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1.705</w:t>
            </w:r>
          </w:p>
        </w:tc>
        <w:tc>
          <w:tcPr>
            <w:tcW w:w="1488" w:type="dxa"/>
            <w:vAlign w:val="top"/>
          </w:tcPr>
          <w:p w14:paraId="3E68E833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1.123-2.591</w:t>
            </w:r>
          </w:p>
        </w:tc>
        <w:tc>
          <w:tcPr>
            <w:tcW w:w="1111" w:type="dxa"/>
            <w:vAlign w:val="top"/>
          </w:tcPr>
          <w:p w14:paraId="422856CF"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val="en-US" w:eastAsia="zh-CN" w:bidi="ar"/>
              </w:rPr>
              <w:t>0.012</w:t>
            </w:r>
          </w:p>
        </w:tc>
        <w:tc>
          <w:tcPr>
            <w:tcW w:w="967" w:type="dxa"/>
            <w:shd w:val="clear" w:color="auto" w:fill="auto"/>
            <w:noWrap/>
            <w:vAlign w:val="top"/>
          </w:tcPr>
          <w:p w14:paraId="653D9425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2.096</w:t>
            </w:r>
          </w:p>
        </w:tc>
        <w:tc>
          <w:tcPr>
            <w:tcW w:w="1669" w:type="dxa"/>
            <w:vAlign w:val="top"/>
          </w:tcPr>
          <w:p w14:paraId="196E922F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1.096-4.010</w:t>
            </w:r>
          </w:p>
        </w:tc>
        <w:tc>
          <w:tcPr>
            <w:tcW w:w="1060" w:type="dxa"/>
            <w:vAlign w:val="top"/>
          </w:tcPr>
          <w:p w14:paraId="65072140"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val="en-US" w:eastAsia="zh-CN" w:bidi="ar"/>
              </w:rPr>
              <w:t>0.025</w:t>
            </w:r>
          </w:p>
        </w:tc>
      </w:tr>
      <w:tr w14:paraId="1D2BA2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3762" w:type="dxa"/>
            <w:shd w:val="clear" w:color="auto" w:fill="auto"/>
            <w:noWrap/>
            <w:vAlign w:val="center"/>
          </w:tcPr>
          <w:p w14:paraId="73E51C13">
            <w:pPr>
              <w:widowControl/>
              <w:jc w:val="left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E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ffectiveness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evaluation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(PR)</w:t>
            </w:r>
          </w:p>
        </w:tc>
        <w:tc>
          <w:tcPr>
            <w:tcW w:w="862" w:type="dxa"/>
            <w:shd w:val="clear" w:color="auto" w:fill="auto"/>
            <w:noWrap/>
            <w:vAlign w:val="top"/>
          </w:tcPr>
          <w:p w14:paraId="09458E1B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0.250</w:t>
            </w:r>
          </w:p>
        </w:tc>
        <w:tc>
          <w:tcPr>
            <w:tcW w:w="1488" w:type="dxa"/>
            <w:vAlign w:val="top"/>
          </w:tcPr>
          <w:p w14:paraId="7CB5E75C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0.055-1.134</w:t>
            </w:r>
          </w:p>
        </w:tc>
        <w:tc>
          <w:tcPr>
            <w:tcW w:w="1111" w:type="dxa"/>
            <w:vAlign w:val="top"/>
          </w:tcPr>
          <w:p w14:paraId="3E760D79"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val="en-US" w:eastAsia="zh-CN" w:bidi="ar"/>
              </w:rPr>
              <w:t>0.072</w:t>
            </w:r>
          </w:p>
        </w:tc>
        <w:tc>
          <w:tcPr>
            <w:tcW w:w="967" w:type="dxa"/>
            <w:shd w:val="clear" w:color="auto" w:fill="auto"/>
            <w:noWrap/>
            <w:vAlign w:val="top"/>
          </w:tcPr>
          <w:p w14:paraId="56E2908B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0.052</w:t>
            </w:r>
          </w:p>
        </w:tc>
        <w:tc>
          <w:tcPr>
            <w:tcW w:w="1669" w:type="dxa"/>
            <w:vAlign w:val="top"/>
          </w:tcPr>
          <w:p w14:paraId="0EA10491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0.007-0.388</w:t>
            </w:r>
          </w:p>
        </w:tc>
        <w:tc>
          <w:tcPr>
            <w:tcW w:w="1060" w:type="dxa"/>
            <w:vAlign w:val="top"/>
          </w:tcPr>
          <w:p w14:paraId="5A019049"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val="en-US" w:eastAsia="zh-CN" w:bidi="ar"/>
              </w:rPr>
              <w:t>0.004</w:t>
            </w:r>
          </w:p>
        </w:tc>
      </w:tr>
      <w:tr w14:paraId="5168DE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3762" w:type="dxa"/>
            <w:shd w:val="clear" w:color="auto" w:fill="auto"/>
            <w:noWrap/>
            <w:vAlign w:val="center"/>
          </w:tcPr>
          <w:p w14:paraId="7FB8D78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E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ffectiveness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evaluation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(SD)</w:t>
            </w:r>
          </w:p>
        </w:tc>
        <w:tc>
          <w:tcPr>
            <w:tcW w:w="862" w:type="dxa"/>
            <w:shd w:val="clear" w:color="auto" w:fill="auto"/>
            <w:noWrap/>
            <w:vAlign w:val="top"/>
          </w:tcPr>
          <w:p w14:paraId="2B5DFD47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0.739</w:t>
            </w:r>
          </w:p>
        </w:tc>
        <w:tc>
          <w:tcPr>
            <w:tcW w:w="1488" w:type="dxa"/>
            <w:vAlign w:val="top"/>
          </w:tcPr>
          <w:p w14:paraId="78B716C5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0.221-2.470</w:t>
            </w:r>
          </w:p>
        </w:tc>
        <w:tc>
          <w:tcPr>
            <w:tcW w:w="1111" w:type="dxa"/>
            <w:vAlign w:val="top"/>
          </w:tcPr>
          <w:p w14:paraId="42A42441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0.623</w:t>
            </w:r>
          </w:p>
        </w:tc>
        <w:tc>
          <w:tcPr>
            <w:tcW w:w="967" w:type="dxa"/>
            <w:shd w:val="clear" w:color="auto" w:fill="auto"/>
            <w:noWrap/>
            <w:vAlign w:val="top"/>
          </w:tcPr>
          <w:p w14:paraId="76191FBF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0.119</w:t>
            </w:r>
          </w:p>
        </w:tc>
        <w:tc>
          <w:tcPr>
            <w:tcW w:w="1669" w:type="dxa"/>
            <w:vAlign w:val="top"/>
          </w:tcPr>
          <w:p w14:paraId="67BA4889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0.026-0.539</w:t>
            </w:r>
          </w:p>
        </w:tc>
        <w:tc>
          <w:tcPr>
            <w:tcW w:w="1060" w:type="dxa"/>
            <w:vAlign w:val="top"/>
          </w:tcPr>
          <w:p w14:paraId="6F425420"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val="en-US" w:eastAsia="zh-CN" w:bidi="ar"/>
              </w:rPr>
              <w:t>0.005</w:t>
            </w:r>
          </w:p>
        </w:tc>
      </w:tr>
      <w:tr w14:paraId="74AA85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3762" w:type="dxa"/>
            <w:shd w:val="clear" w:color="auto" w:fill="auto"/>
            <w:noWrap/>
            <w:vAlign w:val="center"/>
          </w:tcPr>
          <w:p w14:paraId="6E14D36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E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ffectiveness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evaluation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(PD)</w:t>
            </w:r>
          </w:p>
        </w:tc>
        <w:tc>
          <w:tcPr>
            <w:tcW w:w="862" w:type="dxa"/>
            <w:shd w:val="clear" w:color="auto" w:fill="auto"/>
            <w:noWrap/>
            <w:vAlign w:val="top"/>
          </w:tcPr>
          <w:p w14:paraId="156C2AA2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2.192</w:t>
            </w:r>
          </w:p>
        </w:tc>
        <w:tc>
          <w:tcPr>
            <w:tcW w:w="1488" w:type="dxa"/>
            <w:vAlign w:val="top"/>
          </w:tcPr>
          <w:p w14:paraId="270510AB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0.614-7.818</w:t>
            </w:r>
          </w:p>
        </w:tc>
        <w:tc>
          <w:tcPr>
            <w:tcW w:w="1111" w:type="dxa"/>
            <w:vAlign w:val="top"/>
          </w:tcPr>
          <w:p w14:paraId="341ADA14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0.226</w:t>
            </w:r>
          </w:p>
        </w:tc>
        <w:tc>
          <w:tcPr>
            <w:tcW w:w="967" w:type="dxa"/>
            <w:shd w:val="clear" w:color="auto" w:fill="auto"/>
            <w:noWrap/>
            <w:vAlign w:val="top"/>
          </w:tcPr>
          <w:p w14:paraId="5F2E5AA8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0.912</w:t>
            </w:r>
          </w:p>
        </w:tc>
        <w:tc>
          <w:tcPr>
            <w:tcW w:w="1669" w:type="dxa"/>
            <w:vAlign w:val="top"/>
          </w:tcPr>
          <w:p w14:paraId="19F30166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0.184-4.529</w:t>
            </w:r>
          </w:p>
        </w:tc>
        <w:tc>
          <w:tcPr>
            <w:tcW w:w="1060" w:type="dxa"/>
            <w:vAlign w:val="top"/>
          </w:tcPr>
          <w:p w14:paraId="7D95CFAF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0.911</w:t>
            </w:r>
          </w:p>
        </w:tc>
      </w:tr>
      <w:tr w14:paraId="41D85B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3762" w:type="dxa"/>
            <w:shd w:val="clear" w:color="auto" w:fill="auto"/>
            <w:noWrap/>
            <w:vAlign w:val="center"/>
          </w:tcPr>
          <w:p w14:paraId="1F82A4AB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Cluster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Cluster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 xml:space="preserve"> 1)</w:t>
            </w:r>
          </w:p>
        </w:tc>
        <w:tc>
          <w:tcPr>
            <w:tcW w:w="862" w:type="dxa"/>
            <w:shd w:val="clear" w:color="auto" w:fill="auto"/>
            <w:noWrap/>
            <w:vAlign w:val="top"/>
          </w:tcPr>
          <w:p w14:paraId="5E3C8063"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0.413</w:t>
            </w:r>
          </w:p>
        </w:tc>
        <w:tc>
          <w:tcPr>
            <w:tcW w:w="1488" w:type="dxa"/>
            <w:vAlign w:val="top"/>
          </w:tcPr>
          <w:p w14:paraId="4FF9BAA8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0.178-0.959</w:t>
            </w:r>
          </w:p>
        </w:tc>
        <w:tc>
          <w:tcPr>
            <w:tcW w:w="1111" w:type="dxa"/>
            <w:vAlign w:val="top"/>
          </w:tcPr>
          <w:p w14:paraId="48613329"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val="en-US" w:eastAsia="zh-CN" w:bidi="ar"/>
              </w:rPr>
              <w:t>0.040</w:t>
            </w:r>
          </w:p>
        </w:tc>
        <w:tc>
          <w:tcPr>
            <w:tcW w:w="967" w:type="dxa"/>
            <w:shd w:val="clear" w:color="auto" w:fill="auto"/>
            <w:noWrap/>
            <w:vAlign w:val="top"/>
          </w:tcPr>
          <w:p w14:paraId="473EA339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0.444</w:t>
            </w:r>
          </w:p>
        </w:tc>
        <w:tc>
          <w:tcPr>
            <w:tcW w:w="1669" w:type="dxa"/>
            <w:vAlign w:val="top"/>
          </w:tcPr>
          <w:p w14:paraId="3A536CA9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0.120-1.644</w:t>
            </w:r>
          </w:p>
        </w:tc>
        <w:tc>
          <w:tcPr>
            <w:tcW w:w="1060" w:type="dxa"/>
            <w:vAlign w:val="top"/>
          </w:tcPr>
          <w:p w14:paraId="3449943C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0.224</w:t>
            </w:r>
          </w:p>
        </w:tc>
      </w:tr>
      <w:tr w14:paraId="43F2D6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3762" w:type="dxa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 w14:paraId="624D9097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Cluster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(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Cluster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 xml:space="preserve"> 2)</w:t>
            </w:r>
          </w:p>
        </w:tc>
        <w:tc>
          <w:tcPr>
            <w:tcW w:w="862" w:type="dxa"/>
            <w:tcBorders>
              <w:bottom w:val="single" w:color="auto" w:sz="12" w:space="0"/>
            </w:tcBorders>
            <w:shd w:val="clear" w:color="auto" w:fill="auto"/>
            <w:noWrap/>
            <w:vAlign w:val="top"/>
          </w:tcPr>
          <w:p w14:paraId="465E069D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lang w:val="en-US" w:eastAsia="zh-CN"/>
              </w:rPr>
              <w:t>0.404</w:t>
            </w:r>
          </w:p>
        </w:tc>
        <w:tc>
          <w:tcPr>
            <w:tcW w:w="1488" w:type="dxa"/>
            <w:tcBorders>
              <w:bottom w:val="single" w:color="auto" w:sz="12" w:space="0"/>
            </w:tcBorders>
            <w:vAlign w:val="top"/>
          </w:tcPr>
          <w:p w14:paraId="5F4E411C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0.190-0.857</w:t>
            </w:r>
          </w:p>
        </w:tc>
        <w:tc>
          <w:tcPr>
            <w:tcW w:w="1111" w:type="dxa"/>
            <w:tcBorders>
              <w:bottom w:val="single" w:color="auto" w:sz="12" w:space="0"/>
            </w:tcBorders>
            <w:vAlign w:val="top"/>
          </w:tcPr>
          <w:p w14:paraId="0AFDFB6F">
            <w:pPr>
              <w:jc w:val="left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val="en-US" w:eastAsia="zh-CN" w:bidi="ar"/>
              </w:rPr>
              <w:t>0.018</w:t>
            </w:r>
          </w:p>
        </w:tc>
        <w:tc>
          <w:tcPr>
            <w:tcW w:w="967" w:type="dxa"/>
            <w:tcBorders>
              <w:bottom w:val="single" w:color="auto" w:sz="12" w:space="0"/>
            </w:tcBorders>
            <w:shd w:val="clear" w:color="auto" w:fill="auto"/>
            <w:noWrap/>
            <w:vAlign w:val="top"/>
          </w:tcPr>
          <w:p w14:paraId="48DF16A6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  <w:lang w:val="en-US" w:eastAsia="zh-CN"/>
              </w:rPr>
              <w:t>0.339</w:t>
            </w:r>
          </w:p>
        </w:tc>
        <w:tc>
          <w:tcPr>
            <w:tcW w:w="1669" w:type="dxa"/>
            <w:tcBorders>
              <w:bottom w:val="single" w:color="auto" w:sz="12" w:space="0"/>
            </w:tcBorders>
            <w:vAlign w:val="top"/>
          </w:tcPr>
          <w:p w14:paraId="066DC5BC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  <w:t>0.082-0.379</w:t>
            </w:r>
          </w:p>
        </w:tc>
        <w:tc>
          <w:tcPr>
            <w:tcW w:w="1060" w:type="dxa"/>
            <w:tcBorders>
              <w:bottom w:val="single" w:color="auto" w:sz="12" w:space="0"/>
            </w:tcBorders>
            <w:vAlign w:val="top"/>
          </w:tcPr>
          <w:p w14:paraId="1B70F45F">
            <w:pPr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val="en-US" w:eastAsia="zh-CN" w:bidi="ar"/>
              </w:rPr>
              <w:t>0.046</w:t>
            </w:r>
          </w:p>
        </w:tc>
      </w:tr>
    </w:tbl>
    <w:p w14:paraId="63B0973F">
      <w:bookmarkStart w:id="3" w:name="_GoBack"/>
      <w:bookmarkEnd w:id="3"/>
    </w:p>
    <w:p w14:paraId="74B3157C"/>
    <w:p w14:paraId="58561F44"/>
    <w:p w14:paraId="7D1C48A3"/>
    <w:p w14:paraId="5800CF56">
      <w:pPr>
        <w:widowControl/>
        <w:adjustRightInd w:val="0"/>
        <w:snapToGrid w:val="0"/>
        <w:jc w:val="both"/>
        <w:rPr>
          <w:rFonts w:hint="eastAsia"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b/>
          <w:bCs/>
          <w:sz w:val="24"/>
          <w:szCs w:val="32"/>
        </w:rPr>
        <w:t>Table S</w:t>
      </w:r>
      <w:r>
        <w:rPr>
          <w:rFonts w:hint="eastAsia" w:ascii="Times New Roman" w:hAnsi="Times New Roman" w:cs="Times New Roman"/>
          <w:b/>
          <w:bCs/>
          <w:sz w:val="24"/>
          <w:szCs w:val="32"/>
          <w:lang w:val="en-US" w:eastAsia="zh-CN"/>
        </w:rPr>
        <w:t>2</w:t>
      </w:r>
      <w:r>
        <w:rPr>
          <w:rFonts w:hint="eastAsia" w:ascii="Times New Roman" w:hAnsi="Times New Roman" w:cs="Times New Roman"/>
          <w:b/>
          <w:bCs/>
          <w:sz w:val="24"/>
          <w:szCs w:val="32"/>
        </w:rPr>
        <w:t>. The fitting evaluation metrics for multi-group trajectory models</w:t>
      </w:r>
    </w:p>
    <w:tbl>
      <w:tblPr>
        <w:tblStyle w:val="3"/>
        <w:tblpPr w:leftFromText="181" w:rightFromText="181" w:vertAnchor="page" w:horzAnchor="page" w:tblpX="1896" w:tblpY="1748"/>
        <w:tblW w:w="875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9"/>
        <w:gridCol w:w="2148"/>
        <w:gridCol w:w="2223"/>
        <w:gridCol w:w="1939"/>
      </w:tblGrid>
      <w:tr w14:paraId="58C410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2449" w:type="dxa"/>
            <w:vMerge w:val="restart"/>
            <w:tcBorders>
              <w:top w:val="single" w:color="auto" w:sz="12" w:space="0"/>
            </w:tcBorders>
            <w:shd w:val="clear" w:color="auto" w:fill="auto"/>
            <w:vAlign w:val="center"/>
          </w:tcPr>
          <w:p w14:paraId="7661293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</w:rPr>
              <w:t>Fit statistic</w:t>
            </w:r>
          </w:p>
        </w:tc>
        <w:tc>
          <w:tcPr>
            <w:tcW w:w="6310" w:type="dxa"/>
            <w:gridSpan w:val="3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 w14:paraId="349CDB4F"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z w:val="24"/>
              </w:rPr>
              <w:t>Number of classes</w:t>
            </w:r>
          </w:p>
        </w:tc>
      </w:tr>
      <w:tr w14:paraId="7B9B9C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2449" w:type="dxa"/>
            <w:vMerge w:val="continue"/>
            <w:tcBorders>
              <w:bottom w:val="single" w:color="auto" w:sz="12" w:space="0"/>
            </w:tcBorders>
            <w:shd w:val="clear" w:color="auto" w:fill="auto"/>
            <w:vAlign w:val="center"/>
          </w:tcPr>
          <w:p w14:paraId="7D46ECB4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148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 w14:paraId="6E76A14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2223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 w14:paraId="60D1F74A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939" w:type="dxa"/>
            <w:tcBorders>
              <w:top w:val="single" w:color="auto" w:sz="12" w:space="0"/>
              <w:bottom w:val="single" w:color="auto" w:sz="12" w:space="0"/>
            </w:tcBorders>
          </w:tcPr>
          <w:p w14:paraId="6C190042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kern w:val="0"/>
                <w:sz w:val="24"/>
                <w:lang w:bidi="ar"/>
              </w:rPr>
              <w:t>4</w:t>
            </w:r>
          </w:p>
        </w:tc>
      </w:tr>
      <w:tr w14:paraId="239653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2449" w:type="dxa"/>
            <w:shd w:val="clear" w:color="auto" w:fill="auto"/>
            <w:noWrap/>
            <w:vAlign w:val="center"/>
          </w:tcPr>
          <w:p w14:paraId="5300725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BIC*</w:t>
            </w:r>
          </w:p>
        </w:tc>
        <w:tc>
          <w:tcPr>
            <w:tcW w:w="2148" w:type="dxa"/>
            <w:shd w:val="clear" w:color="auto" w:fill="auto"/>
            <w:noWrap/>
            <w:vAlign w:val="center"/>
          </w:tcPr>
          <w:p w14:paraId="6FD0676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bookmarkStart w:id="2" w:name="_Hlk193908919"/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278.8</w:t>
            </w:r>
            <w:bookmarkEnd w:id="2"/>
          </w:p>
        </w:tc>
        <w:tc>
          <w:tcPr>
            <w:tcW w:w="2223" w:type="dxa"/>
            <w:shd w:val="clear" w:color="auto" w:fill="auto"/>
            <w:noWrap/>
            <w:vAlign w:val="center"/>
          </w:tcPr>
          <w:p w14:paraId="2E416696"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279.1</w:t>
            </w:r>
          </w:p>
        </w:tc>
        <w:tc>
          <w:tcPr>
            <w:tcW w:w="1939" w:type="dxa"/>
          </w:tcPr>
          <w:p w14:paraId="1D4228EA"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 xml:space="preserve">288.74  </w:t>
            </w:r>
          </w:p>
        </w:tc>
      </w:tr>
      <w:tr w14:paraId="1241A6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449" w:type="dxa"/>
            <w:shd w:val="clear" w:color="auto" w:fill="auto"/>
            <w:noWrap/>
          </w:tcPr>
          <w:p w14:paraId="729E365A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AIC*</w:t>
            </w:r>
          </w:p>
        </w:tc>
        <w:tc>
          <w:tcPr>
            <w:tcW w:w="2148" w:type="dxa"/>
            <w:shd w:val="clear" w:color="auto" w:fill="auto"/>
            <w:noWrap/>
            <w:vAlign w:val="center"/>
          </w:tcPr>
          <w:p w14:paraId="3F2B52A1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253.47</w:t>
            </w:r>
          </w:p>
        </w:tc>
        <w:tc>
          <w:tcPr>
            <w:tcW w:w="2223" w:type="dxa"/>
            <w:shd w:val="clear" w:color="auto" w:fill="auto"/>
            <w:noWrap/>
            <w:vAlign w:val="center"/>
          </w:tcPr>
          <w:p w14:paraId="3ED4BF73"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248.7</w:t>
            </w:r>
          </w:p>
        </w:tc>
        <w:tc>
          <w:tcPr>
            <w:tcW w:w="1939" w:type="dxa"/>
          </w:tcPr>
          <w:p w14:paraId="31A4D41F"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253.27</w:t>
            </w:r>
          </w:p>
        </w:tc>
      </w:tr>
      <w:tr w14:paraId="36CF25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449" w:type="dxa"/>
            <w:shd w:val="clear" w:color="auto" w:fill="auto"/>
            <w:noWrap/>
          </w:tcPr>
          <w:p w14:paraId="138B894B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Class Proportion*</w:t>
            </w:r>
          </w:p>
        </w:tc>
        <w:tc>
          <w:tcPr>
            <w:tcW w:w="2148" w:type="dxa"/>
            <w:shd w:val="clear" w:color="auto" w:fill="auto"/>
            <w:noWrap/>
            <w:vAlign w:val="center"/>
          </w:tcPr>
          <w:p w14:paraId="4D07F0BE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 xml:space="preserve">Class 1, 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38.29%</w:t>
            </w:r>
          </w:p>
        </w:tc>
        <w:tc>
          <w:tcPr>
            <w:tcW w:w="2223" w:type="dxa"/>
            <w:shd w:val="clear" w:color="auto" w:fill="auto"/>
            <w:noWrap/>
            <w:vAlign w:val="center"/>
          </w:tcPr>
          <w:p w14:paraId="68AAC383"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Class 1, 10%</w:t>
            </w:r>
          </w:p>
        </w:tc>
        <w:tc>
          <w:tcPr>
            <w:tcW w:w="1939" w:type="dxa"/>
            <w:vAlign w:val="center"/>
          </w:tcPr>
          <w:p w14:paraId="5F6B0777"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Class 1, 10%</w:t>
            </w:r>
          </w:p>
        </w:tc>
      </w:tr>
      <w:tr w14:paraId="6350A2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449" w:type="dxa"/>
            <w:shd w:val="clear" w:color="auto" w:fill="auto"/>
            <w:noWrap/>
          </w:tcPr>
          <w:p w14:paraId="3BD99ACA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14:paraId="14BD59C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 xml:space="preserve">Class 2, 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61.71%</w:t>
            </w:r>
          </w:p>
        </w:tc>
        <w:tc>
          <w:tcPr>
            <w:tcW w:w="2223" w:type="dxa"/>
            <w:shd w:val="clear" w:color="auto" w:fill="auto"/>
            <w:noWrap/>
            <w:vAlign w:val="center"/>
          </w:tcPr>
          <w:p w14:paraId="0D8B0C83"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 xml:space="preserve">Class 2, 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32.5%</w:t>
            </w:r>
          </w:p>
        </w:tc>
        <w:tc>
          <w:tcPr>
            <w:tcW w:w="1939" w:type="dxa"/>
            <w:vAlign w:val="center"/>
          </w:tcPr>
          <w:p w14:paraId="6219340E"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 xml:space="preserve">Class 2, 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45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%</w:t>
            </w:r>
          </w:p>
        </w:tc>
      </w:tr>
      <w:tr w14:paraId="3283C4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449" w:type="dxa"/>
            <w:shd w:val="clear" w:color="auto" w:fill="auto"/>
            <w:noWrap/>
          </w:tcPr>
          <w:p w14:paraId="0C3C3E42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14:paraId="049779EB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2223" w:type="dxa"/>
            <w:shd w:val="clear" w:color="auto" w:fill="auto"/>
            <w:noWrap/>
            <w:vAlign w:val="center"/>
          </w:tcPr>
          <w:p w14:paraId="0D5E3D52"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 xml:space="preserve">Class 3, 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57.5%</w:t>
            </w:r>
          </w:p>
        </w:tc>
        <w:tc>
          <w:tcPr>
            <w:tcW w:w="1939" w:type="dxa"/>
            <w:vAlign w:val="center"/>
          </w:tcPr>
          <w:p w14:paraId="60ADA8DF"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Class 3, 7.5%</w:t>
            </w:r>
          </w:p>
        </w:tc>
      </w:tr>
      <w:tr w14:paraId="0BA4B6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449" w:type="dxa"/>
            <w:shd w:val="clear" w:color="auto" w:fill="auto"/>
            <w:noWrap/>
          </w:tcPr>
          <w:p w14:paraId="4CAF6F7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14:paraId="505E2A4C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2223" w:type="dxa"/>
            <w:shd w:val="clear" w:color="auto" w:fill="auto"/>
            <w:noWrap/>
            <w:vAlign w:val="center"/>
          </w:tcPr>
          <w:p w14:paraId="0B73567F"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939" w:type="dxa"/>
          </w:tcPr>
          <w:p w14:paraId="566C6F80"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Class 4, 37.5%</w:t>
            </w:r>
          </w:p>
        </w:tc>
      </w:tr>
      <w:tr w14:paraId="3ACDED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449" w:type="dxa"/>
            <w:shd w:val="clear" w:color="auto" w:fill="auto"/>
            <w:noWrap/>
          </w:tcPr>
          <w:p w14:paraId="55F3BCAE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APP*</w:t>
            </w:r>
          </w:p>
        </w:tc>
        <w:tc>
          <w:tcPr>
            <w:tcW w:w="2148" w:type="dxa"/>
            <w:shd w:val="clear" w:color="auto" w:fill="auto"/>
            <w:noWrap/>
            <w:vAlign w:val="center"/>
          </w:tcPr>
          <w:p w14:paraId="09E87C6D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 xml:space="preserve">Class 1, 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49</w:t>
            </w:r>
          </w:p>
        </w:tc>
        <w:tc>
          <w:tcPr>
            <w:tcW w:w="2223" w:type="dxa"/>
            <w:shd w:val="clear" w:color="auto" w:fill="auto"/>
            <w:noWrap/>
            <w:vAlign w:val="center"/>
          </w:tcPr>
          <w:p w14:paraId="78C810CA"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 xml:space="preserve">Class 1, 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0.90</w:t>
            </w:r>
          </w:p>
        </w:tc>
        <w:tc>
          <w:tcPr>
            <w:tcW w:w="1939" w:type="dxa"/>
            <w:vAlign w:val="center"/>
          </w:tcPr>
          <w:p w14:paraId="2F5C5A45"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 xml:space="preserve">Class 1, 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0.89</w:t>
            </w:r>
          </w:p>
        </w:tc>
      </w:tr>
      <w:tr w14:paraId="69665E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449" w:type="dxa"/>
            <w:shd w:val="clear" w:color="auto" w:fill="auto"/>
            <w:noWrap/>
          </w:tcPr>
          <w:p w14:paraId="660EB017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14:paraId="1DB1F2F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 xml:space="preserve">Class 2, 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0.5</w:t>
            </w: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>1</w:t>
            </w:r>
          </w:p>
        </w:tc>
        <w:tc>
          <w:tcPr>
            <w:tcW w:w="2223" w:type="dxa"/>
            <w:shd w:val="clear" w:color="auto" w:fill="auto"/>
            <w:noWrap/>
            <w:vAlign w:val="center"/>
          </w:tcPr>
          <w:p w14:paraId="6F5BB0B3"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 xml:space="preserve">Class 2, 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0.82</w:t>
            </w:r>
          </w:p>
        </w:tc>
        <w:tc>
          <w:tcPr>
            <w:tcW w:w="1939" w:type="dxa"/>
            <w:vAlign w:val="center"/>
          </w:tcPr>
          <w:p w14:paraId="594788DA"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 xml:space="preserve">Class 2, 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0.69</w:t>
            </w:r>
          </w:p>
        </w:tc>
      </w:tr>
      <w:tr w14:paraId="22326F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449" w:type="dxa"/>
            <w:shd w:val="clear" w:color="auto" w:fill="auto"/>
            <w:noWrap/>
          </w:tcPr>
          <w:p w14:paraId="756EA5B9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48" w:type="dxa"/>
            <w:shd w:val="clear" w:color="auto" w:fill="auto"/>
            <w:noWrap/>
            <w:vAlign w:val="center"/>
          </w:tcPr>
          <w:p w14:paraId="3F656848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2223" w:type="dxa"/>
            <w:shd w:val="clear" w:color="auto" w:fill="auto"/>
            <w:noWrap/>
            <w:vAlign w:val="center"/>
          </w:tcPr>
          <w:p w14:paraId="094244B6"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 xml:space="preserve">Class 3, 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0.72</w:t>
            </w:r>
          </w:p>
        </w:tc>
        <w:tc>
          <w:tcPr>
            <w:tcW w:w="1939" w:type="dxa"/>
            <w:vAlign w:val="center"/>
          </w:tcPr>
          <w:p w14:paraId="5D049B1A"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 xml:space="preserve">Class 3, 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0.82</w:t>
            </w:r>
          </w:p>
        </w:tc>
      </w:tr>
      <w:tr w14:paraId="372B06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449" w:type="dxa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 w14:paraId="71726376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2148" w:type="dxa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 w14:paraId="4B08F1C9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2223" w:type="dxa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 w14:paraId="5672F8B5"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</w:p>
        </w:tc>
        <w:tc>
          <w:tcPr>
            <w:tcW w:w="1939" w:type="dxa"/>
            <w:tcBorders>
              <w:bottom w:val="single" w:color="auto" w:sz="12" w:space="0"/>
            </w:tcBorders>
          </w:tcPr>
          <w:p w14:paraId="0DE951CB">
            <w:pPr>
              <w:jc w:val="left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4"/>
              </w:rPr>
              <w:t xml:space="preserve">Class 4, </w:t>
            </w:r>
            <w:r>
              <w:rPr>
                <w:rFonts w:ascii="Times New Roman" w:hAnsi="Times New Roman" w:eastAsia="宋体" w:cs="Times New Roman"/>
                <w:color w:val="000000"/>
                <w:sz w:val="24"/>
              </w:rPr>
              <w:t>0.70</w:t>
            </w:r>
          </w:p>
        </w:tc>
      </w:tr>
    </w:tbl>
    <w:p w14:paraId="5D19A5CC">
      <w:pPr>
        <w:widowControl/>
        <w:adjustRightInd w:val="0"/>
        <w:snapToGrid w:val="0"/>
        <w:rPr>
          <w:rFonts w:ascii="Times New Roman" w:hAnsi="Times New Roman" w:cs="Times New Roman"/>
          <w:sz w:val="18"/>
          <w:szCs w:val="18"/>
        </w:rPr>
      </w:pPr>
      <w:r>
        <w:rPr>
          <w:rFonts w:hint="eastAsia" w:ascii="Times New Roman" w:hAnsi="Times New Roman" w:cs="Times New Roman"/>
          <w:sz w:val="18"/>
          <w:szCs w:val="18"/>
        </w:rPr>
        <w:t>Alc Akaike's information citerion, Bic Bayesian infomation critenia,APP average posterior probabitie.</w:t>
      </w:r>
    </w:p>
    <w:p w14:paraId="61FAE99F">
      <w:pPr>
        <w:widowControl/>
        <w:adjustRightInd w:val="0"/>
        <w:snapToGrid w:val="0"/>
        <w:rPr>
          <w:rFonts w:hint="eastAsia" w:ascii="Times New Roman" w:hAnsi="Times New Roman" w:cs="Times New Roman" w:eastAsiaTheme="minorEastAsia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sz w:val="18"/>
          <w:szCs w:val="18"/>
        </w:rPr>
        <w:t>*A lower absolute value suggests a better model fit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.</w:t>
      </w:r>
    </w:p>
    <w:p w14:paraId="14C12739">
      <w:pPr>
        <w:widowControl/>
        <w:adjustRightInd w:val="0"/>
        <w:snapToGrid w:val="0"/>
        <w:rPr>
          <w:rFonts w:hint="eastAsia" w:ascii="Times New Roman" w:hAnsi="Times New Roman" w:cs="Times New Roman" w:eastAsiaTheme="minorEastAsia"/>
          <w:sz w:val="18"/>
          <w:szCs w:val="18"/>
          <w:lang w:val="en-US" w:eastAsia="zh-CN"/>
        </w:rPr>
      </w:pPr>
      <w:r>
        <w:rPr>
          <w:rFonts w:hint="eastAsia" w:ascii="Times New Roman" w:hAnsi="Times New Roman" w:cs="Times New Roman"/>
          <w:sz w:val="18"/>
          <w:szCs w:val="18"/>
        </w:rPr>
        <w:t>No less than 5% of total count in a class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.</w:t>
      </w:r>
    </w:p>
    <w:p w14:paraId="46707C01">
      <w:pPr>
        <w:adjustRightInd w:val="0"/>
        <w:snapToGrid w:val="0"/>
        <w:jc w:val="left"/>
        <w:rPr>
          <w:rFonts w:hint="eastAsia" w:ascii="Times New Roman" w:hAnsi="Times New Roman" w:cs="Times New Roman" w:eastAsiaTheme="minorEastAsia"/>
          <w:b/>
          <w:bCs/>
          <w:sz w:val="24"/>
          <w:szCs w:val="32"/>
          <w:lang w:val="en-US" w:eastAsia="zh-CN"/>
        </w:rPr>
      </w:pPr>
      <w:r>
        <w:rPr>
          <w:rFonts w:hint="eastAsia" w:ascii="Times New Roman" w:hAnsi="Times New Roman" w:cs="Times New Roman"/>
          <w:sz w:val="18"/>
          <w:szCs w:val="18"/>
        </w:rPr>
        <w:t>A higher value is better (preferably &gt;0.7 in a class)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.</w:t>
      </w:r>
    </w:p>
    <w:p w14:paraId="1D9E5E15">
      <w:pPr>
        <w:widowControl/>
        <w:adjustRightInd w:val="0"/>
        <w:snapToGrid w:val="0"/>
        <w:jc w:val="both"/>
        <w:rPr>
          <w:rFonts w:hint="eastAsia" w:ascii="Times New Roman" w:hAnsi="Times New Roman" w:cs="Times New Roman" w:eastAsiaTheme="minorEastAsia"/>
          <w:b/>
          <w:bCs/>
          <w:sz w:val="24"/>
          <w:szCs w:val="32"/>
          <w:lang w:val="en-US" w:eastAsia="zh-CN"/>
        </w:rPr>
      </w:pPr>
    </w:p>
    <w:p w14:paraId="5644C2EE">
      <w:pPr>
        <w:rPr>
          <w:b/>
          <w:bCs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B7484F"/>
    <w:rsid w:val="44B7484F"/>
    <w:rsid w:val="57787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35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  <w14:ligatures w14:val="standardContextual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semiHidden/>
    <w:unhideWhenUsed/>
    <w:qFormat/>
    <w:uiPriority w:val="35"/>
    <w:rPr>
      <w:rFonts w:ascii="Arial" w:hAnsi="Arial" w:eastAsia="黑体"/>
      <w:sz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338</Words>
  <Characters>2160</Characters>
  <Lines>0</Lines>
  <Paragraphs>0</Paragraphs>
  <TotalTime>0</TotalTime>
  <ScaleCrop>false</ScaleCrop>
  <LinksUpToDate>false</LinksUpToDate>
  <CharactersWithSpaces>2278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2025-10-22T12:27:00Z</dcterms:created>
  <dc:creator>Jingyi Shi</dc:creator>
  <cp:lastModifiedBy>Jingyi Shi</cp:lastModifiedBy>
  <dcterms:modified xsi:type="dcterms:W3CDTF">2025-11-10T05:26:17Z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2CF3847B312E4202B9F2F9D1D2FBF30B_11</vt:lpwstr>
  </property>
  <property fmtid="{D5CDD505-2E9C-101B-9397-08002B2CF9AE}" pid="4" name="KSOTemplateDocerSaveRecord">
    <vt:lpwstr>eyJoZGlkIjoiY2IwODFmYTAwNGExNGYyOGQ3NGZkMjljZDQyZTE2OGEiLCJ1c2VySWQiOiI0ODAzMTM4ODgifQ==</vt:lpwstr>
  </property>
</Properties>
</file>