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3CA22" w14:textId="77777777" w:rsidR="000B3501" w:rsidRDefault="000B3501" w:rsidP="000B3501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3B59BB">
        <w:rPr>
          <w:rFonts w:ascii="Times New Roman" w:hAnsi="Times New Roman"/>
          <w:b/>
          <w:bCs/>
          <w:sz w:val="24"/>
          <w:szCs w:val="24"/>
          <w:lang w:val="en-GB"/>
        </w:rPr>
        <w:t>This PDF file includes</w:t>
      </w:r>
    </w:p>
    <w:p w14:paraId="025E352E" w14:textId="77777777" w:rsidR="000B3501" w:rsidRPr="003B59BB" w:rsidRDefault="000B3501" w:rsidP="000B3501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3B59BB">
        <w:rPr>
          <w:rFonts w:ascii="Times New Roman" w:hAnsi="Times New Roman"/>
          <w:b/>
          <w:bCs/>
          <w:sz w:val="24"/>
          <w:szCs w:val="24"/>
          <w:lang w:val="en-GB"/>
        </w:rPr>
        <w:t>Supplemental data Text note 1</w:t>
      </w:r>
    </w:p>
    <w:p w14:paraId="732AD7E9" w14:textId="77777777" w:rsidR="001F00E1" w:rsidRDefault="001F00E1" w:rsidP="000B3501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Figure S1</w:t>
      </w:r>
    </w:p>
    <w:p w14:paraId="4DA9FA4F" w14:textId="77777777" w:rsidR="001F00E1" w:rsidRDefault="001F00E1" w:rsidP="000B3501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Figure S2</w:t>
      </w:r>
    </w:p>
    <w:p w14:paraId="0CF4926D" w14:textId="77777777" w:rsidR="00FE601E" w:rsidRDefault="00FE601E" w:rsidP="000B3501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Figure S3</w:t>
      </w:r>
    </w:p>
    <w:p w14:paraId="1DA21E64" w14:textId="77777777" w:rsidR="004C0D76" w:rsidRDefault="004C0D76" w:rsidP="004C0D76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3B59BB">
        <w:rPr>
          <w:rFonts w:ascii="Times New Roman" w:hAnsi="Times New Roman"/>
          <w:b/>
          <w:bCs/>
          <w:sz w:val="24"/>
          <w:szCs w:val="24"/>
          <w:lang w:val="en-GB"/>
        </w:rPr>
        <w:t xml:space="preserve">Table S1 </w:t>
      </w:r>
    </w:p>
    <w:p w14:paraId="6F749E0B" w14:textId="77777777" w:rsidR="00FE601E" w:rsidRDefault="00FE601E" w:rsidP="004C0D76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Table S2</w:t>
      </w:r>
    </w:p>
    <w:p w14:paraId="67E00348" w14:textId="41439E07" w:rsidR="000B3501" w:rsidRDefault="000B3501" w:rsidP="000B3501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3B59BB">
        <w:rPr>
          <w:rFonts w:ascii="Times New Roman" w:hAnsi="Times New Roman"/>
          <w:b/>
          <w:bCs/>
          <w:sz w:val="24"/>
          <w:szCs w:val="24"/>
          <w:lang w:val="en-GB"/>
        </w:rPr>
        <w:t>Supplementary note 1: case report</w:t>
      </w:r>
    </w:p>
    <w:p w14:paraId="17EAC197" w14:textId="77777777" w:rsidR="00B742A1" w:rsidRPr="00A35A35" w:rsidRDefault="00B742A1" w:rsidP="00B742A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es-ES"/>
        </w:rPr>
      </w:pPr>
    </w:p>
    <w:p w14:paraId="24118EEE" w14:textId="194E33E0" w:rsidR="00B742A1" w:rsidRPr="00A35A35" w:rsidRDefault="00B742A1" w:rsidP="00B742A1">
      <w:pPr>
        <w:spacing w:after="0" w:line="48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en-US" w:eastAsia="es-ES"/>
        </w:rPr>
      </w:pPr>
      <w:r w:rsidRPr="00B742A1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P3 is a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 20 mo girl</w:t>
      </w:r>
      <w:r w:rsidR="00AF045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 who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 presented to the Immunology clinic for newborn screening for a history of a sister with combined immune deficiency, who </w:t>
      </w:r>
      <w:r w:rsid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died 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at age 15 mo </w:t>
      </w:r>
      <w:r w:rsidR="00AF045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of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 disseminated BCGitis and bacterial sepsis. </w:t>
      </w:r>
    </w:p>
    <w:p w14:paraId="50A50877" w14:textId="23CF3DEA" w:rsidR="00B742A1" w:rsidRPr="00A35A35" w:rsidRDefault="00B742A1" w:rsidP="00B742A1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en-US" w:eastAsia="es-ES"/>
        </w:rPr>
      </w:pP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She was closely followed as outpatient and received her killed vaccines. At age 1 year she was admitted to her local hospital with fever and bacterial pneumonia for which she received IV antibiotics. She was treated for oral thrush. Her </w:t>
      </w:r>
      <w:r w:rsidR="00227D1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i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mmune</w:t>
      </w:r>
      <w:r w:rsidR="00227D1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 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work</w:t>
      </w:r>
      <w:r w:rsidR="00227D1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 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up showed hypogammaglobulinemia and was started on IVIG and prophylactic bactrim. She was found to have von willebrand disease. </w:t>
      </w:r>
    </w:p>
    <w:p w14:paraId="7574A94F" w14:textId="77777777" w:rsidR="00AF0455" w:rsidRPr="00A35A35" w:rsidRDefault="00AF0455" w:rsidP="00AF0455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en-US" w:eastAsia="es-ES"/>
        </w:rPr>
      </w:pP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Her WES testing revealed a homozygous mutation in BCL10 gene. She was worked up for 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hematopoietoic s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tem cell transplant 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(HSCT) 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and received a matched sibling 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>HSCT</w:t>
      </w:r>
      <w:r w:rsidRPr="00A35A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US" w:eastAsia="es-ES"/>
        </w:rPr>
        <w:t xml:space="preserve"> at age 16 mo. She is alive and followed in our clinic in a stable condition. </w:t>
      </w:r>
    </w:p>
    <w:p w14:paraId="6642AC6C" w14:textId="138D7C49" w:rsidR="00B742A1" w:rsidRPr="00A35A35" w:rsidRDefault="00B742A1" w:rsidP="00B742A1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en-US" w:eastAsia="es-ES"/>
        </w:rPr>
      </w:pPr>
    </w:p>
    <w:p w14:paraId="26DD9A5B" w14:textId="77777777" w:rsidR="00B742A1" w:rsidRPr="00A35A35" w:rsidRDefault="00B742A1" w:rsidP="00B742A1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E7756D9" w14:textId="77777777" w:rsidR="000B3501" w:rsidRPr="00A35A35" w:rsidRDefault="000B3501" w:rsidP="000B3501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34B88BD" w14:textId="77777777" w:rsidR="000B3501" w:rsidRPr="003B59BB" w:rsidRDefault="000B3501" w:rsidP="000B3501">
      <w:pPr>
        <w:jc w:val="both"/>
        <w:rPr>
          <w:rFonts w:ascii="Times New Roman" w:hAnsi="Times New Roman"/>
          <w:sz w:val="24"/>
          <w:szCs w:val="24"/>
          <w:lang w:val="en-GB"/>
        </w:rPr>
      </w:pPr>
    </w:p>
    <w:p w14:paraId="63C9A68E" w14:textId="77777777" w:rsidR="000B3501" w:rsidRPr="003B59BB" w:rsidRDefault="000B3501" w:rsidP="000B3501">
      <w:pPr>
        <w:jc w:val="both"/>
        <w:rPr>
          <w:rFonts w:ascii="Times New Roman" w:hAnsi="Times New Roman"/>
          <w:sz w:val="24"/>
          <w:szCs w:val="24"/>
          <w:lang w:val="en-GB"/>
        </w:rPr>
      </w:pPr>
    </w:p>
    <w:p w14:paraId="4A078501" w14:textId="77777777" w:rsidR="000B3501" w:rsidRPr="003B59BB" w:rsidRDefault="000B3501" w:rsidP="000B3501">
      <w:pPr>
        <w:jc w:val="both"/>
        <w:rPr>
          <w:rFonts w:ascii="Times New Roman" w:hAnsi="Times New Roman"/>
          <w:sz w:val="24"/>
          <w:szCs w:val="24"/>
          <w:lang w:val="en-GB"/>
        </w:rPr>
      </w:pPr>
    </w:p>
    <w:p w14:paraId="1D865507" w14:textId="77777777" w:rsidR="000B3501" w:rsidRPr="003B59BB" w:rsidRDefault="000B3501" w:rsidP="000B3501">
      <w:pPr>
        <w:jc w:val="both"/>
        <w:rPr>
          <w:rFonts w:ascii="Times New Roman" w:hAnsi="Times New Roman"/>
          <w:sz w:val="24"/>
          <w:szCs w:val="24"/>
          <w:lang w:val="en-GB"/>
        </w:rPr>
      </w:pPr>
    </w:p>
    <w:p w14:paraId="4578A2F8" w14:textId="77777777" w:rsidR="00FE75ED" w:rsidRPr="003B59BB" w:rsidRDefault="00FE75ED" w:rsidP="000B3501">
      <w:pPr>
        <w:jc w:val="both"/>
        <w:rPr>
          <w:rFonts w:ascii="Times New Roman" w:hAnsi="Times New Roman"/>
          <w:sz w:val="24"/>
          <w:szCs w:val="24"/>
          <w:lang w:val="en-GB"/>
        </w:rPr>
      </w:pPr>
    </w:p>
    <w:p w14:paraId="4010CB20" w14:textId="471F2837" w:rsidR="001C4BD4" w:rsidRPr="00D77780" w:rsidRDefault="001F00E1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D77780">
        <w:rPr>
          <w:rFonts w:ascii="Times New Roman" w:hAnsi="Times New Roman"/>
          <w:b/>
          <w:bCs/>
          <w:sz w:val="24"/>
          <w:szCs w:val="24"/>
          <w:lang w:val="en-US"/>
        </w:rPr>
        <w:t>Figures</w:t>
      </w:r>
    </w:p>
    <w:p w14:paraId="5F4D6BF5" w14:textId="45D32F37" w:rsidR="00D77780" w:rsidRPr="00D77780" w:rsidRDefault="00D77780" w:rsidP="00D77780">
      <w:pPr>
        <w:rPr>
          <w:rFonts w:ascii="Times New Roman" w:hAnsi="Times New Roman"/>
          <w:b/>
          <w:bCs/>
          <w:sz w:val="24"/>
          <w:szCs w:val="24"/>
          <w:lang w:val="en-US"/>
        </w:rPr>
      </w:pPr>
      <w:r w:rsidRPr="00D77780">
        <w:rPr>
          <w:rFonts w:ascii="Times New Roman" w:hAnsi="Times New Roman"/>
          <w:b/>
          <w:bCs/>
          <w:sz w:val="24"/>
          <w:szCs w:val="24"/>
          <w:lang w:val="en-GB"/>
        </w:rPr>
        <w:t>Figure S</w:t>
      </w:r>
      <w:r w:rsidRPr="000715D8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D77780">
        <w:rPr>
          <w:rFonts w:ascii="Times New Roman" w:hAnsi="Times New Roman"/>
          <w:b/>
          <w:bCs/>
          <w:sz w:val="24"/>
          <w:szCs w:val="24"/>
          <w:lang w:val="en-US"/>
        </w:rPr>
        <w:t>. Manual Gating Strategy</w:t>
      </w:r>
    </w:p>
    <w:p w14:paraId="38336DF8" w14:textId="6589C44C" w:rsidR="00D77780" w:rsidRDefault="00E67C51" w:rsidP="00D77780">
      <w:pPr>
        <w:spacing w:after="0" w:line="480" w:lineRule="auto"/>
        <w:jc w:val="both"/>
        <w:outlineLvl w:val="0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Cs/>
          <w:noProof/>
          <w:sz w:val="24"/>
          <w:szCs w:val="24"/>
          <w:lang w:eastAsia="es-ES"/>
        </w:rPr>
        <w:drawing>
          <wp:inline distT="0" distB="0" distL="0" distR="0" wp14:anchorId="713C8155" wp14:editId="6DF16097">
            <wp:extent cx="5400040" cy="7597775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59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EA660" w14:textId="0963AD5D" w:rsidR="002839CF" w:rsidRDefault="002839CF" w:rsidP="00D77780">
      <w:pPr>
        <w:spacing w:after="0" w:line="480" w:lineRule="auto"/>
        <w:jc w:val="both"/>
        <w:outlineLvl w:val="0"/>
        <w:rPr>
          <w:rFonts w:ascii="Times New Roman" w:hAnsi="Times New Roman"/>
          <w:bCs/>
          <w:sz w:val="24"/>
          <w:szCs w:val="24"/>
          <w:lang w:val="en-US"/>
        </w:rPr>
      </w:pPr>
    </w:p>
    <w:p w14:paraId="000D11B3" w14:textId="77777777" w:rsidR="00D77780" w:rsidRPr="00D77780" w:rsidRDefault="00D77780" w:rsidP="00D77780">
      <w:pPr>
        <w:rPr>
          <w:rFonts w:ascii="Times New Roman" w:hAnsi="Times New Roman"/>
          <w:b/>
          <w:bCs/>
          <w:sz w:val="24"/>
          <w:szCs w:val="24"/>
          <w:lang w:val="en-US"/>
        </w:rPr>
      </w:pPr>
      <w:r w:rsidRPr="00D77780">
        <w:rPr>
          <w:rFonts w:ascii="Times New Roman" w:hAnsi="Times New Roman"/>
          <w:b/>
          <w:bCs/>
          <w:sz w:val="24"/>
          <w:szCs w:val="24"/>
          <w:lang w:val="en-GB"/>
        </w:rPr>
        <w:lastRenderedPageBreak/>
        <w:t>Figure S</w:t>
      </w:r>
      <w:r w:rsidRPr="00D77780">
        <w:rPr>
          <w:rFonts w:ascii="Times New Roman" w:hAnsi="Times New Roman"/>
          <w:b/>
          <w:bCs/>
          <w:sz w:val="24"/>
          <w:szCs w:val="24"/>
          <w:lang w:val="en-US"/>
        </w:rPr>
        <w:t>1. Manual Gating Strategy</w:t>
      </w:r>
    </w:p>
    <w:p w14:paraId="106CB1EF" w14:textId="77777777" w:rsidR="00D77780" w:rsidRDefault="00D77780" w:rsidP="00D7778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F00E1">
        <w:rPr>
          <w:rFonts w:ascii="Times New Roman" w:hAnsi="Times New Roman"/>
          <w:b/>
          <w:bCs/>
          <w:sz w:val="24"/>
          <w:szCs w:val="24"/>
          <w:lang w:val="en-US"/>
        </w:rPr>
        <w:t>(A)</w:t>
      </w:r>
      <w:r w:rsidRPr="001F00E1">
        <w:rPr>
          <w:rFonts w:ascii="Times New Roman" w:hAnsi="Times New Roman"/>
          <w:sz w:val="24"/>
          <w:szCs w:val="24"/>
          <w:lang w:val="en-US"/>
        </w:rPr>
        <w:t xml:space="preserve"> Pre-gating strategy used with mass cytometry data prior the analysis in R. </w:t>
      </w:r>
      <w:r w:rsidRPr="001F00E1">
        <w:rPr>
          <w:rFonts w:ascii="Times New Roman" w:hAnsi="Times New Roman"/>
          <w:b/>
          <w:bCs/>
          <w:sz w:val="24"/>
          <w:szCs w:val="24"/>
          <w:lang w:val="en-US"/>
        </w:rPr>
        <w:t xml:space="preserve">(B) </w:t>
      </w:r>
      <w:r w:rsidRPr="001F00E1">
        <w:rPr>
          <w:rFonts w:ascii="Times New Roman" w:hAnsi="Times New Roman"/>
          <w:sz w:val="24"/>
          <w:szCs w:val="24"/>
          <w:lang w:val="en-US"/>
        </w:rPr>
        <w:t>Manual gating strategy continuing from (A) used to identify the different immune cell populations described in this manuscript. S correspond to switched, U to unswitched, DN to double negative, NCM to non-classical monocytes, IM to intermediate monocytes, CM to classical monocytes, EM stands for effector memory, CM for central memory and T for TEMRA.</w:t>
      </w:r>
    </w:p>
    <w:p w14:paraId="34F2D041" w14:textId="77777777" w:rsidR="00D77780" w:rsidRDefault="00D77780" w:rsidP="00D7778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622C181C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50A5D146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045A41E0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159DE0E1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64C8DB8C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089B7277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4E82E239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0E2D77E1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015CBE0C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5DF37486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5FCA324A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6AF81E9E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4BBB7627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71B09F97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1FE75380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087B21DB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76CE858E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6BE67EDC" w14:textId="77777777" w:rsidR="00D77780" w:rsidRDefault="00D77780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697FF608" w14:textId="62607956" w:rsidR="00D77780" w:rsidRDefault="00D77780" w:rsidP="00D77780">
      <w:pPr>
        <w:spacing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6D381A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Figure S2. Immunophenotyping frequencies</w:t>
      </w:r>
      <w:r w:rsidR="005B2EBC">
        <w:rPr>
          <w:rFonts w:ascii="Times New Roman" w:hAnsi="Times New Roman"/>
          <w:b/>
          <w:bCs/>
          <w:sz w:val="24"/>
          <w:szCs w:val="24"/>
          <w:lang w:val="en-US"/>
        </w:rPr>
        <w:t xml:space="preserve"> by manual gating</w:t>
      </w:r>
      <w:r w:rsidRPr="006D381A">
        <w:rPr>
          <w:rFonts w:ascii="Times New Roman" w:hAnsi="Times New Roman"/>
          <w:b/>
          <w:bCs/>
          <w:sz w:val="24"/>
          <w:szCs w:val="24"/>
          <w:lang w:val="en-US"/>
        </w:rPr>
        <w:t>.</w:t>
      </w:r>
    </w:p>
    <w:p w14:paraId="23CBDAF1" w14:textId="292FB25A" w:rsidR="00CA2A01" w:rsidRPr="006D381A" w:rsidRDefault="00E67C51" w:rsidP="00D77780">
      <w:pPr>
        <w:spacing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es-ES"/>
        </w:rPr>
        <w:drawing>
          <wp:inline distT="0" distB="0" distL="0" distR="0" wp14:anchorId="25D9F333" wp14:editId="4F501DDD">
            <wp:extent cx="5400040" cy="6071870"/>
            <wp:effectExtent l="0" t="0" r="0" b="508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07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A5B91" w14:textId="77777777" w:rsidR="00034BA2" w:rsidRPr="006D381A" w:rsidRDefault="00034BA2" w:rsidP="00034BA2">
      <w:pPr>
        <w:spacing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6D381A">
        <w:rPr>
          <w:rFonts w:ascii="Times New Roman" w:hAnsi="Times New Roman"/>
          <w:b/>
          <w:bCs/>
          <w:sz w:val="24"/>
          <w:szCs w:val="24"/>
          <w:lang w:val="en-US"/>
        </w:rPr>
        <w:t>Figure S2. Immunophenotyping frequencies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by manual gating</w:t>
      </w:r>
      <w:r w:rsidRPr="006D381A">
        <w:rPr>
          <w:rFonts w:ascii="Times New Roman" w:hAnsi="Times New Roman"/>
          <w:b/>
          <w:bCs/>
          <w:sz w:val="24"/>
          <w:szCs w:val="24"/>
          <w:lang w:val="en-US"/>
        </w:rPr>
        <w:t>.</w:t>
      </w:r>
    </w:p>
    <w:p w14:paraId="5A92C1AF" w14:textId="77777777" w:rsidR="00D77780" w:rsidRDefault="00D77780" w:rsidP="00D77780">
      <w:pPr>
        <w:tabs>
          <w:tab w:val="left" w:pos="2111"/>
        </w:tabs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77780">
        <w:rPr>
          <w:rFonts w:ascii="Times New Roman" w:hAnsi="Times New Roman"/>
          <w:sz w:val="24"/>
          <w:szCs w:val="24"/>
          <w:lang w:val="en-US"/>
        </w:rPr>
        <w:t>Frequencies of different populations as percentage of total leukocytes in healthy controls (HC), heterozygous carrier (Het) and patient following the gating strategy shown in supplementary figure 2.</w:t>
      </w:r>
    </w:p>
    <w:p w14:paraId="1485DD2A" w14:textId="77777777" w:rsidR="0052382E" w:rsidRPr="00D77780" w:rsidRDefault="0052382E" w:rsidP="00D77780">
      <w:pPr>
        <w:tabs>
          <w:tab w:val="left" w:pos="2111"/>
        </w:tabs>
        <w:spacing w:line="48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3FC7325" w14:textId="62E7BBDB" w:rsidR="001F00E1" w:rsidRDefault="001F00E1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1F00E1">
        <w:rPr>
          <w:rFonts w:ascii="Times New Roman" w:hAnsi="Times New Roman"/>
          <w:b/>
          <w:bCs/>
          <w:sz w:val="24"/>
          <w:szCs w:val="24"/>
          <w:lang w:val="en-GB"/>
        </w:rPr>
        <w:lastRenderedPageBreak/>
        <w:t>Figure S</w:t>
      </w:r>
      <w:r w:rsidR="00B71D9E">
        <w:rPr>
          <w:rFonts w:ascii="Times New Roman" w:hAnsi="Times New Roman"/>
          <w:b/>
          <w:bCs/>
          <w:sz w:val="24"/>
          <w:szCs w:val="24"/>
          <w:lang w:val="en-GB"/>
        </w:rPr>
        <w:t>3</w:t>
      </w:r>
      <w:r w:rsidR="00D77780">
        <w:rPr>
          <w:rFonts w:ascii="Times New Roman" w:hAnsi="Times New Roman"/>
          <w:b/>
          <w:bCs/>
          <w:sz w:val="24"/>
          <w:szCs w:val="24"/>
          <w:lang w:val="en-GB"/>
        </w:rPr>
        <w:t xml:space="preserve"> </w:t>
      </w:r>
      <w:r w:rsidR="00D77780" w:rsidRPr="00D77780">
        <w:rPr>
          <w:rFonts w:ascii="Times New Roman" w:hAnsi="Times New Roman"/>
          <w:b/>
          <w:bCs/>
          <w:sz w:val="24"/>
          <w:szCs w:val="24"/>
          <w:lang w:val="en-US"/>
        </w:rPr>
        <w:t xml:space="preserve">Myeloid </w:t>
      </w:r>
      <w:r w:rsidR="005B2EBC">
        <w:rPr>
          <w:rFonts w:ascii="Times New Roman" w:hAnsi="Times New Roman"/>
          <w:b/>
          <w:bCs/>
          <w:sz w:val="24"/>
          <w:szCs w:val="24"/>
          <w:lang w:val="en-US"/>
        </w:rPr>
        <w:t>compartment unsupervised analysis</w:t>
      </w:r>
    </w:p>
    <w:p w14:paraId="05FBC033" w14:textId="2DDCAD39" w:rsidR="00CA2A01" w:rsidRPr="0052382E" w:rsidRDefault="00E67C51" w:rsidP="00041BA4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US"/>
        </w:rPr>
      </w:pPr>
      <w:bookmarkStart w:id="0" w:name="_GoBack"/>
      <w:r>
        <w:rPr>
          <w:rFonts w:ascii="Times New Roman" w:hAnsi="Times New Roman"/>
          <w:b/>
          <w:bCs/>
          <w:noProof/>
          <w:sz w:val="24"/>
          <w:szCs w:val="24"/>
          <w:lang w:eastAsia="es-ES"/>
        </w:rPr>
        <w:drawing>
          <wp:inline distT="0" distB="0" distL="0" distR="0" wp14:anchorId="05EE3AC7" wp14:editId="644637D5">
            <wp:extent cx="5400040" cy="614299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14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B6F4EC0" w14:textId="77777777" w:rsidR="00034BA2" w:rsidRDefault="00034BA2" w:rsidP="00034BA2">
      <w:pPr>
        <w:spacing w:after="0" w:line="48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1F00E1">
        <w:rPr>
          <w:rFonts w:ascii="Times New Roman" w:hAnsi="Times New Roman"/>
          <w:b/>
          <w:bCs/>
          <w:sz w:val="24"/>
          <w:szCs w:val="24"/>
          <w:lang w:val="en-GB"/>
        </w:rPr>
        <w:t>Figure S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 xml:space="preserve">3 </w:t>
      </w:r>
      <w:r w:rsidRPr="00D77780">
        <w:rPr>
          <w:rFonts w:ascii="Times New Roman" w:hAnsi="Times New Roman"/>
          <w:b/>
          <w:bCs/>
          <w:sz w:val="24"/>
          <w:szCs w:val="24"/>
          <w:lang w:val="en-US"/>
        </w:rPr>
        <w:t xml:space="preserve">Myeloid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compartment unsupervised analysis</w:t>
      </w:r>
    </w:p>
    <w:p w14:paraId="1EED1907" w14:textId="1CFCC6F4" w:rsidR="001F00E1" w:rsidRPr="00923BD0" w:rsidRDefault="00034BA2" w:rsidP="00923BD0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77780" w:rsidDel="00034BA2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D77780" w:rsidRPr="00D77780">
        <w:rPr>
          <w:rFonts w:ascii="Times New Roman" w:hAnsi="Times New Roman"/>
          <w:b/>
          <w:bCs/>
          <w:sz w:val="24"/>
          <w:szCs w:val="24"/>
          <w:lang w:val="en-US"/>
        </w:rPr>
        <w:t>(A)</w:t>
      </w:r>
      <w:r w:rsidR="00D77780" w:rsidRPr="00D77780">
        <w:rPr>
          <w:rFonts w:ascii="Times New Roman" w:hAnsi="Times New Roman"/>
          <w:sz w:val="24"/>
          <w:szCs w:val="24"/>
          <w:lang w:val="en-US"/>
        </w:rPr>
        <w:t xml:space="preserve"> UMAP representation showing the myeloid population from figure 2. Each color represents a cluster obtained by unsupervised clustering using flowSOM. 10,000 cells from healthy controls (HC), heterozygous carriers (Het) and the patient are represented. </w:t>
      </w:r>
      <w:r w:rsidR="00D77780" w:rsidRPr="00D77780">
        <w:rPr>
          <w:rFonts w:ascii="Times New Roman" w:hAnsi="Times New Roman"/>
          <w:b/>
          <w:bCs/>
          <w:sz w:val="24"/>
          <w:szCs w:val="24"/>
          <w:lang w:val="en-US"/>
        </w:rPr>
        <w:t xml:space="preserve">(B) </w:t>
      </w:r>
      <w:r w:rsidR="00D77780" w:rsidRPr="00D77780">
        <w:rPr>
          <w:rFonts w:ascii="Times New Roman" w:hAnsi="Times New Roman"/>
          <w:sz w:val="24"/>
          <w:szCs w:val="24"/>
          <w:lang w:val="en-US"/>
        </w:rPr>
        <w:t xml:space="preserve">MEM heatmap and marker tags for the clusters shown in (A). </w:t>
      </w:r>
      <w:r w:rsidR="00D77780" w:rsidRPr="00D77780">
        <w:rPr>
          <w:rFonts w:ascii="Times New Roman" w:hAnsi="Times New Roman"/>
          <w:b/>
          <w:bCs/>
          <w:sz w:val="24"/>
          <w:szCs w:val="24"/>
          <w:lang w:val="en-US"/>
        </w:rPr>
        <w:t>(C)</w:t>
      </w:r>
      <w:r w:rsidR="00D77780" w:rsidRPr="00D77780">
        <w:rPr>
          <w:rFonts w:ascii="Times New Roman" w:hAnsi="Times New Roman"/>
          <w:sz w:val="24"/>
          <w:szCs w:val="24"/>
          <w:lang w:val="en-US"/>
        </w:rPr>
        <w:t xml:space="preserve"> Frequencies of the flowSOM clusters in (A) as percentage of total cells in the myeloid cell population. </w:t>
      </w:r>
    </w:p>
    <w:p w14:paraId="482A6756" w14:textId="77777777" w:rsidR="00914D2D" w:rsidRDefault="00914D2D" w:rsidP="00914D2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3B59BB">
        <w:rPr>
          <w:rFonts w:ascii="Times New Roman" w:hAnsi="Times New Roman"/>
          <w:b/>
          <w:sz w:val="24"/>
          <w:szCs w:val="24"/>
          <w:lang w:val="en-GB"/>
        </w:rPr>
        <w:lastRenderedPageBreak/>
        <w:t>TABLE</w:t>
      </w:r>
      <w:r>
        <w:rPr>
          <w:rFonts w:ascii="Times New Roman" w:hAnsi="Times New Roman"/>
          <w:b/>
          <w:sz w:val="24"/>
          <w:szCs w:val="24"/>
          <w:lang w:val="en-GB"/>
        </w:rPr>
        <w:t>S</w:t>
      </w:r>
    </w:p>
    <w:p w14:paraId="2D345704" w14:textId="792682C0" w:rsidR="00914D2D" w:rsidRPr="008C7EE8" w:rsidRDefault="00914D2D" w:rsidP="00914D2D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C7EE8">
        <w:rPr>
          <w:rFonts w:ascii="Times New Roman" w:hAnsi="Times New Roman"/>
          <w:b/>
          <w:sz w:val="24"/>
          <w:szCs w:val="24"/>
          <w:lang w:val="en-US"/>
        </w:rPr>
        <w:t>Table S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 w:rsidRPr="008C7EE8">
        <w:rPr>
          <w:rFonts w:ascii="Times New Roman" w:hAnsi="Times New Roman"/>
          <w:b/>
          <w:sz w:val="24"/>
          <w:szCs w:val="24"/>
          <w:lang w:val="en-US"/>
        </w:rPr>
        <w:t>. Immune cells populations in peripheral blood and Immunoglobulin (Ig) levels.</w:t>
      </w:r>
    </w:p>
    <w:tbl>
      <w:tblPr>
        <w:tblW w:w="9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9"/>
        <w:gridCol w:w="1418"/>
        <w:gridCol w:w="1701"/>
        <w:gridCol w:w="1843"/>
        <w:gridCol w:w="1275"/>
        <w:gridCol w:w="1787"/>
      </w:tblGrid>
      <w:tr w:rsidR="00914D2D" w:rsidRPr="00750A44" w14:paraId="6E83A490" w14:textId="77777777" w:rsidTr="00AC7553">
        <w:trPr>
          <w:trHeight w:val="317"/>
          <w:jc w:val="center"/>
        </w:trPr>
        <w:tc>
          <w:tcPr>
            <w:tcW w:w="1359" w:type="dxa"/>
            <w:tcBorders>
              <w:top w:val="threeDEmboss" w:sz="12" w:space="0" w:color="auto"/>
              <w:left w:val="threeDEmboss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FB07EC" w14:textId="77777777" w:rsidR="00914D2D" w:rsidRPr="00750A44" w:rsidRDefault="00914D2D" w:rsidP="00AC7553">
            <w:pPr>
              <w:rPr>
                <w:rFonts w:ascii="Times New Roman" w:hAnsi="Times New Roman"/>
                <w:b/>
                <w:color w:val="222222"/>
                <w:sz w:val="28"/>
                <w:szCs w:val="28"/>
                <w:lang w:val="en-US"/>
              </w:rPr>
            </w:pPr>
            <w:r w:rsidRPr="00750A44">
              <w:rPr>
                <w:rFonts w:ascii="Times New Roman" w:hAnsi="Times New Roman"/>
                <w:b/>
                <w:color w:val="222222"/>
                <w:sz w:val="28"/>
                <w:szCs w:val="28"/>
                <w:lang w:val="en-US"/>
              </w:rPr>
              <w:t>A</w:t>
            </w:r>
          </w:p>
        </w:tc>
        <w:tc>
          <w:tcPr>
            <w:tcW w:w="1418" w:type="dxa"/>
            <w:tcBorders>
              <w:top w:val="threeDEmboss" w:sz="12" w:space="0" w:color="auto"/>
              <w:left w:val="dotted" w:sz="4" w:space="0" w:color="auto"/>
            </w:tcBorders>
            <w:vAlign w:val="center"/>
          </w:tcPr>
          <w:p w14:paraId="786BCFE8" w14:textId="77777777" w:rsidR="00914D2D" w:rsidRPr="00750A44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750A4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P1</w:t>
            </w:r>
          </w:p>
        </w:tc>
        <w:tc>
          <w:tcPr>
            <w:tcW w:w="1701" w:type="dxa"/>
            <w:tcBorders>
              <w:top w:val="threeDEmboss" w:sz="12" w:space="0" w:color="auto"/>
              <w:right w:val="threeDEmboss" w:sz="12" w:space="0" w:color="auto"/>
            </w:tcBorders>
            <w:vAlign w:val="center"/>
          </w:tcPr>
          <w:p w14:paraId="5B13FC0E" w14:textId="77777777" w:rsidR="00914D2D" w:rsidRPr="00750A44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750A4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Healthy controls</w:t>
            </w:r>
            <w:r w:rsidRPr="00750A44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4905" w:type="dxa"/>
            <w:gridSpan w:val="3"/>
            <w:tcBorders>
              <w:top w:val="threeDEmboss" w:sz="12" w:space="0" w:color="auto"/>
              <w:right w:val="threeDEmboss" w:sz="12" w:space="0" w:color="auto"/>
            </w:tcBorders>
          </w:tcPr>
          <w:p w14:paraId="28B979D5" w14:textId="77777777" w:rsidR="00914D2D" w:rsidRPr="00750A44" w:rsidRDefault="00914D2D" w:rsidP="00AC7553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GB"/>
              </w:rPr>
              <w:t>B</w:t>
            </w:r>
          </w:p>
        </w:tc>
      </w:tr>
      <w:tr w:rsidR="00914D2D" w:rsidRPr="00CA5D26" w14:paraId="30EF87F2" w14:textId="77777777" w:rsidTr="00AC7553">
        <w:trPr>
          <w:trHeight w:val="324"/>
          <w:jc w:val="center"/>
        </w:trPr>
        <w:tc>
          <w:tcPr>
            <w:tcW w:w="1359" w:type="dxa"/>
            <w:tcBorders>
              <w:top w:val="dotted" w:sz="4" w:space="0" w:color="auto"/>
              <w:left w:val="threeDEmboss" w:sz="12" w:space="0" w:color="auto"/>
            </w:tcBorders>
            <w:vAlign w:val="center"/>
          </w:tcPr>
          <w:p w14:paraId="4B4D0D64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Haemoglobin</w:t>
            </w:r>
          </w:p>
        </w:tc>
        <w:tc>
          <w:tcPr>
            <w:tcW w:w="1418" w:type="dxa"/>
            <w:vAlign w:val="center"/>
          </w:tcPr>
          <w:p w14:paraId="66079084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highlight w:val="yellow"/>
                <w:lang w:val="en-US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111 g/L</w:t>
            </w:r>
          </w:p>
        </w:tc>
        <w:tc>
          <w:tcPr>
            <w:tcW w:w="1701" w:type="dxa"/>
            <w:tcBorders>
              <w:right w:val="threeDEmboss" w:sz="12" w:space="0" w:color="auto"/>
            </w:tcBorders>
            <w:vAlign w:val="center"/>
          </w:tcPr>
          <w:p w14:paraId="4B3FF3F7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A5D26">
              <w:rPr>
                <w:rFonts w:ascii="Times New Roman" w:hAnsi="Times New Roman"/>
                <w:sz w:val="20"/>
                <w:szCs w:val="20"/>
                <w:lang w:val="en-US"/>
              </w:rPr>
              <w:t>115-135 g/L</w:t>
            </w:r>
          </w:p>
        </w:tc>
        <w:tc>
          <w:tcPr>
            <w:tcW w:w="1843" w:type="dxa"/>
            <w:tcBorders>
              <w:top w:val="dotted" w:sz="4" w:space="0" w:color="auto"/>
              <w:left w:val="threeDEmboss" w:sz="12" w:space="0" w:color="auto"/>
            </w:tcBorders>
            <w:vAlign w:val="center"/>
          </w:tcPr>
          <w:p w14:paraId="6F7F26AA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Immunoglobulin</w:t>
            </w:r>
          </w:p>
        </w:tc>
        <w:tc>
          <w:tcPr>
            <w:tcW w:w="1275" w:type="dxa"/>
            <w:tcBorders>
              <w:top w:val="dotted" w:sz="4" w:space="0" w:color="auto"/>
            </w:tcBorders>
            <w:vAlign w:val="center"/>
          </w:tcPr>
          <w:p w14:paraId="7BFB4316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Values g/L</w:t>
            </w:r>
          </w:p>
        </w:tc>
        <w:tc>
          <w:tcPr>
            <w:tcW w:w="1787" w:type="dxa"/>
            <w:tcBorders>
              <w:top w:val="dotted" w:sz="4" w:space="0" w:color="auto"/>
              <w:right w:val="threeDEmboss" w:sz="12" w:space="0" w:color="auto"/>
            </w:tcBorders>
          </w:tcPr>
          <w:p w14:paraId="7149A298" w14:textId="77777777" w:rsidR="00914D2D" w:rsidRPr="006519F2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6519F2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Reference values</w:t>
            </w:r>
          </w:p>
        </w:tc>
      </w:tr>
      <w:tr w:rsidR="00914D2D" w:rsidRPr="00CA5D26" w14:paraId="29ED844E" w14:textId="77777777" w:rsidTr="00AC7553">
        <w:trPr>
          <w:trHeight w:val="188"/>
          <w:jc w:val="center"/>
        </w:trPr>
        <w:tc>
          <w:tcPr>
            <w:tcW w:w="1359" w:type="dxa"/>
            <w:tcBorders>
              <w:left w:val="threeDEmboss" w:sz="12" w:space="0" w:color="auto"/>
            </w:tcBorders>
            <w:vAlign w:val="center"/>
          </w:tcPr>
          <w:p w14:paraId="703F29F3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WBC</w:t>
            </w:r>
          </w:p>
        </w:tc>
        <w:tc>
          <w:tcPr>
            <w:tcW w:w="1418" w:type="dxa"/>
            <w:vAlign w:val="center"/>
          </w:tcPr>
          <w:p w14:paraId="423943B7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18.99</w:t>
            </w:r>
          </w:p>
        </w:tc>
        <w:tc>
          <w:tcPr>
            <w:tcW w:w="1701" w:type="dxa"/>
            <w:tcBorders>
              <w:right w:val="threeDEmboss" w:sz="12" w:space="0" w:color="auto"/>
            </w:tcBorders>
            <w:vAlign w:val="center"/>
          </w:tcPr>
          <w:p w14:paraId="29E7A7D0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5D26">
              <w:rPr>
                <w:rFonts w:ascii="Times New Roman" w:hAnsi="Times New Roman"/>
                <w:sz w:val="20"/>
                <w:szCs w:val="20"/>
              </w:rPr>
              <w:t>6.0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  <w:r w:rsidRPr="00CA5D26">
              <w:rPr>
                <w:rFonts w:ascii="Times New Roman" w:hAnsi="Times New Roman"/>
                <w:sz w:val="20"/>
                <w:szCs w:val="20"/>
              </w:rPr>
              <w:t>-17.5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1843" w:type="dxa"/>
            <w:tcBorders>
              <w:left w:val="threeDEmboss" w:sz="12" w:space="0" w:color="auto"/>
            </w:tcBorders>
            <w:vAlign w:val="center"/>
          </w:tcPr>
          <w:p w14:paraId="371D925B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IgG</w:t>
            </w:r>
          </w:p>
        </w:tc>
        <w:tc>
          <w:tcPr>
            <w:tcW w:w="1275" w:type="dxa"/>
            <w:vAlign w:val="center"/>
          </w:tcPr>
          <w:p w14:paraId="048484F4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6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.00</w:t>
            </w:r>
          </w:p>
        </w:tc>
        <w:tc>
          <w:tcPr>
            <w:tcW w:w="1787" w:type="dxa"/>
            <w:tcBorders>
              <w:right w:val="threeDEmboss" w:sz="12" w:space="0" w:color="auto"/>
            </w:tcBorders>
          </w:tcPr>
          <w:p w14:paraId="6AED3A96" w14:textId="77777777" w:rsidR="00914D2D" w:rsidRPr="006519F2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19F2">
              <w:rPr>
                <w:rFonts w:ascii="Times New Roman" w:hAnsi="Times New Roman"/>
                <w:sz w:val="20"/>
                <w:szCs w:val="20"/>
              </w:rPr>
              <w:t>3.5 – 16.2 g/L</w:t>
            </w:r>
          </w:p>
        </w:tc>
      </w:tr>
      <w:tr w:rsidR="00914D2D" w:rsidRPr="00CA5D26" w14:paraId="1810BEC7" w14:textId="77777777" w:rsidTr="00AC7553">
        <w:trPr>
          <w:trHeight w:val="344"/>
          <w:jc w:val="center"/>
        </w:trPr>
        <w:tc>
          <w:tcPr>
            <w:tcW w:w="1359" w:type="dxa"/>
            <w:tcBorders>
              <w:left w:val="threeDEmboss" w:sz="12" w:space="0" w:color="auto"/>
            </w:tcBorders>
            <w:vAlign w:val="center"/>
          </w:tcPr>
          <w:p w14:paraId="17F968E6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Neutrophils</w:t>
            </w:r>
          </w:p>
        </w:tc>
        <w:tc>
          <w:tcPr>
            <w:tcW w:w="1418" w:type="dxa"/>
            <w:vAlign w:val="center"/>
          </w:tcPr>
          <w:p w14:paraId="5639FABF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highlight w:val="yellow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3.98</w:t>
            </w:r>
          </w:p>
        </w:tc>
        <w:tc>
          <w:tcPr>
            <w:tcW w:w="1701" w:type="dxa"/>
            <w:tcBorders>
              <w:right w:val="threeDEmboss" w:sz="12" w:space="0" w:color="auto"/>
            </w:tcBorders>
            <w:vAlign w:val="center"/>
          </w:tcPr>
          <w:p w14:paraId="09555E43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5D26">
              <w:rPr>
                <w:rFonts w:ascii="Times New Roman" w:hAnsi="Times New Roman"/>
                <w:sz w:val="20"/>
                <w:szCs w:val="20"/>
              </w:rPr>
              <w:t>1.5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  <w:r w:rsidRPr="00CA5D26">
              <w:rPr>
                <w:rFonts w:ascii="Times New Roman" w:hAnsi="Times New Roman"/>
                <w:sz w:val="20"/>
                <w:szCs w:val="20"/>
              </w:rPr>
              <w:t>-8.5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1843" w:type="dxa"/>
            <w:tcBorders>
              <w:left w:val="threeDEmboss" w:sz="12" w:space="0" w:color="auto"/>
            </w:tcBorders>
            <w:vAlign w:val="center"/>
          </w:tcPr>
          <w:p w14:paraId="2B0DE0E5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IgA</w:t>
            </w:r>
          </w:p>
        </w:tc>
        <w:tc>
          <w:tcPr>
            <w:tcW w:w="1275" w:type="dxa"/>
            <w:vAlign w:val="center"/>
          </w:tcPr>
          <w:p w14:paraId="4E797FA4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&lt;0.50</w:t>
            </w:r>
          </w:p>
        </w:tc>
        <w:tc>
          <w:tcPr>
            <w:tcW w:w="1787" w:type="dxa"/>
            <w:tcBorders>
              <w:right w:val="threeDEmboss" w:sz="12" w:space="0" w:color="auto"/>
            </w:tcBorders>
          </w:tcPr>
          <w:p w14:paraId="2622973D" w14:textId="77777777" w:rsidR="00914D2D" w:rsidRPr="006519F2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19F2">
              <w:rPr>
                <w:rFonts w:ascii="Times New Roman" w:hAnsi="Times New Roman"/>
                <w:sz w:val="20"/>
                <w:szCs w:val="20"/>
              </w:rPr>
              <w:t>0.01 – 0.91 g/L</w:t>
            </w:r>
          </w:p>
        </w:tc>
      </w:tr>
      <w:tr w:rsidR="00914D2D" w:rsidRPr="00CA5D26" w14:paraId="66DA8F51" w14:textId="77777777" w:rsidTr="00AC7553">
        <w:trPr>
          <w:trHeight w:val="355"/>
          <w:jc w:val="center"/>
        </w:trPr>
        <w:tc>
          <w:tcPr>
            <w:tcW w:w="1359" w:type="dxa"/>
            <w:tcBorders>
              <w:left w:val="threeDEmboss" w:sz="12" w:space="0" w:color="auto"/>
            </w:tcBorders>
            <w:vAlign w:val="center"/>
          </w:tcPr>
          <w:p w14:paraId="557393EF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Lymphocytes</w:t>
            </w:r>
          </w:p>
        </w:tc>
        <w:tc>
          <w:tcPr>
            <w:tcW w:w="1418" w:type="dxa"/>
            <w:vAlign w:val="center"/>
          </w:tcPr>
          <w:p w14:paraId="4DFF2824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highlight w:val="yellow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12.15</w:t>
            </w:r>
          </w:p>
        </w:tc>
        <w:tc>
          <w:tcPr>
            <w:tcW w:w="1701" w:type="dxa"/>
            <w:tcBorders>
              <w:right w:val="threeDEmboss" w:sz="12" w:space="0" w:color="auto"/>
            </w:tcBorders>
            <w:vAlign w:val="center"/>
          </w:tcPr>
          <w:p w14:paraId="50B3D1A2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5D26">
              <w:rPr>
                <w:rFonts w:ascii="Times New Roman" w:hAnsi="Times New Roman"/>
                <w:sz w:val="20"/>
                <w:szCs w:val="20"/>
              </w:rPr>
              <w:t>4.0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  <w:r w:rsidRPr="00CA5D26">
              <w:rPr>
                <w:rFonts w:ascii="Times New Roman" w:hAnsi="Times New Roman"/>
                <w:sz w:val="20"/>
                <w:szCs w:val="20"/>
              </w:rPr>
              <w:t>-10.5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1843" w:type="dxa"/>
            <w:tcBorders>
              <w:left w:val="threeDEmboss" w:sz="12" w:space="0" w:color="auto"/>
              <w:bottom w:val="single" w:sz="4" w:space="0" w:color="auto"/>
            </w:tcBorders>
            <w:vAlign w:val="center"/>
          </w:tcPr>
          <w:p w14:paraId="1D7E048D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IgM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68160C1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&lt;0.25</w:t>
            </w:r>
          </w:p>
        </w:tc>
        <w:tc>
          <w:tcPr>
            <w:tcW w:w="1787" w:type="dxa"/>
            <w:tcBorders>
              <w:bottom w:val="single" w:sz="4" w:space="0" w:color="auto"/>
              <w:right w:val="threeDEmboss" w:sz="12" w:space="0" w:color="auto"/>
            </w:tcBorders>
          </w:tcPr>
          <w:p w14:paraId="2C698330" w14:textId="77777777" w:rsidR="00914D2D" w:rsidRPr="006519F2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19F2">
              <w:rPr>
                <w:rFonts w:ascii="Times New Roman" w:hAnsi="Times New Roman"/>
                <w:sz w:val="20"/>
                <w:szCs w:val="20"/>
              </w:rPr>
              <w:t>0.30 – 1.83 g/L</w:t>
            </w:r>
          </w:p>
        </w:tc>
      </w:tr>
      <w:tr w:rsidR="00914D2D" w:rsidRPr="00CA5D26" w14:paraId="6B251559" w14:textId="77777777" w:rsidTr="00AC7553">
        <w:trPr>
          <w:trHeight w:val="362"/>
          <w:jc w:val="center"/>
        </w:trPr>
        <w:tc>
          <w:tcPr>
            <w:tcW w:w="1359" w:type="dxa"/>
            <w:tcBorders>
              <w:left w:val="threeDEmboss" w:sz="12" w:space="0" w:color="auto"/>
              <w:bottom w:val="threeDEmboss" w:sz="12" w:space="0" w:color="auto"/>
            </w:tcBorders>
            <w:vAlign w:val="center"/>
          </w:tcPr>
          <w:p w14:paraId="69B9102F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5D2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Monocytes</w:t>
            </w:r>
          </w:p>
        </w:tc>
        <w:tc>
          <w:tcPr>
            <w:tcW w:w="1418" w:type="dxa"/>
            <w:tcBorders>
              <w:bottom w:val="threeDEmboss" w:sz="12" w:space="0" w:color="auto"/>
            </w:tcBorders>
            <w:vAlign w:val="center"/>
          </w:tcPr>
          <w:p w14:paraId="7BAEBB47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b/>
                <w:sz w:val="20"/>
                <w:szCs w:val="20"/>
                <w:highlight w:val="yellow"/>
              </w:rPr>
            </w:pPr>
            <w:r w:rsidRPr="008C7EE8">
              <w:rPr>
                <w:rFonts w:ascii="Times New Roman" w:hAnsi="Times New Roman"/>
                <w:sz w:val="20"/>
                <w:szCs w:val="20"/>
                <w:lang w:val="en-GB"/>
              </w:rPr>
              <w:t>0.9</w:t>
            </w:r>
          </w:p>
        </w:tc>
        <w:tc>
          <w:tcPr>
            <w:tcW w:w="1701" w:type="dxa"/>
            <w:tcBorders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9539BAF" w14:textId="77777777" w:rsidR="00914D2D" w:rsidRPr="00CA5D26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5D26">
              <w:rPr>
                <w:rFonts w:ascii="Times New Roman" w:hAnsi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  <w:r w:rsidRPr="00CA5D26">
              <w:rPr>
                <w:rFonts w:ascii="Times New Roman" w:hAnsi="Times New Roman"/>
                <w:sz w:val="20"/>
                <w:szCs w:val="20"/>
              </w:rPr>
              <w:t>-1.2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4905" w:type="dxa"/>
            <w:gridSpan w:val="3"/>
            <w:tcBorders>
              <w:top w:val="single" w:sz="4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17888362" w14:textId="77777777" w:rsidR="00914D2D" w:rsidRPr="008C7EE8" w:rsidRDefault="00914D2D" w:rsidP="00AC7553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</w:p>
        </w:tc>
      </w:tr>
    </w:tbl>
    <w:p w14:paraId="08B0F3DE" w14:textId="77777777" w:rsidR="00914D2D" w:rsidRDefault="00914D2D" w:rsidP="00914D2D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07883AEF" w14:textId="557308CB" w:rsidR="00914D2D" w:rsidRPr="008C7EE8" w:rsidRDefault="00914D2D" w:rsidP="00914D2D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C7EE8">
        <w:rPr>
          <w:rFonts w:ascii="Times New Roman" w:hAnsi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US"/>
        </w:rPr>
        <w:t>S1</w:t>
      </w:r>
      <w:r w:rsidRPr="008C7EE8">
        <w:rPr>
          <w:rFonts w:ascii="Times New Roman" w:hAnsi="Times New Roman"/>
          <w:b/>
          <w:sz w:val="24"/>
          <w:szCs w:val="24"/>
          <w:lang w:val="en-US"/>
        </w:rPr>
        <w:t>. Immune cells populations in peripheral blood and Immunoglobulin (Ig) levels</w:t>
      </w:r>
    </w:p>
    <w:p w14:paraId="1049878B" w14:textId="77777777" w:rsidR="00914D2D" w:rsidRPr="008C7EE8" w:rsidRDefault="00914D2D" w:rsidP="00914D2D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C7EE8">
        <w:rPr>
          <w:rFonts w:ascii="Times New Roman" w:hAnsi="Times New Roman"/>
          <w:b/>
          <w:sz w:val="24"/>
          <w:szCs w:val="24"/>
          <w:lang w:val="en-US"/>
        </w:rPr>
        <w:t xml:space="preserve">(A) </w:t>
      </w:r>
      <w:r w:rsidRPr="008C7EE8">
        <w:rPr>
          <w:rFonts w:ascii="Times New Roman" w:hAnsi="Times New Roman"/>
          <w:sz w:val="24"/>
          <w:szCs w:val="24"/>
          <w:lang w:val="en-US"/>
        </w:rPr>
        <w:t>Distribution of P1’s</w:t>
      </w:r>
      <w:r w:rsidRPr="008C7EE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8C7EE8">
        <w:rPr>
          <w:rFonts w:ascii="Times New Roman" w:hAnsi="Times New Roman"/>
          <w:sz w:val="24"/>
          <w:szCs w:val="24"/>
          <w:lang w:val="en-US"/>
        </w:rPr>
        <w:t>immune</w:t>
      </w:r>
      <w:r w:rsidRPr="008C7EE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8C7EE8">
        <w:rPr>
          <w:rFonts w:ascii="Times New Roman" w:hAnsi="Times New Roman"/>
          <w:sz w:val="24"/>
          <w:szCs w:val="24"/>
          <w:lang w:val="en-US"/>
        </w:rPr>
        <w:t>cell populations in peripheral blood. Absolute counts x10</w:t>
      </w:r>
      <w:r w:rsidRPr="008C7EE8">
        <w:rPr>
          <w:rFonts w:ascii="Times New Roman" w:hAnsi="Times New Roman"/>
          <w:sz w:val="24"/>
          <w:szCs w:val="24"/>
          <w:vertAlign w:val="superscript"/>
          <w:lang w:val="en-US"/>
        </w:rPr>
        <w:t>9</w:t>
      </w:r>
      <w:r w:rsidRPr="008C7EE8">
        <w:rPr>
          <w:rFonts w:ascii="Times New Roman" w:hAnsi="Times New Roman"/>
          <w:sz w:val="24"/>
          <w:szCs w:val="24"/>
          <w:lang w:val="en-US"/>
        </w:rPr>
        <w:t xml:space="preserve"> per liter of blood. </w:t>
      </w:r>
      <w:r w:rsidRPr="008C7EE8">
        <w:rPr>
          <w:rFonts w:ascii="Times New Roman" w:hAnsi="Times New Roman"/>
          <w:b/>
          <w:sz w:val="24"/>
          <w:szCs w:val="24"/>
          <w:lang w:val="en-GB"/>
        </w:rPr>
        <w:t>(</w:t>
      </w:r>
      <w:r w:rsidRPr="008C7EE8">
        <w:rPr>
          <w:rFonts w:ascii="Times New Roman" w:hAnsi="Times New Roman"/>
          <w:b/>
          <w:sz w:val="24"/>
          <w:szCs w:val="24"/>
          <w:lang w:val="en-US"/>
        </w:rPr>
        <w:t>B</w:t>
      </w:r>
      <w:r w:rsidRPr="008C7EE8">
        <w:rPr>
          <w:rFonts w:ascii="Times New Roman" w:hAnsi="Times New Roman"/>
          <w:b/>
          <w:sz w:val="24"/>
          <w:szCs w:val="24"/>
          <w:lang w:val="en-GB"/>
        </w:rPr>
        <w:t>)</w:t>
      </w:r>
      <w:r w:rsidRPr="008C7EE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8C7EE8">
        <w:rPr>
          <w:rFonts w:ascii="Times New Roman" w:hAnsi="Times New Roman"/>
          <w:sz w:val="24"/>
          <w:szCs w:val="24"/>
          <w:lang w:val="en-US"/>
        </w:rPr>
        <w:t>Immunoglobulin</w:t>
      </w:r>
      <w:r w:rsidRPr="008C7EE8">
        <w:rPr>
          <w:rFonts w:ascii="Times New Roman" w:hAnsi="Times New Roman"/>
          <w:b/>
          <w:sz w:val="24"/>
          <w:szCs w:val="24"/>
          <w:lang w:val="en-US"/>
        </w:rPr>
        <w:t xml:space="preserve"> (</w:t>
      </w:r>
      <w:r w:rsidRPr="008C7EE8">
        <w:rPr>
          <w:rFonts w:ascii="Times New Roman" w:hAnsi="Times New Roman"/>
          <w:sz w:val="24"/>
          <w:szCs w:val="24"/>
          <w:lang w:val="en-GB"/>
        </w:rPr>
        <w:t xml:space="preserve">Ig) levels (IgG, IgA and IgM) measured by nephelometry for P1. </w:t>
      </w:r>
      <w:r w:rsidRPr="008C7EE8">
        <w:rPr>
          <w:rFonts w:ascii="Times New Roman" w:hAnsi="Times New Roman"/>
          <w:sz w:val="24"/>
          <w:szCs w:val="24"/>
          <w:vertAlign w:val="superscript"/>
          <w:lang w:val="en-US"/>
        </w:rPr>
        <w:t>A</w:t>
      </w:r>
      <w:r w:rsidRPr="008C7EE8">
        <w:rPr>
          <w:rFonts w:ascii="Times New Roman" w:hAnsi="Times New Roman"/>
          <w:sz w:val="24"/>
          <w:szCs w:val="24"/>
          <w:lang w:val="en-US"/>
        </w:rPr>
        <w:t>Internal reference values age matched.</w:t>
      </w:r>
    </w:p>
    <w:p w14:paraId="67496765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0610741F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4043885A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9D2BC49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248E2353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BEDE2B8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01F9631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06D1BEA1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378ADE76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32F23D2F" w14:textId="77777777" w:rsidR="00914D2D" w:rsidRDefault="00914D2D" w:rsidP="007A2348">
      <w:pPr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3A74B700" w14:textId="639A566B" w:rsidR="007A2348" w:rsidRPr="000715D8" w:rsidRDefault="007A2348" w:rsidP="007A2348">
      <w:pPr>
        <w:rPr>
          <w:rFonts w:ascii="Times New Roman" w:hAnsi="Times New Roman"/>
          <w:b/>
          <w:bCs/>
          <w:sz w:val="24"/>
          <w:szCs w:val="24"/>
          <w:lang w:val="en-GB"/>
        </w:rPr>
      </w:pPr>
      <w:r w:rsidRPr="000715D8">
        <w:rPr>
          <w:rFonts w:ascii="Times New Roman" w:hAnsi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914D2D" w:rsidRPr="000715D8">
        <w:rPr>
          <w:rFonts w:ascii="Times New Roman" w:hAnsi="Times New Roman"/>
          <w:b/>
          <w:bCs/>
          <w:sz w:val="24"/>
          <w:szCs w:val="24"/>
          <w:lang w:val="en-GB"/>
        </w:rPr>
        <w:t>S</w:t>
      </w:r>
      <w:r w:rsidR="00914D2D">
        <w:rPr>
          <w:rFonts w:ascii="Times New Roman" w:hAnsi="Times New Roman"/>
          <w:b/>
          <w:bCs/>
          <w:sz w:val="24"/>
          <w:szCs w:val="24"/>
          <w:lang w:val="en-GB"/>
        </w:rPr>
        <w:t>2</w:t>
      </w:r>
      <w:r w:rsidRPr="000715D8">
        <w:rPr>
          <w:rFonts w:ascii="Times New Roman" w:hAnsi="Times New Roman"/>
          <w:b/>
          <w:bCs/>
          <w:sz w:val="24"/>
          <w:szCs w:val="24"/>
          <w:lang w:val="en-GB"/>
        </w:rPr>
        <w:t>. Antibodies used for mass cytometry</w:t>
      </w:r>
    </w:p>
    <w:tbl>
      <w:tblPr>
        <w:tblpPr w:leftFromText="180" w:rightFromText="180" w:vertAnchor="page" w:horzAnchor="page" w:tblpX="253" w:tblpY="2521"/>
        <w:tblW w:w="11425" w:type="dxa"/>
        <w:tblLook w:val="04A0" w:firstRow="1" w:lastRow="0" w:firstColumn="1" w:lastColumn="0" w:noHBand="0" w:noVBand="1"/>
      </w:tblPr>
      <w:tblGrid>
        <w:gridCol w:w="4118"/>
        <w:gridCol w:w="1820"/>
        <w:gridCol w:w="1847"/>
        <w:gridCol w:w="1820"/>
        <w:gridCol w:w="1820"/>
      </w:tblGrid>
      <w:tr w:rsidR="007A2348" w:rsidRPr="007A2348" w14:paraId="554E5A14" w14:textId="77777777" w:rsidTr="007A2348">
        <w:trPr>
          <w:trHeight w:val="268"/>
        </w:trPr>
        <w:tc>
          <w:tcPr>
            <w:tcW w:w="41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4CB45B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Antibody</w:t>
            </w:r>
          </w:p>
        </w:tc>
        <w:tc>
          <w:tcPr>
            <w:tcW w:w="1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3DD7A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Clone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8692E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Company</w:t>
            </w:r>
          </w:p>
        </w:tc>
        <w:tc>
          <w:tcPr>
            <w:tcW w:w="1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BEB06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Isotope</w:t>
            </w:r>
          </w:p>
        </w:tc>
        <w:tc>
          <w:tcPr>
            <w:tcW w:w="1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83909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Dilution</w:t>
            </w:r>
          </w:p>
        </w:tc>
      </w:tr>
      <w:tr w:rsidR="007A2348" w:rsidRPr="007A2348" w14:paraId="0CDB4B8F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9E282B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CD45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1BD6AF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H130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ABD6052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E24F46A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89Y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AC1836A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59C84BBE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5C7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AE1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HIB19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CF3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AAF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142Nd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4C3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65510B1A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40EA49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127/IL7Ra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0CD3C9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A019D5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C9BA51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A180FA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143Nd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81E813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36FE9E9C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CDA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0DA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HIT2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A4DA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147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144Nd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E7D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2AEB596B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117A46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IgD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30B0C8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IA6-2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9ECCD0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C8300B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146Nd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8BECDD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78DE13C7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2D1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CD11c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E52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Bu15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EC4D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C055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147Sm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8DE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211C4EEB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AA9C31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DADFE5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3G8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702C68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08776C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148Nd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7E541D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1B7447A6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577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Anti-Human CD194/CCR4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AF7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L291H4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973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A51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149Sm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A04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1C8F754C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6ED5C1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Anti-Human CD123/IL-3R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AF274F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6H6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27EBBD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2F90E4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151Eu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7A5BEA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15DC3DFC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955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Anti-Human TCRgd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FA7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11F2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E632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CC8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152Sm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320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7B079019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D42BC6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Anti-Human CD185/CXCR5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44346D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RF8B2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401642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46BC89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153Eu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5FA3672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497A79BD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035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Anti-Human CD3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29C2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UCHT1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ADA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9FA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154Sm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CE8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115FBBD5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A9D352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CD45RA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C0C1B4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HI100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77FB9B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A04F84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155Gd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BB672D2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43D936DA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902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F83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L128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6F7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CF2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158Gd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4FE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00CE8DC9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F1A176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CD28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70155FD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CD28.2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94C96F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A48433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160Gd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1478BE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5904AFDB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175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CD66b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046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80H3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BCD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694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162Dy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34E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35362116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3DB484A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CD183/CXCR3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E710FA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G025H7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272728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BA07E5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163Dy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71C56A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2910F7F9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149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EFA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HP-3G10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8FE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CB3D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164Dy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997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66F6EABE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B05E1B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CD45RO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BB06C7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UCHL1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A3ED6C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7C30C6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165Ho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0C093E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0EB161C7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757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CD24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DBB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ML5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45D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D42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166Er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77B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72B54839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600CEE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CD197/CCR7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80E7C4A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G043H7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EC2ECD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704B24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167Er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A38DE4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55B01597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B682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602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SK1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C57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35C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168Er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CFD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108E026A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F391B5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CD25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CD9EDF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2A3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F8BA42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B26451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169Tm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634542D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41A893CD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5B9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D42D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2H7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82C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3AF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171Yb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565A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1F0262F8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B3AEFC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HLA-DR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F0E342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L243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EF3D4A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B31B04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173Yb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C449B3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2517DE14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988A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B4C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SK3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386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7AAA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174Yb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D54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0CC73514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FAF795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9CEAA7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NCAM16.2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86D6E7D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934AF84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176Yb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53E296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1:50</w:t>
            </w:r>
          </w:p>
        </w:tc>
      </w:tr>
      <w:tr w:rsidR="007A2348" w:rsidRPr="007A2348" w14:paraId="0FCCE4A4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FFE1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3CB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G034E3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355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2F3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141Pr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E87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1:25</w:t>
            </w:r>
          </w:p>
        </w:tc>
      </w:tr>
      <w:tr w:rsidR="007A2348" w:rsidRPr="007A2348" w14:paraId="2DFF2302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26C1F06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8EF12E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M5E2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6B50D1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Fluidigm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AC34D9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175Lu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1859DA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1:25</w:t>
            </w:r>
          </w:p>
        </w:tc>
      </w:tr>
      <w:tr w:rsidR="007A2348" w:rsidRPr="007A2348" w14:paraId="31B688DC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D4E0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CD117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645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104D2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956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7FF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150Nd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D23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1:25</w:t>
            </w:r>
          </w:p>
        </w:tc>
      </w:tr>
      <w:tr w:rsidR="007A2348" w:rsidRPr="007A2348" w14:paraId="5D724639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2AD239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 xml:space="preserve">Anti-Human TCR Vα24/Jα18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73AE5C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6B11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98E6E57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82BF86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156Gb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9E4E6AC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1:25</w:t>
            </w:r>
          </w:p>
        </w:tc>
      </w:tr>
      <w:tr w:rsidR="007A2348" w:rsidRPr="007A2348" w14:paraId="3663F570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EEB9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Anti-Human TCR Vα7.2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E5E8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3C10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BFA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8493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159Tb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D9BE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1:25</w:t>
            </w:r>
          </w:p>
        </w:tc>
      </w:tr>
      <w:tr w:rsidR="007A2348" w:rsidRPr="007A2348" w14:paraId="1C4254E1" w14:textId="77777777" w:rsidTr="007A2348">
        <w:trPr>
          <w:trHeight w:val="268"/>
        </w:trPr>
        <w:tc>
          <w:tcPr>
            <w:tcW w:w="41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14:paraId="33CB91FF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Anti-Human CD294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14:paraId="23ACA1F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BM16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14:paraId="30CED275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14:paraId="096C95CB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161Dy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14:paraId="25BB4492" w14:textId="77777777" w:rsidR="007A2348" w:rsidRPr="007A2348" w:rsidRDefault="007A2348" w:rsidP="007A234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A234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1:25</w:t>
            </w:r>
          </w:p>
        </w:tc>
      </w:tr>
    </w:tbl>
    <w:p w14:paraId="6C463B73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584E30BA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62A302E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4B873D63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1E4ACF5E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3701F8CE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61B2BE64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213EEE14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06403063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678D0580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281900E7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62446BFE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5EFD373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0C8FDD5D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062BF28F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5F050D26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5FD6434B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39E081F1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4E5D164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2F9ED72D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BB197E9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671DB92F" w14:textId="77777777" w:rsidR="007A2348" w:rsidRDefault="007A2348" w:rsidP="001F00E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5189DBCF" w14:textId="77777777" w:rsidR="001F00E1" w:rsidRPr="00750A44" w:rsidRDefault="001F00E1" w:rsidP="001F00E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b/>
          <w:bCs/>
          <w:lang w:val="en-GB"/>
        </w:rPr>
      </w:pPr>
    </w:p>
    <w:p w14:paraId="19B5B5C8" w14:textId="495FAAD9" w:rsidR="007A2348" w:rsidRPr="001F00E1" w:rsidRDefault="007A2348" w:rsidP="001F00E1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C7EE8" w:rsidDel="007A234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</w:p>
    <w:sectPr w:rsidR="007A2348" w:rsidRPr="001F00E1" w:rsidSect="007615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2902F6D" w16cid:durableId="249FC198"/>
  <w16cid:commentId w16cid:paraId="207853F9" w16cid:durableId="249FC194"/>
  <w16cid:commentId w16cid:paraId="433A362C" w16cid:durableId="24A2AA2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6CE936" w14:textId="77777777" w:rsidR="00515688" w:rsidRDefault="00515688" w:rsidP="00923BD0">
      <w:pPr>
        <w:spacing w:after="0" w:line="240" w:lineRule="auto"/>
      </w:pPr>
      <w:r>
        <w:separator/>
      </w:r>
    </w:p>
  </w:endnote>
  <w:endnote w:type="continuationSeparator" w:id="0">
    <w:p w14:paraId="5E577B01" w14:textId="77777777" w:rsidR="00515688" w:rsidRDefault="00515688" w:rsidP="0092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1B678C" w14:textId="77777777" w:rsidR="00515688" w:rsidRDefault="00515688" w:rsidP="00923BD0">
      <w:pPr>
        <w:spacing w:after="0" w:line="240" w:lineRule="auto"/>
      </w:pPr>
      <w:r>
        <w:separator/>
      </w:r>
    </w:p>
  </w:footnote>
  <w:footnote w:type="continuationSeparator" w:id="0">
    <w:p w14:paraId="2D15F2B3" w14:textId="77777777" w:rsidR="00515688" w:rsidRDefault="00515688" w:rsidP="00923B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wszQ2NjYxMjc0MzJV0lEKTi0uzszPAykwrAUA9ecRgiwAAAA="/>
  </w:docVars>
  <w:rsids>
    <w:rsidRoot w:val="000B3501"/>
    <w:rsid w:val="00034BA2"/>
    <w:rsid w:val="00041BA4"/>
    <w:rsid w:val="00053031"/>
    <w:rsid w:val="00053FEE"/>
    <w:rsid w:val="000715D8"/>
    <w:rsid w:val="00092BA6"/>
    <w:rsid w:val="000932DF"/>
    <w:rsid w:val="000A3A43"/>
    <w:rsid w:val="000B1FAB"/>
    <w:rsid w:val="000B3501"/>
    <w:rsid w:val="000B5C74"/>
    <w:rsid w:val="000C594E"/>
    <w:rsid w:val="000C59B1"/>
    <w:rsid w:val="000C7C96"/>
    <w:rsid w:val="000F198B"/>
    <w:rsid w:val="00130DAE"/>
    <w:rsid w:val="00135179"/>
    <w:rsid w:val="00162F73"/>
    <w:rsid w:val="00182FAE"/>
    <w:rsid w:val="001979C7"/>
    <w:rsid w:val="001C4BD4"/>
    <w:rsid w:val="001D61B4"/>
    <w:rsid w:val="001F00E1"/>
    <w:rsid w:val="001F440A"/>
    <w:rsid w:val="00227D14"/>
    <w:rsid w:val="00251AF0"/>
    <w:rsid w:val="002839CF"/>
    <w:rsid w:val="00291507"/>
    <w:rsid w:val="002F09BC"/>
    <w:rsid w:val="002F2E53"/>
    <w:rsid w:val="0032537D"/>
    <w:rsid w:val="00332E54"/>
    <w:rsid w:val="00340B65"/>
    <w:rsid w:val="00347817"/>
    <w:rsid w:val="00391ECF"/>
    <w:rsid w:val="003A4C1D"/>
    <w:rsid w:val="003A5D93"/>
    <w:rsid w:val="003B3390"/>
    <w:rsid w:val="003B59BB"/>
    <w:rsid w:val="003F13F6"/>
    <w:rsid w:val="003F5908"/>
    <w:rsid w:val="004059E0"/>
    <w:rsid w:val="00407DFF"/>
    <w:rsid w:val="00422D6C"/>
    <w:rsid w:val="00493FD7"/>
    <w:rsid w:val="004A77BB"/>
    <w:rsid w:val="004B34E7"/>
    <w:rsid w:val="004C0D76"/>
    <w:rsid w:val="004D2D09"/>
    <w:rsid w:val="004D7A44"/>
    <w:rsid w:val="00515688"/>
    <w:rsid w:val="0052382E"/>
    <w:rsid w:val="005501F4"/>
    <w:rsid w:val="005527CB"/>
    <w:rsid w:val="005760AF"/>
    <w:rsid w:val="00590CA3"/>
    <w:rsid w:val="005A20C2"/>
    <w:rsid w:val="005B2EBC"/>
    <w:rsid w:val="005F3CE3"/>
    <w:rsid w:val="00634FA2"/>
    <w:rsid w:val="00636B44"/>
    <w:rsid w:val="00670D59"/>
    <w:rsid w:val="006B1DBF"/>
    <w:rsid w:val="006D381A"/>
    <w:rsid w:val="006F0D9E"/>
    <w:rsid w:val="00715B37"/>
    <w:rsid w:val="0072266C"/>
    <w:rsid w:val="007303A1"/>
    <w:rsid w:val="007448E9"/>
    <w:rsid w:val="00761550"/>
    <w:rsid w:val="0076474F"/>
    <w:rsid w:val="007A2348"/>
    <w:rsid w:val="007A4F10"/>
    <w:rsid w:val="007B0D74"/>
    <w:rsid w:val="007E016B"/>
    <w:rsid w:val="007E710D"/>
    <w:rsid w:val="007F0623"/>
    <w:rsid w:val="00802081"/>
    <w:rsid w:val="008104AD"/>
    <w:rsid w:val="00825A4D"/>
    <w:rsid w:val="00825BD5"/>
    <w:rsid w:val="00856327"/>
    <w:rsid w:val="0090225C"/>
    <w:rsid w:val="00914D2D"/>
    <w:rsid w:val="00923BD0"/>
    <w:rsid w:val="00934B2B"/>
    <w:rsid w:val="009432AE"/>
    <w:rsid w:val="00956F9E"/>
    <w:rsid w:val="00960D97"/>
    <w:rsid w:val="009755CA"/>
    <w:rsid w:val="009C40BD"/>
    <w:rsid w:val="009C6947"/>
    <w:rsid w:val="009D7E77"/>
    <w:rsid w:val="009E210E"/>
    <w:rsid w:val="009E43B6"/>
    <w:rsid w:val="009E78DA"/>
    <w:rsid w:val="009E7EEB"/>
    <w:rsid w:val="009F501E"/>
    <w:rsid w:val="009F7164"/>
    <w:rsid w:val="00A22041"/>
    <w:rsid w:val="00A24E4F"/>
    <w:rsid w:val="00A35A35"/>
    <w:rsid w:val="00A362B3"/>
    <w:rsid w:val="00A64AC1"/>
    <w:rsid w:val="00A6654F"/>
    <w:rsid w:val="00A92636"/>
    <w:rsid w:val="00AA67C3"/>
    <w:rsid w:val="00AF0455"/>
    <w:rsid w:val="00B02181"/>
    <w:rsid w:val="00B023A2"/>
    <w:rsid w:val="00B028FF"/>
    <w:rsid w:val="00B149B5"/>
    <w:rsid w:val="00B71D9E"/>
    <w:rsid w:val="00B742A1"/>
    <w:rsid w:val="00BA2E04"/>
    <w:rsid w:val="00BC2C84"/>
    <w:rsid w:val="00BE5E54"/>
    <w:rsid w:val="00BE72D8"/>
    <w:rsid w:val="00C5213B"/>
    <w:rsid w:val="00C551A4"/>
    <w:rsid w:val="00C557A8"/>
    <w:rsid w:val="00C72E7A"/>
    <w:rsid w:val="00CA2A01"/>
    <w:rsid w:val="00CD1B08"/>
    <w:rsid w:val="00CE1A07"/>
    <w:rsid w:val="00CF6966"/>
    <w:rsid w:val="00D05D7C"/>
    <w:rsid w:val="00D17D49"/>
    <w:rsid w:val="00D24570"/>
    <w:rsid w:val="00D33FF6"/>
    <w:rsid w:val="00D64DB6"/>
    <w:rsid w:val="00D77780"/>
    <w:rsid w:val="00D810D2"/>
    <w:rsid w:val="00D823A5"/>
    <w:rsid w:val="00DA16FD"/>
    <w:rsid w:val="00DC6BF2"/>
    <w:rsid w:val="00DD0661"/>
    <w:rsid w:val="00DD3A60"/>
    <w:rsid w:val="00DD3D8E"/>
    <w:rsid w:val="00E2334A"/>
    <w:rsid w:val="00E315B6"/>
    <w:rsid w:val="00E51EFE"/>
    <w:rsid w:val="00E67034"/>
    <w:rsid w:val="00E67C51"/>
    <w:rsid w:val="00E77969"/>
    <w:rsid w:val="00EB0916"/>
    <w:rsid w:val="00EE6721"/>
    <w:rsid w:val="00F10841"/>
    <w:rsid w:val="00F2368A"/>
    <w:rsid w:val="00F238C5"/>
    <w:rsid w:val="00F6786F"/>
    <w:rsid w:val="00FA06CC"/>
    <w:rsid w:val="00FA3C65"/>
    <w:rsid w:val="00FC503A"/>
    <w:rsid w:val="00FD599C"/>
    <w:rsid w:val="00FE601E"/>
    <w:rsid w:val="00FE75ED"/>
    <w:rsid w:val="00FE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3EA3C64"/>
  <w15:docId w15:val="{3F94E3C9-B52B-0E46-8ACD-DDC7D7678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2041"/>
    <w:pPr>
      <w:spacing w:after="160" w:line="259" w:lineRule="auto"/>
    </w:pPr>
    <w:rPr>
      <w:rFonts w:ascii="Calibri" w:eastAsia="Calibri" w:hAnsi="Calibri"/>
      <w:sz w:val="22"/>
      <w:szCs w:val="22"/>
      <w:lang w:val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41BA4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">
    <w:name w:val="st"/>
    <w:rsid w:val="000B3501"/>
  </w:style>
  <w:style w:type="character" w:styleId="nfasis">
    <w:name w:val="Emphasis"/>
    <w:uiPriority w:val="20"/>
    <w:qFormat/>
    <w:rsid w:val="000B3501"/>
    <w:rPr>
      <w:i/>
      <w:iCs/>
    </w:rPr>
  </w:style>
  <w:style w:type="character" w:customStyle="1" w:styleId="acopre">
    <w:name w:val="acopre"/>
    <w:rsid w:val="00BC2C84"/>
  </w:style>
  <w:style w:type="character" w:customStyle="1" w:styleId="Ttulo3Car">
    <w:name w:val="Título 3 Car"/>
    <w:link w:val="Ttulo3"/>
    <w:uiPriority w:val="9"/>
    <w:semiHidden/>
    <w:rsid w:val="00041BA4"/>
    <w:rPr>
      <w:rFonts w:ascii="Calibri Light" w:hAnsi="Calibri Light"/>
      <w:b/>
      <w:bCs/>
      <w:sz w:val="26"/>
      <w:szCs w:val="26"/>
      <w:lang w:eastAsia="en-US"/>
    </w:rPr>
  </w:style>
  <w:style w:type="paragraph" w:customStyle="1" w:styleId="p">
    <w:name w:val="p"/>
    <w:basedOn w:val="Normal"/>
    <w:rsid w:val="00041B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A64AC1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rsid w:val="00A64AC1"/>
  </w:style>
  <w:style w:type="character" w:styleId="Refdecomentario">
    <w:name w:val="annotation reference"/>
    <w:semiHidden/>
    <w:unhideWhenUsed/>
    <w:rsid w:val="00A22041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A22041"/>
    <w:rPr>
      <w:sz w:val="20"/>
      <w:szCs w:val="20"/>
    </w:rPr>
  </w:style>
  <w:style w:type="character" w:customStyle="1" w:styleId="TextocomentarioCar">
    <w:name w:val="Texto comentario Car"/>
    <w:link w:val="Textocomentario"/>
    <w:semiHidden/>
    <w:rsid w:val="00A22041"/>
    <w:rPr>
      <w:rFonts w:ascii="Calibri" w:eastAsia="Calibri" w:hAnsi="Calibri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A22041"/>
    <w:rPr>
      <w:b/>
      <w:bCs/>
    </w:rPr>
  </w:style>
  <w:style w:type="character" w:customStyle="1" w:styleId="AsuntodelcomentarioCar">
    <w:name w:val="Asunto del comentario Car"/>
    <w:link w:val="Asuntodelcomentario"/>
    <w:semiHidden/>
    <w:rsid w:val="00A22041"/>
    <w:rPr>
      <w:rFonts w:ascii="Calibri" w:eastAsia="Calibri" w:hAnsi="Calibri"/>
      <w:b/>
      <w:bCs/>
      <w:lang w:val="en-GB"/>
    </w:rPr>
  </w:style>
  <w:style w:type="paragraph" w:styleId="Textodeglobo">
    <w:name w:val="Balloon Text"/>
    <w:basedOn w:val="Normal"/>
    <w:link w:val="TextodegloboCar"/>
    <w:semiHidden/>
    <w:unhideWhenUsed/>
    <w:rsid w:val="00162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semiHidden/>
    <w:rsid w:val="00162F73"/>
    <w:rPr>
      <w:rFonts w:ascii="Segoe UI" w:eastAsia="Calibri" w:hAnsi="Segoe UI" w:cs="Segoe UI"/>
      <w:sz w:val="18"/>
      <w:szCs w:val="18"/>
      <w:lang w:eastAsia="en-US"/>
    </w:rPr>
  </w:style>
  <w:style w:type="character" w:styleId="Hipervnculo">
    <w:name w:val="Hyperlink"/>
    <w:uiPriority w:val="99"/>
    <w:semiHidden/>
    <w:unhideWhenUsed/>
    <w:rsid w:val="00F6786F"/>
    <w:rPr>
      <w:color w:val="0000FF"/>
      <w:u w:val="single"/>
    </w:rPr>
  </w:style>
  <w:style w:type="character" w:customStyle="1" w:styleId="apple-converted-space">
    <w:name w:val="apple-converted-space"/>
    <w:rsid w:val="00391ECF"/>
  </w:style>
  <w:style w:type="paragraph" w:styleId="Revisin">
    <w:name w:val="Revision"/>
    <w:hidden/>
    <w:uiPriority w:val="99"/>
    <w:semiHidden/>
    <w:rsid w:val="00B149B5"/>
    <w:rPr>
      <w:rFonts w:ascii="Calibri" w:eastAsia="Calibri" w:hAnsi="Calibri"/>
      <w:sz w:val="22"/>
      <w:szCs w:val="22"/>
      <w:lang w:val="es-ES"/>
    </w:rPr>
  </w:style>
  <w:style w:type="paragraph" w:styleId="Encabezado">
    <w:name w:val="header"/>
    <w:basedOn w:val="Normal"/>
    <w:link w:val="EncabezadoCar"/>
    <w:unhideWhenUsed/>
    <w:rsid w:val="00923BD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link w:val="Encabezado"/>
    <w:rsid w:val="00923BD0"/>
    <w:rPr>
      <w:rFonts w:ascii="Calibri" w:eastAsia="Calibri" w:hAnsi="Calibri"/>
      <w:sz w:val="22"/>
      <w:szCs w:val="22"/>
      <w:lang w:val="es-ES"/>
    </w:rPr>
  </w:style>
  <w:style w:type="paragraph" w:styleId="Piedepgina">
    <w:name w:val="footer"/>
    <w:basedOn w:val="Normal"/>
    <w:link w:val="PiedepginaCar"/>
    <w:unhideWhenUsed/>
    <w:rsid w:val="00923BD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link w:val="Piedepgina"/>
    <w:rsid w:val="00923BD0"/>
    <w:rPr>
      <w:rFonts w:ascii="Calibri" w:eastAsia="Calibri" w:hAnsi="Calibri"/>
      <w:sz w:val="22"/>
      <w:szCs w:val="22"/>
      <w:lang w:val="es-ES"/>
    </w:rPr>
  </w:style>
  <w:style w:type="paragraph" w:styleId="Prrafodelista">
    <w:name w:val="List Paragraph"/>
    <w:basedOn w:val="Normal"/>
    <w:uiPriority w:val="34"/>
    <w:qFormat/>
    <w:rsid w:val="007A2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1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REBECA%20LA%20PAZ\Mis%20papers\1%20Mendeley-1.19.2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A45D5-657A-4D90-8903-EF784F3F6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 Mendeley-1.19.2</Template>
  <TotalTime>8</TotalTime>
  <Pages>8</Pages>
  <Words>717</Words>
  <Characters>3946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MOROTE TRADUCCIONES</vt:lpstr>
      <vt:lpstr>MOROTE TRADUCCIONES</vt:lpstr>
    </vt:vector>
  </TitlesOfParts>
  <Company>Microsoft</Company>
  <LinksUpToDate>false</LinksUpToDate>
  <CharactersWithSpaces>4654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MOROTE TRADUCCIONES</dc:title>
  <dc:subject/>
  <dc:creator>Rebeca</dc:creator>
  <cp:keywords>MOROTE TRADUCCIONES</cp:keywords>
  <dc:description>WWW.MOROTE.NET</dc:description>
  <cp:lastModifiedBy>Rebeca</cp:lastModifiedBy>
  <cp:revision>5</cp:revision>
  <dcterms:created xsi:type="dcterms:W3CDTF">2021-08-05T05:23:00Z</dcterms:created>
  <dcterms:modified xsi:type="dcterms:W3CDTF">2021-08-12T04:21:00Z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http://www.zotero.org/styles/journal-of-clinical-immunology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dc56c6f5-d594-30c6-bbee-81a99a253a22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http://www.zotero.org/styles/clinical-immunology</vt:lpwstr>
  </property>
  <property fmtid="{D5CDD505-2E9C-101B-9397-08002B2CF9AE}" pid="14" name="Mendeley Recent Style Name 4_1">
    <vt:lpwstr>Clinical Immunology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http://www.zotero.org/styles/journal-of-clinical-immunology</vt:lpwstr>
  </property>
  <property fmtid="{D5CDD505-2E9C-101B-9397-08002B2CF9AE}" pid="18" name="Mendeley Recent Style Name 6_1">
    <vt:lpwstr>Journal of Clinical Immunology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http://www.zotero.org/styles/the-journal-of-allergy-and-clinical-immunology</vt:lpwstr>
  </property>
  <property fmtid="{D5CDD505-2E9C-101B-9397-08002B2CF9AE}" pid="22" name="Mendeley Recent Style Name 8_1">
    <vt:lpwstr>The Journal of Allergy and Clinical Immunology</vt:lpwstr>
  </property>
  <property fmtid="{D5CDD505-2E9C-101B-9397-08002B2CF9AE}" pid="23" name="Mendeley Recent Style Id 9_1">
    <vt:lpwstr>http://www.zotero.org/styles/the-journal-of-clinical-investigation</vt:lpwstr>
  </property>
  <property fmtid="{D5CDD505-2E9C-101B-9397-08002B2CF9AE}" pid="24" name="Mendeley Recent Style Name 9_1">
    <vt:lpwstr>The Journal of Clinical Investigation</vt:lpwstr>
  </property>
</Properties>
</file>