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552A82">
      <w:pPr>
        <w:pStyle w:val="3"/>
        <w:spacing w:before="69" w:line="186" w:lineRule="auto"/>
        <w:ind w:left="2954"/>
        <w:rPr>
          <w:sz w:val="30"/>
          <w:szCs w:val="30"/>
        </w:rPr>
      </w:pPr>
      <w:r>
        <w:rPr>
          <w:b/>
          <w:bCs/>
          <w:spacing w:val="-1"/>
          <w:sz w:val="30"/>
          <w:szCs w:val="30"/>
        </w:rPr>
        <w:t>Supporting information</w:t>
      </w:r>
    </w:p>
    <w:p w14:paraId="4C146DC8">
      <w:pPr>
        <w:spacing w:line="270" w:lineRule="auto"/>
        <w:rPr>
          <w:rFonts w:ascii="Arial"/>
          <w:sz w:val="21"/>
        </w:rPr>
      </w:pPr>
    </w:p>
    <w:p w14:paraId="252A889D">
      <w:pPr>
        <w:spacing w:line="271" w:lineRule="auto"/>
        <w:rPr>
          <w:rFonts w:ascii="Arial"/>
          <w:sz w:val="21"/>
        </w:rPr>
      </w:pPr>
    </w:p>
    <w:p w14:paraId="5620DCCB">
      <w:pPr>
        <w:spacing w:line="250" w:lineRule="auto"/>
        <w:jc w:val="center"/>
        <w:rPr>
          <w:rFonts w:hint="default" w:ascii="Times New Roman" w:hAnsi="Times New Roman" w:cs="Times New Roman"/>
          <w:sz w:val="28"/>
          <w:szCs w:val="28"/>
        </w:rPr>
      </w:pPr>
      <w:r>
        <w:rPr>
          <w:rFonts w:hint="default" w:ascii="Times New Roman" w:hAnsi="Times New Roman" w:cs="Times New Roman"/>
          <w:b/>
          <w:bCs/>
          <w:sz w:val="28"/>
          <w:szCs w:val="28"/>
        </w:rPr>
        <w:t>Association between Serum Metal Levels and Blood Pressure in Aluminium Smelting Workers: Mediating Role of Gamma-Glutamyltransferase</w:t>
      </w:r>
    </w:p>
    <w:p w14:paraId="301F189E">
      <w:pPr>
        <w:spacing w:line="411" w:lineRule="auto"/>
        <w:rPr>
          <w:rFonts w:ascii="Arial"/>
          <w:sz w:val="21"/>
        </w:rPr>
      </w:pPr>
    </w:p>
    <w:p w14:paraId="4460A952">
      <w:pPr>
        <w:pStyle w:val="3"/>
        <w:spacing w:before="69" w:line="186" w:lineRule="auto"/>
        <w:rPr>
          <w:b/>
          <w:bCs/>
          <w:spacing w:val="-2"/>
          <w:sz w:val="24"/>
          <w:szCs w:val="24"/>
        </w:rPr>
      </w:pPr>
    </w:p>
    <w:p w14:paraId="1F708C2E">
      <w:pPr>
        <w:pStyle w:val="3"/>
        <w:spacing w:before="69" w:line="186" w:lineRule="auto"/>
        <w:ind w:left="3305"/>
        <w:rPr>
          <w:b/>
          <w:bCs/>
          <w:spacing w:val="-2"/>
          <w:sz w:val="24"/>
          <w:szCs w:val="24"/>
        </w:rPr>
      </w:pPr>
    </w:p>
    <w:p w14:paraId="71DFCEDD">
      <w:pPr>
        <w:pStyle w:val="3"/>
        <w:spacing w:before="69" w:line="186" w:lineRule="auto"/>
        <w:ind w:left="3305"/>
        <w:rPr>
          <w:b/>
          <w:bCs/>
          <w:spacing w:val="-2"/>
          <w:sz w:val="24"/>
          <w:szCs w:val="24"/>
        </w:rPr>
      </w:pPr>
    </w:p>
    <w:p w14:paraId="3A4C2737">
      <w:pPr>
        <w:pStyle w:val="3"/>
        <w:spacing w:before="69" w:line="186" w:lineRule="auto"/>
        <w:ind w:left="3305"/>
        <w:rPr>
          <w:sz w:val="24"/>
          <w:szCs w:val="24"/>
        </w:rPr>
      </w:pPr>
      <w:r>
        <w:rPr>
          <w:b/>
          <w:bCs/>
          <w:spacing w:val="-2"/>
          <w:sz w:val="24"/>
          <w:szCs w:val="24"/>
        </w:rPr>
        <w:t>Table of contents</w:t>
      </w:r>
    </w:p>
    <w:p w14:paraId="037D3BE5">
      <w:pPr>
        <w:pStyle w:val="3"/>
        <w:spacing w:before="196" w:line="190" w:lineRule="auto"/>
        <w:ind w:left="22"/>
        <w:rPr>
          <w:rFonts w:hint="default"/>
          <w:b/>
          <w:bCs/>
          <w:sz w:val="24"/>
          <w:szCs w:val="24"/>
          <w:lang w:val="en-US" w:eastAsia="zh-CN"/>
        </w:rPr>
      </w:pPr>
      <w:r>
        <w:rPr>
          <w:b/>
          <w:bCs/>
          <w:sz w:val="24"/>
          <w:szCs w:val="24"/>
        </w:rPr>
        <w:t xml:space="preserve">Table S1 </w:t>
      </w:r>
      <w:r>
        <w:rPr>
          <w:rFonts w:hint="eastAsia" w:eastAsia="宋体"/>
          <w:b/>
          <w:bCs/>
          <w:sz w:val="24"/>
          <w:szCs w:val="24"/>
          <w:lang w:val="en-US" w:eastAsia="zh-CN"/>
        </w:rPr>
        <w:t xml:space="preserve"> </w:t>
      </w:r>
      <w:r>
        <w:rPr>
          <w:rFonts w:hint="default"/>
          <w:b w:val="0"/>
          <w:bCs w:val="0"/>
          <w:sz w:val="24"/>
          <w:szCs w:val="24"/>
          <w:lang w:val="en-US" w:eastAsia="zh-CN"/>
        </w:rPr>
        <w:t xml:space="preserve">Posterior inclusion probabilities (PIPs) of BKMR model </w:t>
      </w:r>
    </w:p>
    <w:p w14:paraId="18899610">
      <w:pPr>
        <w:spacing w:line="262" w:lineRule="auto"/>
        <w:rPr>
          <w:rFonts w:ascii="Arial"/>
          <w:sz w:val="24"/>
          <w:szCs w:val="24"/>
        </w:rPr>
      </w:pPr>
    </w:p>
    <w:p w14:paraId="7D3EDE08">
      <w:pPr>
        <w:pStyle w:val="3"/>
        <w:spacing w:before="69" w:line="190" w:lineRule="auto"/>
        <w:ind w:left="22"/>
        <w:rPr>
          <w:b w:val="0"/>
          <w:bCs w:val="0"/>
          <w:sz w:val="24"/>
          <w:szCs w:val="24"/>
        </w:rPr>
      </w:pPr>
      <w:r>
        <w:rPr>
          <w:b/>
          <w:bCs/>
          <w:sz w:val="24"/>
          <w:szCs w:val="24"/>
        </w:rPr>
        <w:t xml:space="preserve">Table S2 </w:t>
      </w:r>
      <w:r>
        <w:rPr>
          <w:rFonts w:hint="eastAsia" w:eastAsia="宋体"/>
          <w:b/>
          <w:bCs/>
          <w:sz w:val="24"/>
          <w:szCs w:val="24"/>
          <w:lang w:val="en-US" w:eastAsia="zh-CN"/>
        </w:rPr>
        <w:t xml:space="preserve"> </w:t>
      </w:r>
      <w:r>
        <w:rPr>
          <w:rFonts w:hint="eastAsia"/>
          <w:b w:val="0"/>
          <w:bCs w:val="0"/>
          <w:sz w:val="24"/>
          <w:szCs w:val="24"/>
        </w:rPr>
        <w:t>Correlation between 17 Metal Concentrations and GGT</w:t>
      </w:r>
    </w:p>
    <w:p w14:paraId="01F43E28">
      <w:pPr>
        <w:spacing w:line="262" w:lineRule="auto"/>
        <w:rPr>
          <w:rFonts w:ascii="Arial"/>
          <w:sz w:val="24"/>
          <w:szCs w:val="24"/>
        </w:rPr>
      </w:pPr>
    </w:p>
    <w:p w14:paraId="4C3B8016">
      <w:pPr>
        <w:pStyle w:val="3"/>
        <w:spacing w:before="70" w:line="190" w:lineRule="auto"/>
        <w:ind w:left="19"/>
        <w:rPr>
          <w:sz w:val="24"/>
          <w:szCs w:val="24"/>
        </w:rPr>
      </w:pPr>
      <w:r>
        <w:rPr>
          <w:b/>
          <w:bCs/>
          <w:spacing w:val="-1"/>
          <w:sz w:val="24"/>
          <w:szCs w:val="24"/>
        </w:rPr>
        <w:t xml:space="preserve">Fig. S1 </w:t>
      </w:r>
      <w:r>
        <w:rPr>
          <w:rFonts w:hint="eastAsia" w:eastAsia="宋体"/>
          <w:b/>
          <w:bCs/>
          <w:spacing w:val="-1"/>
          <w:sz w:val="24"/>
          <w:szCs w:val="24"/>
          <w:lang w:val="en-US" w:eastAsia="zh-CN"/>
        </w:rPr>
        <w:t xml:space="preserve"> </w:t>
      </w:r>
      <w:r>
        <w:rPr>
          <w:rFonts w:hint="default" w:ascii="Times New Roman" w:hAnsi="Times New Roman" w:eastAsia="Times New Roman" w:cs="Times New Roman"/>
          <w:b w:val="0"/>
          <w:bCs w:val="0"/>
          <w:snapToGrid w:val="0"/>
          <w:color w:val="000000"/>
          <w:spacing w:val="-1"/>
          <w:kern w:val="0"/>
          <w:sz w:val="24"/>
          <w:szCs w:val="24"/>
          <w:lang w:val="en-US" w:eastAsia="zh-CN" w:bidi="ar-SA"/>
        </w:rPr>
        <w:t>Spearman correlation matrix between metals</w:t>
      </w:r>
      <w:r>
        <w:rPr>
          <w:b w:val="0"/>
          <w:bCs w:val="0"/>
          <w:spacing w:val="-1"/>
          <w:sz w:val="24"/>
          <w:szCs w:val="24"/>
        </w:rPr>
        <w:t>.</w:t>
      </w:r>
    </w:p>
    <w:p w14:paraId="201F1C7D">
      <w:pPr>
        <w:spacing w:line="263" w:lineRule="auto"/>
        <w:rPr>
          <w:rFonts w:ascii="Arial"/>
          <w:sz w:val="24"/>
          <w:szCs w:val="24"/>
        </w:rPr>
      </w:pPr>
    </w:p>
    <w:p w14:paraId="75F075D5">
      <w:pPr>
        <w:pStyle w:val="3"/>
        <w:spacing w:before="70" w:line="464" w:lineRule="auto"/>
        <w:ind w:left="979" w:leftChars="9" w:right="60" w:hanging="960" w:hangingChars="400"/>
        <w:rPr>
          <w:sz w:val="24"/>
          <w:szCs w:val="24"/>
        </w:rPr>
      </w:pPr>
      <w:r>
        <w:rPr>
          <w:b/>
          <w:bCs/>
          <w:sz w:val="24"/>
          <w:szCs w:val="24"/>
        </w:rPr>
        <w:t>Fig.</w:t>
      </w:r>
      <w:r>
        <w:rPr>
          <w:b/>
          <w:bCs/>
          <w:spacing w:val="53"/>
          <w:w w:val="101"/>
          <w:sz w:val="24"/>
          <w:szCs w:val="24"/>
        </w:rPr>
        <w:t xml:space="preserve"> </w:t>
      </w:r>
      <w:r>
        <w:rPr>
          <w:b/>
          <w:bCs/>
          <w:sz w:val="24"/>
          <w:szCs w:val="24"/>
        </w:rPr>
        <w:t>S2</w:t>
      </w:r>
      <w:r>
        <w:rPr>
          <w:b/>
          <w:bCs/>
          <w:spacing w:val="44"/>
          <w:w w:val="101"/>
          <w:sz w:val="24"/>
          <w:szCs w:val="24"/>
        </w:rPr>
        <w:t xml:space="preserve"> </w:t>
      </w:r>
      <w:r>
        <w:rPr>
          <w:rFonts w:hint="default"/>
          <w:b w:val="0"/>
          <w:bCs w:val="0"/>
          <w:sz w:val="24"/>
          <w:szCs w:val="24"/>
          <w:lang w:val="en-US" w:eastAsia="zh-CN"/>
        </w:rPr>
        <w:t>Variable selection paths and optimal regularisation parameter selection in LASSO regression analysis</w:t>
      </w:r>
      <w:r>
        <w:rPr>
          <w:rFonts w:hint="eastAsia"/>
          <w:b w:val="0"/>
          <w:bCs w:val="0"/>
          <w:sz w:val="24"/>
          <w:szCs w:val="24"/>
        </w:rPr>
        <w:t>n.</w:t>
      </w:r>
    </w:p>
    <w:p w14:paraId="2C443FDB">
      <w:pPr>
        <w:pStyle w:val="3"/>
        <w:spacing w:before="37" w:line="464" w:lineRule="auto"/>
        <w:ind w:left="971" w:leftChars="9" w:right="60" w:hanging="952" w:hangingChars="400"/>
        <w:rPr>
          <w:sz w:val="24"/>
          <w:szCs w:val="24"/>
        </w:rPr>
      </w:pPr>
      <w:r>
        <w:rPr>
          <w:b/>
          <w:bCs/>
          <w:spacing w:val="-1"/>
          <w:sz w:val="24"/>
          <w:szCs w:val="24"/>
        </w:rPr>
        <w:t>Fig.</w:t>
      </w:r>
      <w:r>
        <w:rPr>
          <w:b/>
          <w:bCs/>
          <w:spacing w:val="49"/>
          <w:sz w:val="24"/>
          <w:szCs w:val="24"/>
        </w:rPr>
        <w:t xml:space="preserve"> </w:t>
      </w:r>
      <w:r>
        <w:rPr>
          <w:b/>
          <w:bCs/>
          <w:spacing w:val="-1"/>
          <w:sz w:val="24"/>
          <w:szCs w:val="24"/>
        </w:rPr>
        <w:t>S3</w:t>
      </w:r>
      <w:r>
        <w:rPr>
          <w:b/>
          <w:bCs/>
          <w:spacing w:val="51"/>
          <w:sz w:val="24"/>
          <w:szCs w:val="24"/>
        </w:rPr>
        <w:t xml:space="preserve"> </w:t>
      </w:r>
      <w:r>
        <w:rPr>
          <w:rFonts w:hint="default"/>
          <w:b w:val="0"/>
          <w:bCs w:val="0"/>
          <w:sz w:val="24"/>
          <w:szCs w:val="24"/>
          <w:lang w:val="en-US" w:eastAsia="zh-CN"/>
        </w:rPr>
        <w:t>Univariate exposure–response functions for Cu, Mo and Sr in relation to blood pressure</w:t>
      </w:r>
      <w:r>
        <w:rPr>
          <w:rFonts w:hint="eastAsia"/>
          <w:b w:val="0"/>
          <w:bCs w:val="0"/>
          <w:sz w:val="24"/>
          <w:szCs w:val="24"/>
          <w:lang w:val="en-US" w:eastAsia="zh-CN"/>
        </w:rPr>
        <w:t>.</w:t>
      </w:r>
    </w:p>
    <w:p w14:paraId="5ED98486">
      <w:pPr>
        <w:pStyle w:val="3"/>
        <w:spacing w:before="37" w:line="472" w:lineRule="auto"/>
        <w:ind w:left="15" w:right="62" w:firstLine="3"/>
        <w:rPr>
          <w:sz w:val="24"/>
          <w:szCs w:val="24"/>
        </w:rPr>
      </w:pPr>
      <w:r>
        <w:rPr>
          <w:b/>
          <w:bCs/>
          <w:spacing w:val="-1"/>
          <w:sz w:val="24"/>
          <w:szCs w:val="24"/>
        </w:rPr>
        <w:t>Fig.</w:t>
      </w:r>
      <w:r>
        <w:rPr>
          <w:b/>
          <w:bCs/>
          <w:spacing w:val="34"/>
          <w:w w:val="101"/>
          <w:sz w:val="24"/>
          <w:szCs w:val="24"/>
        </w:rPr>
        <w:t xml:space="preserve"> </w:t>
      </w:r>
      <w:r>
        <w:rPr>
          <w:b/>
          <w:bCs/>
          <w:spacing w:val="-1"/>
          <w:sz w:val="24"/>
          <w:szCs w:val="24"/>
        </w:rPr>
        <w:t>S4</w:t>
      </w:r>
      <w:r>
        <w:rPr>
          <w:b/>
          <w:bCs/>
          <w:spacing w:val="25"/>
          <w:w w:val="101"/>
          <w:sz w:val="24"/>
          <w:szCs w:val="24"/>
        </w:rPr>
        <w:t xml:space="preserve"> </w:t>
      </w:r>
      <w:r>
        <w:rPr>
          <w:rFonts w:hint="default" w:ascii="Times New Roman" w:hAnsi="Times New Roman" w:eastAsia="宋体" w:cs="Times New Roman"/>
          <w:b w:val="0"/>
          <w:bCs w:val="0"/>
          <w:color w:val="auto"/>
          <w:kern w:val="2"/>
          <w:sz w:val="24"/>
          <w:szCs w:val="24"/>
          <w:highlight w:val="none"/>
          <w:lang w:val="en-US" w:eastAsia="zh-CN" w:bidi="ar-SA"/>
        </w:rPr>
        <w:t>Interactions between single metals and mixed metal exposures</w:t>
      </w:r>
      <w:r>
        <w:rPr>
          <w:spacing w:val="-1"/>
          <w:sz w:val="24"/>
          <w:szCs w:val="24"/>
        </w:rPr>
        <w:t>.</w:t>
      </w:r>
    </w:p>
    <w:p w14:paraId="35F91289">
      <w:pPr>
        <w:pStyle w:val="3"/>
        <w:spacing w:before="35" w:line="475" w:lineRule="auto"/>
        <w:ind w:left="960" w:hanging="960" w:hangingChars="400"/>
        <w:rPr>
          <w:rFonts w:hint="eastAsia"/>
          <w:sz w:val="24"/>
          <w:szCs w:val="24"/>
        </w:rPr>
      </w:pPr>
      <w:r>
        <w:rPr>
          <w:b/>
          <w:bCs/>
          <w:sz w:val="24"/>
          <w:szCs w:val="24"/>
        </w:rPr>
        <w:t>Fig.</w:t>
      </w:r>
      <w:r>
        <w:rPr>
          <w:b/>
          <w:bCs/>
          <w:spacing w:val="25"/>
          <w:sz w:val="24"/>
          <w:szCs w:val="24"/>
        </w:rPr>
        <w:t xml:space="preserve"> </w:t>
      </w:r>
      <w:r>
        <w:rPr>
          <w:b/>
          <w:bCs/>
          <w:sz w:val="24"/>
          <w:szCs w:val="24"/>
        </w:rPr>
        <w:t>S5</w:t>
      </w:r>
      <w:r>
        <w:rPr>
          <w:rFonts w:hint="eastAsia" w:eastAsia="宋体"/>
          <w:b/>
          <w:bCs/>
          <w:sz w:val="24"/>
          <w:szCs w:val="24"/>
          <w:lang w:val="en-US" w:eastAsia="zh-CN"/>
        </w:rPr>
        <w:t xml:space="preserve"> </w:t>
      </w:r>
      <w:r>
        <w:rPr>
          <w:b/>
          <w:bCs/>
          <w:spacing w:val="27"/>
          <w:sz w:val="24"/>
          <w:szCs w:val="24"/>
        </w:rPr>
        <w:t xml:space="preserve"> </w:t>
      </w:r>
      <w:r>
        <w:rPr>
          <w:rFonts w:hint="eastAsia"/>
          <w:sz w:val="24"/>
          <w:szCs w:val="24"/>
        </w:rPr>
        <w:t>RCS dose–response relationships between Cu and Mo exposure levels and SBP/DBP.</w:t>
      </w:r>
    </w:p>
    <w:p w14:paraId="10BDF1C5">
      <w:pPr>
        <w:spacing w:line="475" w:lineRule="auto"/>
        <w:rPr>
          <w:sz w:val="24"/>
          <w:szCs w:val="24"/>
        </w:rPr>
        <w:sectPr>
          <w:footerReference r:id="rId5" w:type="default"/>
          <w:pgSz w:w="11907" w:h="16839"/>
          <w:pgMar w:top="1431" w:right="1740" w:bottom="1477" w:left="1785" w:header="0" w:footer="1198" w:gutter="0"/>
          <w:cols w:space="720" w:num="1"/>
        </w:sectPr>
      </w:pPr>
    </w:p>
    <w:p w14:paraId="4284B8F1">
      <w:pPr>
        <w:keepNext w:val="0"/>
        <w:keepLines w:val="0"/>
        <w:pageBreakBefore w:val="0"/>
        <w:kinsoku/>
        <w:wordWrap/>
        <w:overflowPunct/>
        <w:topLinePunct w:val="0"/>
        <w:bidi w:val="0"/>
        <w:snapToGrid/>
        <w:spacing w:line="240" w:lineRule="auto"/>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Table S1</w:t>
      </w:r>
    </w:p>
    <w:p w14:paraId="2535ABCE">
      <w:pPr>
        <w:pStyle w:val="2"/>
        <w:keepNext w:val="0"/>
        <w:keepLines w:val="0"/>
        <w:pageBreakBefore w:val="0"/>
        <w:widowControl/>
        <w:suppressLineNumbers w:val="0"/>
        <w:shd w:val="clear" w:fill="FFFFFF"/>
        <w:kinsoku/>
        <w:wordWrap/>
        <w:overflowPunct/>
        <w:topLinePunct w:val="0"/>
        <w:bidi w:val="0"/>
        <w:snapToGrid/>
        <w:spacing w:before="0" w:beforeAutospacing="0" w:after="0" w:afterAutospacing="0" w:line="240" w:lineRule="auto"/>
        <w:ind w:left="0" w:firstLine="0"/>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 xml:space="preserve">Posterior inclusion probabilities (PIPs) of BKMR model </w:t>
      </w:r>
    </w:p>
    <w:tbl>
      <w:tblPr>
        <w:tblStyle w:val="5"/>
        <w:tblW w:w="48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81"/>
        <w:gridCol w:w="2333"/>
        <w:gridCol w:w="2326"/>
      </w:tblGrid>
      <w:tr w14:paraId="646DC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581" w:type="dxa"/>
            <w:tcBorders>
              <w:top w:val="single" w:color="auto" w:sz="4" w:space="0"/>
              <w:left w:val="nil"/>
              <w:bottom w:val="single" w:color="auto" w:sz="4" w:space="0"/>
              <w:right w:val="nil"/>
            </w:tcBorders>
            <w:noWrap/>
            <w:vAlign w:val="center"/>
          </w:tcPr>
          <w:p w14:paraId="21EF51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 w:cs="Times New Roman"/>
                <w:i w:val="0"/>
                <w:iCs w:val="0"/>
                <w:color w:val="auto"/>
                <w:sz w:val="24"/>
                <w:szCs w:val="24"/>
                <w:highlight w:val="none"/>
                <w:u w:val="none"/>
                <w:lang w:val="en-US" w:eastAsia="zh-CN"/>
              </w:rPr>
            </w:pPr>
            <w:r>
              <w:rPr>
                <w:rFonts w:hint="default" w:ascii="Times New Roman" w:hAnsi="Times New Roman" w:eastAsia="楷体" w:cs="Times New Roman"/>
                <w:b w:val="0"/>
                <w:bCs w:val="0"/>
                <w:color w:val="auto"/>
                <w:sz w:val="24"/>
                <w:szCs w:val="24"/>
                <w:highlight w:val="none"/>
                <w:lang w:val="en-US" w:eastAsia="zh-CN"/>
              </w:rPr>
              <w:t xml:space="preserve">Metals </w:t>
            </w:r>
            <w:r>
              <w:rPr>
                <w:rFonts w:hint="default" w:ascii="Times New Roman" w:hAnsi="Times New Roman" w:eastAsia="楷体" w:cs="Times New Roman"/>
                <w:b w:val="0"/>
                <w:bCs w:val="0"/>
                <w:i w:val="0"/>
                <w:iCs w:val="0"/>
                <w:color w:val="auto"/>
                <w:kern w:val="0"/>
                <w:sz w:val="24"/>
                <w:szCs w:val="24"/>
                <w:highlight w:val="none"/>
                <w:u w:val="none"/>
                <w:lang w:val="en-US" w:eastAsia="zh-CN" w:bidi="ar"/>
              </w:rPr>
              <w:t>PIPs</w:t>
            </w:r>
          </w:p>
        </w:tc>
        <w:tc>
          <w:tcPr>
            <w:tcW w:w="2333" w:type="dxa"/>
            <w:tcBorders>
              <w:top w:val="single" w:color="auto" w:sz="4" w:space="0"/>
              <w:left w:val="nil"/>
              <w:bottom w:val="single" w:color="auto" w:sz="4" w:space="0"/>
              <w:right w:val="nil"/>
            </w:tcBorders>
            <w:noWrap/>
            <w:vAlign w:val="center"/>
          </w:tcPr>
          <w:p w14:paraId="25D2548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 w:cs="Times New Roman"/>
                <w:b w:val="0"/>
                <w:bCs w:val="0"/>
                <w:i w:val="0"/>
                <w:iCs w:val="0"/>
                <w:color w:val="auto"/>
                <w:kern w:val="0"/>
                <w:sz w:val="24"/>
                <w:szCs w:val="24"/>
                <w:highlight w:val="none"/>
                <w:u w:val="none"/>
                <w:lang w:val="en-US" w:eastAsia="zh-CN" w:bidi="ar"/>
              </w:rPr>
            </w:pPr>
            <w:r>
              <w:rPr>
                <w:rFonts w:hint="default" w:ascii="Times New Roman" w:hAnsi="Times New Roman" w:eastAsia="楷体" w:cs="Times New Roman"/>
                <w:b w:val="0"/>
                <w:bCs w:val="0"/>
                <w:i w:val="0"/>
                <w:iCs w:val="0"/>
                <w:color w:val="auto"/>
                <w:sz w:val="24"/>
                <w:szCs w:val="24"/>
                <w:highlight w:val="none"/>
                <w:u w:val="none"/>
                <w:lang w:val="en-US" w:eastAsia="zh-CN"/>
              </w:rPr>
              <w:t>SBP</w:t>
            </w:r>
          </w:p>
        </w:tc>
        <w:tc>
          <w:tcPr>
            <w:tcW w:w="2326" w:type="dxa"/>
            <w:tcBorders>
              <w:top w:val="single" w:color="auto" w:sz="4" w:space="0"/>
              <w:left w:val="nil"/>
              <w:bottom w:val="single" w:color="auto" w:sz="4" w:space="0"/>
              <w:right w:val="nil"/>
            </w:tcBorders>
            <w:noWrap/>
            <w:vAlign w:val="center"/>
          </w:tcPr>
          <w:p w14:paraId="35544E0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 w:cs="Times New Roman"/>
                <w:b w:val="0"/>
                <w:bCs w:val="0"/>
                <w:i w:val="0"/>
                <w:iCs w:val="0"/>
                <w:color w:val="auto"/>
                <w:kern w:val="0"/>
                <w:sz w:val="24"/>
                <w:szCs w:val="24"/>
                <w:highlight w:val="none"/>
                <w:u w:val="none"/>
                <w:lang w:val="en-US" w:eastAsia="zh-CN" w:bidi="ar"/>
              </w:rPr>
            </w:pPr>
            <w:r>
              <w:rPr>
                <w:rFonts w:hint="default" w:ascii="Times New Roman" w:hAnsi="Times New Roman" w:eastAsia="楷体" w:cs="Times New Roman"/>
                <w:b w:val="0"/>
                <w:bCs w:val="0"/>
                <w:i w:val="0"/>
                <w:iCs w:val="0"/>
                <w:color w:val="auto"/>
                <w:sz w:val="24"/>
                <w:szCs w:val="24"/>
                <w:highlight w:val="none"/>
                <w:u w:val="none"/>
                <w:lang w:val="en-US" w:eastAsia="zh-CN"/>
              </w:rPr>
              <w:t>DBP</w:t>
            </w:r>
          </w:p>
        </w:tc>
      </w:tr>
      <w:tr w14:paraId="39857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581" w:type="dxa"/>
            <w:tcBorders>
              <w:top w:val="single" w:color="auto" w:sz="4" w:space="0"/>
              <w:left w:val="nil"/>
              <w:bottom w:val="nil"/>
              <w:right w:val="nil"/>
            </w:tcBorders>
            <w:noWrap w:val="0"/>
            <w:vAlign w:val="center"/>
          </w:tcPr>
          <w:p w14:paraId="4D3F3DAC">
            <w:pPr>
              <w:keepNext w:val="0"/>
              <w:keepLines w:val="0"/>
              <w:widowControl/>
              <w:suppressLineNumbers w:val="0"/>
              <w:jc w:val="center"/>
              <w:textAlignment w:val="center"/>
              <w:rPr>
                <w:rFonts w:hint="default" w:ascii="Times New Roman" w:hAnsi="Times New Roman" w:eastAsia="楷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Cu</w:t>
            </w:r>
          </w:p>
        </w:tc>
        <w:tc>
          <w:tcPr>
            <w:tcW w:w="2333" w:type="dxa"/>
            <w:tcBorders>
              <w:top w:val="single" w:color="auto" w:sz="4" w:space="0"/>
              <w:left w:val="nil"/>
              <w:bottom w:val="nil"/>
              <w:right w:val="nil"/>
            </w:tcBorders>
            <w:noWrap/>
            <w:vAlign w:val="center"/>
          </w:tcPr>
          <w:p w14:paraId="50FF6ED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eastAsia="楷体" w:cs="Times New Roman"/>
                <w:b w:val="0"/>
                <w:bCs w:val="0"/>
                <w:i w:val="0"/>
                <w:iCs w:val="0"/>
                <w:color w:val="auto"/>
                <w:sz w:val="24"/>
                <w:szCs w:val="24"/>
                <w:highlight w:val="none"/>
                <w:u w:val="none"/>
                <w:lang w:val="en-US" w:eastAsia="zh-CN"/>
              </w:rPr>
              <w:t>0.390</w:t>
            </w:r>
          </w:p>
        </w:tc>
        <w:tc>
          <w:tcPr>
            <w:tcW w:w="2326" w:type="dxa"/>
            <w:tcBorders>
              <w:top w:val="single" w:color="auto" w:sz="4" w:space="0"/>
              <w:left w:val="nil"/>
              <w:bottom w:val="nil"/>
              <w:right w:val="nil"/>
            </w:tcBorders>
            <w:noWrap/>
            <w:vAlign w:val="center"/>
          </w:tcPr>
          <w:p w14:paraId="5BA72F3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eastAsia="楷体" w:cs="Times New Roman"/>
                <w:b w:val="0"/>
                <w:bCs w:val="0"/>
                <w:i w:val="0"/>
                <w:iCs w:val="0"/>
                <w:color w:val="auto"/>
                <w:sz w:val="24"/>
                <w:szCs w:val="24"/>
                <w:highlight w:val="none"/>
                <w:u w:val="none"/>
                <w:lang w:val="en-US" w:eastAsia="zh-CN"/>
              </w:rPr>
              <w:t>0.040</w:t>
            </w:r>
          </w:p>
        </w:tc>
      </w:tr>
      <w:tr w14:paraId="562E5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581" w:type="dxa"/>
            <w:tcBorders>
              <w:top w:val="nil"/>
              <w:left w:val="nil"/>
              <w:bottom w:val="nil"/>
              <w:right w:val="nil"/>
            </w:tcBorders>
            <w:noWrap w:val="0"/>
            <w:vAlign w:val="center"/>
          </w:tcPr>
          <w:p w14:paraId="5E8E704B">
            <w:pPr>
              <w:keepNext w:val="0"/>
              <w:keepLines w:val="0"/>
              <w:widowControl/>
              <w:suppressLineNumbers w:val="0"/>
              <w:jc w:val="center"/>
              <w:textAlignment w:val="center"/>
              <w:rPr>
                <w:rFonts w:hint="default" w:ascii="Times New Roman" w:hAnsi="Times New Roman" w:eastAsia="楷体" w:cs="Times New Roman"/>
                <w:b w:val="0"/>
                <w:bCs w:val="0"/>
                <w:i w:val="0"/>
                <w:iCs w:val="0"/>
                <w:color w:val="auto"/>
                <w:sz w:val="24"/>
                <w:szCs w:val="24"/>
                <w:highlight w:val="none"/>
                <w:u w:val="none"/>
                <w:lang w:val="en-US"/>
              </w:rPr>
            </w:pPr>
            <w:r>
              <w:rPr>
                <w:rFonts w:hint="default" w:ascii="Times New Roman" w:hAnsi="Times New Roman" w:eastAsia="宋体" w:cs="Times New Roman"/>
                <w:b w:val="0"/>
                <w:bCs w:val="0"/>
                <w:i w:val="0"/>
                <w:iCs w:val="0"/>
                <w:color w:val="auto"/>
                <w:kern w:val="0"/>
                <w:sz w:val="24"/>
                <w:szCs w:val="24"/>
                <w:highlight w:val="none"/>
                <w:u w:val="none"/>
                <w:lang w:val="en-US" w:eastAsia="zh-CN" w:bidi="ar"/>
              </w:rPr>
              <w:t>Mo</w:t>
            </w:r>
          </w:p>
        </w:tc>
        <w:tc>
          <w:tcPr>
            <w:tcW w:w="2333" w:type="dxa"/>
            <w:tcBorders>
              <w:top w:val="nil"/>
              <w:left w:val="nil"/>
              <w:bottom w:val="nil"/>
              <w:right w:val="nil"/>
            </w:tcBorders>
            <w:noWrap/>
            <w:vAlign w:val="center"/>
          </w:tcPr>
          <w:p w14:paraId="2607A9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eastAsia="楷体" w:cs="Times New Roman"/>
                <w:b w:val="0"/>
                <w:bCs w:val="0"/>
                <w:i w:val="0"/>
                <w:iCs w:val="0"/>
                <w:color w:val="auto"/>
                <w:sz w:val="24"/>
                <w:szCs w:val="24"/>
                <w:highlight w:val="none"/>
                <w:u w:val="none"/>
                <w:lang w:val="en-US" w:eastAsia="zh-CN"/>
              </w:rPr>
              <w:t>0.221</w:t>
            </w:r>
          </w:p>
        </w:tc>
        <w:tc>
          <w:tcPr>
            <w:tcW w:w="2326" w:type="dxa"/>
            <w:tcBorders>
              <w:top w:val="nil"/>
              <w:left w:val="nil"/>
              <w:bottom w:val="nil"/>
              <w:right w:val="nil"/>
            </w:tcBorders>
            <w:noWrap/>
            <w:vAlign w:val="center"/>
          </w:tcPr>
          <w:p w14:paraId="2EAD75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eastAsia="楷体" w:cs="Times New Roman"/>
                <w:b w:val="0"/>
                <w:bCs w:val="0"/>
                <w:i w:val="0"/>
                <w:iCs w:val="0"/>
                <w:color w:val="auto"/>
                <w:sz w:val="24"/>
                <w:szCs w:val="24"/>
                <w:highlight w:val="none"/>
                <w:u w:val="none"/>
                <w:lang w:val="en-US" w:eastAsia="zh-CN"/>
              </w:rPr>
              <w:t>0.365</w:t>
            </w:r>
          </w:p>
        </w:tc>
      </w:tr>
      <w:tr w14:paraId="79329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581" w:type="dxa"/>
            <w:tcBorders>
              <w:top w:val="nil"/>
              <w:left w:val="nil"/>
              <w:bottom w:val="single" w:color="auto" w:sz="4" w:space="0"/>
              <w:right w:val="nil"/>
            </w:tcBorders>
            <w:noWrap w:val="0"/>
            <w:vAlign w:val="center"/>
          </w:tcPr>
          <w:p w14:paraId="5D4BD722">
            <w:pPr>
              <w:keepNext w:val="0"/>
              <w:keepLines w:val="0"/>
              <w:widowControl/>
              <w:suppressLineNumbers w:val="0"/>
              <w:jc w:val="center"/>
              <w:textAlignment w:val="center"/>
              <w:rPr>
                <w:rFonts w:hint="default" w:ascii="Times New Roman" w:hAnsi="Times New Roman" w:eastAsia="楷体" w:cs="Times New Roman"/>
                <w:b w:val="0"/>
                <w:bCs w:val="0"/>
                <w:i w:val="0"/>
                <w:iCs w:val="0"/>
                <w:color w:val="auto"/>
                <w:sz w:val="24"/>
                <w:szCs w:val="24"/>
                <w:highlight w:val="none"/>
                <w:u w:val="none"/>
                <w:lang w:val="en-US"/>
              </w:rPr>
            </w:pPr>
            <w:r>
              <w:rPr>
                <w:rFonts w:hint="default" w:ascii="Times New Roman" w:hAnsi="Times New Roman" w:eastAsia="宋体" w:cs="Times New Roman"/>
                <w:b w:val="0"/>
                <w:bCs w:val="0"/>
                <w:i w:val="0"/>
                <w:iCs w:val="0"/>
                <w:color w:val="auto"/>
                <w:kern w:val="0"/>
                <w:sz w:val="24"/>
                <w:szCs w:val="24"/>
                <w:highlight w:val="none"/>
                <w:u w:val="none"/>
                <w:lang w:val="en-US" w:eastAsia="zh-CN" w:bidi="ar"/>
              </w:rPr>
              <w:t>Sr</w:t>
            </w:r>
          </w:p>
        </w:tc>
        <w:tc>
          <w:tcPr>
            <w:tcW w:w="2333" w:type="dxa"/>
            <w:tcBorders>
              <w:top w:val="nil"/>
              <w:left w:val="nil"/>
              <w:bottom w:val="single" w:color="auto" w:sz="4" w:space="0"/>
              <w:right w:val="nil"/>
            </w:tcBorders>
            <w:noWrap/>
            <w:vAlign w:val="center"/>
          </w:tcPr>
          <w:p w14:paraId="757802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eastAsia="楷体" w:cs="Times New Roman"/>
                <w:b w:val="0"/>
                <w:bCs w:val="0"/>
                <w:i w:val="0"/>
                <w:iCs w:val="0"/>
                <w:color w:val="auto"/>
                <w:sz w:val="24"/>
                <w:szCs w:val="24"/>
                <w:highlight w:val="none"/>
                <w:u w:val="none"/>
                <w:lang w:val="en-US" w:eastAsia="zh-CN"/>
              </w:rPr>
              <w:t>0.131</w:t>
            </w:r>
          </w:p>
        </w:tc>
        <w:tc>
          <w:tcPr>
            <w:tcW w:w="2326" w:type="dxa"/>
            <w:tcBorders>
              <w:top w:val="nil"/>
              <w:left w:val="nil"/>
              <w:bottom w:val="single" w:color="auto" w:sz="4" w:space="0"/>
              <w:right w:val="nil"/>
            </w:tcBorders>
            <w:noWrap/>
            <w:vAlign w:val="center"/>
          </w:tcPr>
          <w:p w14:paraId="618177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eastAsia="楷体" w:cs="Times New Roman"/>
                <w:b w:val="0"/>
                <w:bCs w:val="0"/>
                <w:i w:val="0"/>
                <w:iCs w:val="0"/>
                <w:color w:val="auto"/>
                <w:sz w:val="24"/>
                <w:szCs w:val="24"/>
                <w:highlight w:val="none"/>
                <w:u w:val="none"/>
                <w:lang w:val="en-US" w:eastAsia="zh-CN"/>
              </w:rPr>
              <w:t>0.180</w:t>
            </w:r>
          </w:p>
        </w:tc>
      </w:tr>
    </w:tbl>
    <w:p w14:paraId="729C7582">
      <w:pPr>
        <w:pStyle w:val="2"/>
        <w:keepNext w:val="0"/>
        <w:keepLines w:val="0"/>
        <w:widowControl/>
        <w:suppressLineNumbers w:val="0"/>
        <w:shd w:val="clear" w:fill="FFFFFF"/>
        <w:spacing w:before="0" w:beforeAutospacing="0" w:after="0" w:afterAutospacing="0" w:line="450" w:lineRule="atLeast"/>
        <w:jc w:val="both"/>
        <w:rPr>
          <w:rFonts w:hint="default" w:ascii="Times New Roman" w:hAnsi="Times New Roman" w:cs="Times New Roman" w:eastAsiaTheme="minorEastAsia"/>
          <w:b w:val="0"/>
          <w:bCs/>
          <w:color w:val="auto"/>
          <w:sz w:val="24"/>
          <w:szCs w:val="24"/>
          <w:highlight w:val="none"/>
          <w:lang w:val="en-US" w:eastAsia="zh-CN"/>
        </w:rPr>
      </w:pPr>
    </w:p>
    <w:p w14:paraId="71967C2C">
      <w:pPr>
        <w:spacing w:line="244" w:lineRule="auto"/>
        <w:rPr>
          <w:rFonts w:ascii="Arial"/>
          <w:sz w:val="21"/>
        </w:rPr>
      </w:pPr>
    </w:p>
    <w:p w14:paraId="7CCD249E">
      <w:pPr>
        <w:spacing w:line="244" w:lineRule="auto"/>
        <w:rPr>
          <w:rFonts w:ascii="Arial"/>
          <w:sz w:val="21"/>
        </w:rPr>
      </w:pPr>
    </w:p>
    <w:p w14:paraId="6269BBB7">
      <w:pPr>
        <w:pStyle w:val="2"/>
        <w:keepNext w:val="0"/>
        <w:keepLines w:val="0"/>
        <w:pageBreakBefore w:val="0"/>
        <w:widowControl/>
        <w:suppressLineNumbers w:val="0"/>
        <w:shd w:val="clear" w:fill="FFFFFF"/>
        <w:kinsoku/>
        <w:wordWrap/>
        <w:overflowPunct/>
        <w:topLinePunct w:val="0"/>
        <w:autoSpaceDE w:val="0"/>
        <w:autoSpaceDN w:val="0"/>
        <w:bidi w:val="0"/>
        <w:adjustRightInd w:val="0"/>
        <w:snapToGrid/>
        <w:spacing w:before="0" w:beforeAutospacing="0" w:after="0" w:afterAutospacing="0" w:line="240" w:lineRule="auto"/>
        <w:jc w:val="left"/>
        <w:textAlignment w:val="auto"/>
        <w:rPr>
          <w:rFonts w:hint="default" w:ascii="Times New Roman" w:hAnsi="Times New Roman" w:cs="Times New Roman" w:eastAsiaTheme="minorEastAsia"/>
          <w:b w:val="0"/>
          <w:bCs/>
          <w:color w:val="auto"/>
          <w:sz w:val="24"/>
          <w:szCs w:val="24"/>
          <w:highlight w:val="none"/>
          <w:lang w:val="en-US" w:eastAsia="zh-CN"/>
        </w:rPr>
      </w:pPr>
      <w:r>
        <w:rPr>
          <w:rFonts w:hint="default" w:ascii="Times New Roman" w:hAnsi="Times New Roman" w:cs="Times New Roman" w:eastAsiaTheme="minorEastAsia"/>
          <w:b/>
          <w:bCs w:val="0"/>
          <w:color w:val="auto"/>
          <w:sz w:val="24"/>
          <w:szCs w:val="24"/>
          <w:highlight w:val="none"/>
        </w:rPr>
        <w:t>Table</w:t>
      </w:r>
      <w:r>
        <w:rPr>
          <w:rFonts w:hint="eastAsia" w:ascii="Times New Roman" w:hAnsi="Times New Roman" w:cs="Times New Roman" w:eastAsiaTheme="minorEastAsia"/>
          <w:b/>
          <w:bCs w:val="0"/>
          <w:color w:val="auto"/>
          <w:sz w:val="24"/>
          <w:szCs w:val="24"/>
          <w:highlight w:val="none"/>
          <w:lang w:val="en-US" w:eastAsia="zh-CN"/>
        </w:rPr>
        <w:t xml:space="preserve"> </w:t>
      </w:r>
      <w:r>
        <w:rPr>
          <w:rFonts w:hint="default" w:ascii="Times New Roman" w:hAnsi="Times New Roman" w:cs="Times New Roman" w:eastAsiaTheme="minorEastAsia"/>
          <w:b/>
          <w:bCs w:val="0"/>
          <w:color w:val="auto"/>
          <w:sz w:val="24"/>
          <w:szCs w:val="24"/>
          <w:highlight w:val="none"/>
        </w:rPr>
        <w:t xml:space="preserve"> S</w:t>
      </w:r>
      <w:r>
        <w:rPr>
          <w:rFonts w:hint="eastAsia" w:ascii="Times New Roman" w:hAnsi="Times New Roman" w:cs="Times New Roman" w:eastAsiaTheme="minorEastAsia"/>
          <w:b/>
          <w:bCs w:val="0"/>
          <w:color w:val="auto"/>
          <w:sz w:val="24"/>
          <w:szCs w:val="24"/>
          <w:highlight w:val="none"/>
          <w:lang w:val="en-US" w:eastAsia="zh-CN"/>
        </w:rPr>
        <w:t>2</w:t>
      </w:r>
      <w:r>
        <w:rPr>
          <w:rFonts w:hint="default" w:ascii="Times New Roman" w:hAnsi="Times New Roman" w:cs="Times New Roman" w:eastAsiaTheme="minorEastAsia"/>
          <w:b w:val="0"/>
          <w:bCs/>
          <w:color w:val="auto"/>
          <w:sz w:val="24"/>
          <w:szCs w:val="24"/>
          <w:highlight w:val="none"/>
        </w:rPr>
        <w:br w:type="textWrapping"/>
      </w:r>
      <w:r>
        <w:rPr>
          <w:rFonts w:hint="default" w:ascii="Times New Roman" w:hAnsi="Times New Roman" w:cs="Times New Roman" w:eastAsiaTheme="minorEastAsia"/>
          <w:b w:val="0"/>
          <w:bCs/>
          <w:color w:val="auto"/>
          <w:sz w:val="24"/>
          <w:szCs w:val="24"/>
          <w:highlight w:val="none"/>
        </w:rPr>
        <w:t>Correlation between 17 Metal Concentrations and GGT</w:t>
      </w:r>
    </w:p>
    <w:tbl>
      <w:tblPr>
        <w:tblStyle w:val="5"/>
        <w:tblW w:w="51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50"/>
        <w:gridCol w:w="2915"/>
        <w:gridCol w:w="1073"/>
      </w:tblGrid>
      <w:tr w14:paraId="72CED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vMerge w:val="restart"/>
            <w:tcBorders>
              <w:top w:val="single" w:color="000000" w:sz="4" w:space="0"/>
              <w:left w:val="nil"/>
              <w:right w:val="nil"/>
            </w:tcBorders>
            <w:noWrap/>
            <w:vAlign w:val="center"/>
          </w:tcPr>
          <w:p w14:paraId="20C262A4">
            <w:pPr>
              <w:jc w:val="center"/>
              <w:rPr>
                <w:rFonts w:hint="default" w:ascii="Times New Roman" w:hAnsi="Times New Roman" w:cs="Times New Roman" w:eastAsiaTheme="minorEastAsia"/>
                <w:i w:val="0"/>
                <w:iCs w:val="0"/>
                <w:color w:val="auto"/>
                <w:sz w:val="24"/>
                <w:szCs w:val="24"/>
                <w:highlight w:val="none"/>
                <w:u w:val="none"/>
                <w:lang w:val="en-US" w:eastAsia="zh-CN"/>
              </w:rPr>
            </w:pPr>
            <w:r>
              <w:rPr>
                <w:rFonts w:hint="default" w:ascii="Times New Roman" w:hAnsi="Times New Roman" w:eastAsia="楷体" w:cs="Times New Roman"/>
                <w:b w:val="0"/>
                <w:bCs w:val="0"/>
                <w:color w:val="auto"/>
                <w:sz w:val="24"/>
                <w:szCs w:val="24"/>
                <w:highlight w:val="none"/>
                <w:lang w:val="en-US" w:eastAsia="zh-CN"/>
              </w:rPr>
              <w:t>Metals</w:t>
            </w:r>
          </w:p>
        </w:tc>
        <w:tc>
          <w:tcPr>
            <w:tcW w:w="3988" w:type="dxa"/>
            <w:gridSpan w:val="2"/>
            <w:tcBorders>
              <w:top w:val="single" w:color="000000" w:sz="4" w:space="0"/>
              <w:left w:val="nil"/>
              <w:bottom w:val="single" w:color="000000" w:sz="4" w:space="0"/>
              <w:right w:val="nil"/>
            </w:tcBorders>
            <w:noWrap/>
            <w:vAlign w:val="center"/>
          </w:tcPr>
          <w:p w14:paraId="382EB6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 w:cs="Times New Roman"/>
                <w:b w:val="0"/>
                <w:bCs w:val="0"/>
                <w:i w:val="0"/>
                <w:iCs w:val="0"/>
                <w:color w:val="auto"/>
                <w:sz w:val="24"/>
                <w:szCs w:val="24"/>
                <w:highlight w:val="none"/>
                <w:u w:val="none"/>
                <w:lang w:val="en-US"/>
              </w:rPr>
            </w:pPr>
            <w:r>
              <w:rPr>
                <w:rFonts w:hint="default" w:ascii="Times New Roman" w:hAnsi="Times New Roman" w:eastAsia="楷体" w:cs="Times New Roman"/>
                <w:i w:val="0"/>
                <w:iCs w:val="0"/>
                <w:color w:val="auto"/>
                <w:kern w:val="0"/>
                <w:sz w:val="24"/>
                <w:szCs w:val="24"/>
                <w:highlight w:val="none"/>
                <w:u w:val="none"/>
                <w:lang w:val="en-US" w:eastAsia="zh-CN" w:bidi="ar"/>
              </w:rPr>
              <w:t>GGT</w:t>
            </w:r>
          </w:p>
        </w:tc>
      </w:tr>
      <w:tr w14:paraId="14956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vMerge w:val="continue"/>
            <w:tcBorders>
              <w:left w:val="nil"/>
              <w:bottom w:val="nil"/>
              <w:right w:val="nil"/>
            </w:tcBorders>
            <w:noWrap/>
            <w:vAlign w:val="center"/>
          </w:tcPr>
          <w:p w14:paraId="69E090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楷体" w:cs="Times New Roman"/>
                <w:i w:val="0"/>
                <w:iCs w:val="0"/>
                <w:color w:val="auto"/>
                <w:sz w:val="24"/>
                <w:szCs w:val="24"/>
                <w:highlight w:val="none"/>
                <w:u w:val="none"/>
              </w:rPr>
            </w:pPr>
          </w:p>
        </w:tc>
        <w:tc>
          <w:tcPr>
            <w:tcW w:w="2915" w:type="dxa"/>
            <w:tcBorders>
              <w:top w:val="nil"/>
              <w:left w:val="nil"/>
              <w:bottom w:val="nil"/>
              <w:right w:val="nil"/>
            </w:tcBorders>
            <w:noWrap/>
            <w:vAlign w:val="center"/>
          </w:tcPr>
          <w:p w14:paraId="0503B65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 w:cs="Times New Roman"/>
                <w:b w:val="0"/>
                <w:bCs w:val="0"/>
                <w:i w:val="0"/>
                <w:iCs w:val="0"/>
                <w:color w:val="auto"/>
                <w:sz w:val="24"/>
                <w:szCs w:val="24"/>
                <w:highlight w:val="none"/>
                <w:u w:val="none"/>
              </w:rPr>
            </w:pPr>
            <w:r>
              <w:rPr>
                <w:rFonts w:hint="default" w:ascii="Times New Roman" w:hAnsi="Times New Roman" w:eastAsia="楷体" w:cs="Times New Roman"/>
                <w:b w:val="0"/>
                <w:bCs w:val="0"/>
                <w:i w:val="0"/>
                <w:iCs w:val="0"/>
                <w:color w:val="auto"/>
                <w:kern w:val="0"/>
                <w:sz w:val="24"/>
                <w:szCs w:val="24"/>
                <w:highlight w:val="none"/>
                <w:u w:val="none"/>
                <w:lang w:val="en-US" w:eastAsia="zh-CN" w:bidi="ar"/>
              </w:rPr>
              <w:t>β（95% CI）</w:t>
            </w:r>
          </w:p>
        </w:tc>
        <w:tc>
          <w:tcPr>
            <w:tcW w:w="1073" w:type="dxa"/>
            <w:tcBorders>
              <w:top w:val="nil"/>
              <w:left w:val="nil"/>
              <w:bottom w:val="nil"/>
              <w:right w:val="nil"/>
            </w:tcBorders>
            <w:noWrap/>
            <w:vAlign w:val="center"/>
          </w:tcPr>
          <w:p w14:paraId="383DDDE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楷体" w:cs="Times New Roman"/>
                <w:b w:val="0"/>
                <w:bCs w:val="0"/>
                <w:i/>
                <w:iCs/>
                <w:color w:val="auto"/>
                <w:sz w:val="24"/>
                <w:szCs w:val="24"/>
                <w:highlight w:val="none"/>
                <w:u w:val="none"/>
              </w:rPr>
            </w:pPr>
            <w:r>
              <w:rPr>
                <w:rFonts w:hint="default" w:ascii="Times New Roman" w:hAnsi="Times New Roman" w:eastAsia="楷体" w:cs="Times New Roman"/>
                <w:b w:val="0"/>
                <w:bCs w:val="0"/>
                <w:i/>
                <w:iCs/>
                <w:color w:val="auto"/>
                <w:kern w:val="0"/>
                <w:sz w:val="24"/>
                <w:szCs w:val="24"/>
                <w:highlight w:val="none"/>
                <w:u w:val="none"/>
                <w:lang w:val="en-US" w:eastAsia="zh-CN" w:bidi="ar"/>
              </w:rPr>
              <w:t>P value</w:t>
            </w:r>
          </w:p>
        </w:tc>
      </w:tr>
      <w:tr w14:paraId="71655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left w:val="nil"/>
              <w:bottom w:val="nil"/>
              <w:right w:val="nil"/>
            </w:tcBorders>
            <w:noWrap/>
            <w:vAlign w:val="top"/>
          </w:tcPr>
          <w:p w14:paraId="5B36B976">
            <w:pPr>
              <w:spacing w:after="0" w:line="240" w:lineRule="auto"/>
              <w:jc w:val="center"/>
              <w:rPr>
                <w:rFonts w:hint="default" w:ascii="Times New Roman" w:hAnsi="Times New Roman" w:eastAsia="楷体" w:cs="Times New Roman"/>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Cu</w:t>
            </w:r>
          </w:p>
        </w:tc>
        <w:tc>
          <w:tcPr>
            <w:tcW w:w="2915" w:type="dxa"/>
            <w:tcBorders>
              <w:top w:val="nil"/>
              <w:left w:val="nil"/>
              <w:bottom w:val="nil"/>
              <w:right w:val="nil"/>
            </w:tcBorders>
            <w:noWrap/>
            <w:vAlign w:val="top"/>
          </w:tcPr>
          <w:p w14:paraId="7FDDFA41">
            <w:pPr>
              <w:spacing w:after="0" w:line="240" w:lineRule="auto"/>
              <w:jc w:val="center"/>
              <w:rPr>
                <w:rFonts w:hint="default" w:ascii="Times New Roman" w:hAnsi="Times New Roman" w:eastAsia="楷体" w:cs="Times New Roman"/>
                <w:b/>
                <w:bCs/>
                <w:i w:val="0"/>
                <w:iCs w:val="0"/>
                <w:color w:val="auto"/>
                <w:kern w:val="0"/>
                <w:sz w:val="24"/>
                <w:szCs w:val="24"/>
                <w:highlight w:val="none"/>
                <w:u w:val="none"/>
                <w:lang w:val="en-US" w:eastAsia="zh-CN" w:bidi="ar"/>
              </w:rPr>
            </w:pPr>
            <w:r>
              <w:rPr>
                <w:rFonts w:hint="default" w:ascii="Times New Roman" w:hAnsi="Times New Roman" w:cs="Times New Roman"/>
                <w:b/>
                <w:bCs/>
                <w:color w:val="auto"/>
                <w:sz w:val="24"/>
                <w:szCs w:val="24"/>
                <w:highlight w:val="none"/>
              </w:rPr>
              <w:t>0.59 (0.31, 0.87)</w:t>
            </w:r>
          </w:p>
        </w:tc>
        <w:tc>
          <w:tcPr>
            <w:tcW w:w="1073" w:type="dxa"/>
            <w:tcBorders>
              <w:top w:val="nil"/>
              <w:left w:val="nil"/>
              <w:bottom w:val="nil"/>
              <w:right w:val="nil"/>
            </w:tcBorders>
            <w:noWrap/>
            <w:vAlign w:val="top"/>
          </w:tcPr>
          <w:p w14:paraId="73A166C9">
            <w:pPr>
              <w:spacing w:after="0" w:line="240" w:lineRule="auto"/>
              <w:jc w:val="center"/>
              <w:rPr>
                <w:rFonts w:hint="default" w:ascii="Times New Roman" w:hAnsi="Times New Roman" w:eastAsia="楷体" w:cs="Times New Roman"/>
                <w:b/>
                <w:bCs/>
                <w:i/>
                <w:iCs/>
                <w:color w:val="auto"/>
                <w:kern w:val="0"/>
                <w:sz w:val="24"/>
                <w:szCs w:val="24"/>
                <w:highlight w:val="none"/>
                <w:u w:val="none"/>
                <w:lang w:val="en-US" w:eastAsia="zh-CN" w:bidi="ar"/>
              </w:rPr>
            </w:pPr>
            <w:r>
              <w:rPr>
                <w:rFonts w:hint="default" w:ascii="Times New Roman" w:hAnsi="Times New Roman" w:cs="Times New Roman"/>
                <w:b/>
                <w:bCs/>
                <w:color w:val="auto"/>
                <w:sz w:val="24"/>
                <w:szCs w:val="24"/>
                <w:highlight w:val="none"/>
              </w:rPr>
              <w:t>&lt;0.001</w:t>
            </w:r>
          </w:p>
        </w:tc>
      </w:tr>
      <w:tr w14:paraId="5EAEC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top w:val="nil"/>
              <w:left w:val="nil"/>
              <w:bottom w:val="nil"/>
              <w:right w:val="nil"/>
            </w:tcBorders>
            <w:noWrap w:val="0"/>
            <w:vAlign w:val="top"/>
          </w:tcPr>
          <w:p w14:paraId="04155BCA">
            <w:pPr>
              <w:spacing w:after="0" w:line="240" w:lineRule="auto"/>
              <w:jc w:val="center"/>
              <w:rPr>
                <w:rFonts w:hint="default" w:ascii="Times New Roman" w:hAnsi="Times New Roman" w:eastAsia="楷体" w:cs="Times New Roman"/>
                <w:b w:val="0"/>
                <w:bCs w:val="0"/>
                <w:i w:val="0"/>
                <w:iCs w:val="0"/>
                <w:color w:val="auto"/>
                <w:sz w:val="24"/>
                <w:szCs w:val="24"/>
                <w:highlight w:val="none"/>
                <w:u w:val="none"/>
              </w:rPr>
            </w:pPr>
            <w:r>
              <w:rPr>
                <w:rFonts w:hint="default" w:ascii="Times New Roman" w:hAnsi="Times New Roman" w:cs="Times New Roman"/>
                <w:color w:val="auto"/>
                <w:sz w:val="24"/>
                <w:szCs w:val="24"/>
                <w:highlight w:val="none"/>
              </w:rPr>
              <w:t>Mo</w:t>
            </w:r>
          </w:p>
        </w:tc>
        <w:tc>
          <w:tcPr>
            <w:tcW w:w="2915" w:type="dxa"/>
            <w:tcBorders>
              <w:top w:val="nil"/>
              <w:left w:val="nil"/>
              <w:bottom w:val="nil"/>
              <w:right w:val="nil"/>
            </w:tcBorders>
            <w:noWrap/>
            <w:vAlign w:val="top"/>
          </w:tcPr>
          <w:p w14:paraId="7AC6FC94">
            <w:pPr>
              <w:spacing w:after="0" w:line="240" w:lineRule="auto"/>
              <w:jc w:val="center"/>
              <w:rPr>
                <w:rFonts w:hint="default" w:ascii="Times New Roman" w:hAnsi="Times New Roman" w:eastAsia="楷体" w:cs="Times New Roman"/>
                <w:b/>
                <w:bCs/>
                <w:i w:val="0"/>
                <w:iCs w:val="0"/>
                <w:color w:val="auto"/>
                <w:sz w:val="24"/>
                <w:szCs w:val="24"/>
                <w:highlight w:val="none"/>
                <w:u w:val="none"/>
                <w:lang w:val="en-US" w:eastAsia="zh-CN"/>
              </w:rPr>
            </w:pPr>
            <w:r>
              <w:rPr>
                <w:rFonts w:hint="default" w:ascii="Times New Roman" w:hAnsi="Times New Roman" w:cs="Times New Roman"/>
                <w:b/>
                <w:bCs/>
                <w:color w:val="auto"/>
                <w:sz w:val="24"/>
                <w:szCs w:val="24"/>
                <w:highlight w:val="none"/>
              </w:rPr>
              <w:t>-0.21 (-0.34, -0.08)</w:t>
            </w:r>
          </w:p>
        </w:tc>
        <w:tc>
          <w:tcPr>
            <w:tcW w:w="1073" w:type="dxa"/>
            <w:tcBorders>
              <w:top w:val="nil"/>
              <w:left w:val="nil"/>
              <w:bottom w:val="nil"/>
              <w:right w:val="nil"/>
            </w:tcBorders>
            <w:noWrap/>
            <w:vAlign w:val="top"/>
          </w:tcPr>
          <w:p w14:paraId="65322BAA">
            <w:pPr>
              <w:spacing w:after="0" w:line="240" w:lineRule="auto"/>
              <w:jc w:val="center"/>
              <w:rPr>
                <w:rFonts w:hint="default" w:ascii="Times New Roman" w:hAnsi="Times New Roman" w:eastAsia="楷体" w:cs="Times New Roman"/>
                <w:b/>
                <w:bCs/>
                <w:i w:val="0"/>
                <w:iCs w:val="0"/>
                <w:color w:val="auto"/>
                <w:sz w:val="24"/>
                <w:szCs w:val="24"/>
                <w:highlight w:val="none"/>
                <w:u w:val="none"/>
                <w:lang w:val="en-US" w:eastAsia="zh-CN"/>
              </w:rPr>
            </w:pPr>
            <w:r>
              <w:rPr>
                <w:rFonts w:hint="default" w:ascii="Times New Roman" w:hAnsi="Times New Roman" w:cs="Times New Roman"/>
                <w:b/>
                <w:bCs/>
                <w:color w:val="auto"/>
                <w:sz w:val="24"/>
                <w:szCs w:val="24"/>
                <w:highlight w:val="none"/>
              </w:rPr>
              <w:t>0.002</w:t>
            </w:r>
          </w:p>
        </w:tc>
      </w:tr>
      <w:tr w14:paraId="714AE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top w:val="nil"/>
              <w:left w:val="nil"/>
              <w:bottom w:val="nil"/>
              <w:right w:val="nil"/>
            </w:tcBorders>
            <w:noWrap w:val="0"/>
            <w:vAlign w:val="top"/>
          </w:tcPr>
          <w:p w14:paraId="01749976">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rPr>
            </w:pPr>
            <w:r>
              <w:rPr>
                <w:rFonts w:hint="default" w:ascii="Times New Roman" w:hAnsi="Times New Roman" w:cs="Times New Roman"/>
                <w:color w:val="auto"/>
                <w:sz w:val="24"/>
                <w:szCs w:val="24"/>
                <w:highlight w:val="none"/>
              </w:rPr>
              <w:t>Sr</w:t>
            </w:r>
          </w:p>
        </w:tc>
        <w:tc>
          <w:tcPr>
            <w:tcW w:w="2915" w:type="dxa"/>
            <w:tcBorders>
              <w:top w:val="nil"/>
              <w:left w:val="nil"/>
              <w:bottom w:val="nil"/>
              <w:right w:val="nil"/>
            </w:tcBorders>
            <w:noWrap/>
            <w:vAlign w:val="top"/>
          </w:tcPr>
          <w:p w14:paraId="232055E3">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0.15 (-0.04, 0.35)</w:t>
            </w:r>
          </w:p>
        </w:tc>
        <w:tc>
          <w:tcPr>
            <w:tcW w:w="1073" w:type="dxa"/>
            <w:tcBorders>
              <w:top w:val="nil"/>
              <w:left w:val="nil"/>
              <w:bottom w:val="nil"/>
              <w:right w:val="nil"/>
            </w:tcBorders>
            <w:noWrap/>
            <w:vAlign w:val="top"/>
          </w:tcPr>
          <w:p w14:paraId="14D98372">
            <w:pPr>
              <w:spacing w:after="0" w:line="240" w:lineRule="auto"/>
              <w:jc w:val="center"/>
              <w:rPr>
                <w:rFonts w:hint="default" w:ascii="Times New Roman" w:hAnsi="Times New Roman" w:eastAsia="宋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0.129</w:t>
            </w:r>
          </w:p>
        </w:tc>
      </w:tr>
      <w:tr w14:paraId="23589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top w:val="nil"/>
              <w:left w:val="nil"/>
              <w:bottom w:val="nil"/>
              <w:right w:val="nil"/>
            </w:tcBorders>
            <w:noWrap w:val="0"/>
            <w:vAlign w:val="top"/>
          </w:tcPr>
          <w:p w14:paraId="56D174B5">
            <w:pPr>
              <w:spacing w:after="0" w:line="240" w:lineRule="auto"/>
              <w:jc w:val="center"/>
              <w:rPr>
                <w:rFonts w:hint="default" w:ascii="Times New Roman" w:hAnsi="Times New Roman" w:eastAsia="楷体" w:cs="Times New Roman"/>
                <w:b w:val="0"/>
                <w:bCs w:val="0"/>
                <w:i w:val="0"/>
                <w:iCs w:val="0"/>
                <w:color w:val="auto"/>
                <w:sz w:val="24"/>
                <w:szCs w:val="24"/>
                <w:highlight w:val="none"/>
                <w:u w:val="none"/>
              </w:rPr>
            </w:pPr>
            <w:r>
              <w:rPr>
                <w:rFonts w:hint="default" w:ascii="Times New Roman" w:hAnsi="Times New Roman" w:cs="Times New Roman"/>
                <w:color w:val="auto"/>
                <w:sz w:val="24"/>
                <w:szCs w:val="24"/>
                <w:highlight w:val="none"/>
              </w:rPr>
              <w:t>Na</w:t>
            </w:r>
          </w:p>
        </w:tc>
        <w:tc>
          <w:tcPr>
            <w:tcW w:w="2915" w:type="dxa"/>
            <w:tcBorders>
              <w:top w:val="nil"/>
              <w:left w:val="nil"/>
              <w:bottom w:val="nil"/>
              <w:right w:val="nil"/>
            </w:tcBorders>
            <w:noWrap/>
            <w:vAlign w:val="top"/>
          </w:tcPr>
          <w:p w14:paraId="0DB535BA">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-0.47 (-1.01, 0.08)</w:t>
            </w:r>
          </w:p>
        </w:tc>
        <w:tc>
          <w:tcPr>
            <w:tcW w:w="1073" w:type="dxa"/>
            <w:tcBorders>
              <w:top w:val="nil"/>
              <w:left w:val="nil"/>
              <w:bottom w:val="nil"/>
              <w:right w:val="nil"/>
            </w:tcBorders>
            <w:noWrap/>
            <w:vAlign w:val="top"/>
          </w:tcPr>
          <w:p w14:paraId="13ECBF94">
            <w:pPr>
              <w:spacing w:after="0" w:line="240" w:lineRule="auto"/>
              <w:jc w:val="center"/>
              <w:rPr>
                <w:rFonts w:hint="default" w:ascii="Times New Roman" w:hAnsi="Times New Roman" w:eastAsia="宋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0.093</w:t>
            </w:r>
          </w:p>
        </w:tc>
      </w:tr>
      <w:tr w14:paraId="3798D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top w:val="nil"/>
              <w:left w:val="nil"/>
              <w:bottom w:val="nil"/>
              <w:right w:val="nil"/>
            </w:tcBorders>
            <w:noWrap w:val="0"/>
            <w:vAlign w:val="top"/>
          </w:tcPr>
          <w:p w14:paraId="404D6BC2">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rPr>
            </w:pPr>
            <w:r>
              <w:rPr>
                <w:rFonts w:hint="default" w:ascii="Times New Roman" w:hAnsi="Times New Roman" w:cs="Times New Roman"/>
                <w:color w:val="auto"/>
                <w:sz w:val="24"/>
                <w:szCs w:val="24"/>
                <w:highlight w:val="none"/>
              </w:rPr>
              <w:t>Fe</w:t>
            </w:r>
          </w:p>
        </w:tc>
        <w:tc>
          <w:tcPr>
            <w:tcW w:w="2915" w:type="dxa"/>
            <w:tcBorders>
              <w:top w:val="nil"/>
              <w:left w:val="nil"/>
              <w:bottom w:val="nil"/>
              <w:right w:val="nil"/>
            </w:tcBorders>
            <w:noWrap/>
            <w:vAlign w:val="top"/>
          </w:tcPr>
          <w:p w14:paraId="45B126E1">
            <w:pPr>
              <w:spacing w:after="0" w:line="240" w:lineRule="auto"/>
              <w:jc w:val="center"/>
              <w:rPr>
                <w:rFonts w:hint="default" w:ascii="Times New Roman" w:hAnsi="Times New Roman" w:eastAsia="楷体" w:cs="Times New Roman"/>
                <w:b/>
                <w:bCs/>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-0.03 (-0.17, 0.11)</w:t>
            </w:r>
          </w:p>
        </w:tc>
        <w:tc>
          <w:tcPr>
            <w:tcW w:w="1073" w:type="dxa"/>
            <w:tcBorders>
              <w:top w:val="nil"/>
              <w:left w:val="nil"/>
              <w:bottom w:val="nil"/>
              <w:right w:val="nil"/>
            </w:tcBorders>
            <w:noWrap/>
            <w:vAlign w:val="top"/>
          </w:tcPr>
          <w:p w14:paraId="3AA7D503">
            <w:pPr>
              <w:spacing w:after="0" w:line="240" w:lineRule="auto"/>
              <w:jc w:val="center"/>
              <w:rPr>
                <w:rFonts w:hint="default" w:ascii="Times New Roman" w:hAnsi="Times New Roman" w:eastAsia="楷体" w:cs="Times New Roman"/>
                <w:b/>
                <w:bCs/>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0.671</w:t>
            </w:r>
          </w:p>
        </w:tc>
      </w:tr>
      <w:tr w14:paraId="40C31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top w:val="nil"/>
              <w:left w:val="nil"/>
              <w:bottom w:val="nil"/>
              <w:right w:val="nil"/>
            </w:tcBorders>
            <w:noWrap w:val="0"/>
            <w:vAlign w:val="top"/>
          </w:tcPr>
          <w:p w14:paraId="5BC0E85F">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rPr>
            </w:pPr>
            <w:r>
              <w:rPr>
                <w:rFonts w:hint="default" w:ascii="Times New Roman" w:hAnsi="Times New Roman" w:cs="Times New Roman"/>
                <w:color w:val="auto"/>
                <w:sz w:val="24"/>
                <w:szCs w:val="24"/>
                <w:highlight w:val="none"/>
              </w:rPr>
              <w:t>Zn</w:t>
            </w:r>
          </w:p>
        </w:tc>
        <w:tc>
          <w:tcPr>
            <w:tcW w:w="2915" w:type="dxa"/>
            <w:tcBorders>
              <w:top w:val="nil"/>
              <w:left w:val="nil"/>
              <w:bottom w:val="nil"/>
              <w:right w:val="nil"/>
            </w:tcBorders>
            <w:noWrap/>
            <w:vAlign w:val="top"/>
          </w:tcPr>
          <w:p w14:paraId="1E8F05D4">
            <w:pPr>
              <w:spacing w:after="0" w:line="240" w:lineRule="auto"/>
              <w:jc w:val="center"/>
              <w:rPr>
                <w:rFonts w:hint="default" w:ascii="Times New Roman" w:hAnsi="Times New Roman" w:eastAsia="楷体" w:cs="Times New Roman"/>
                <w:b/>
                <w:bCs/>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-0.36 (-0.73, 0.00)</w:t>
            </w:r>
          </w:p>
        </w:tc>
        <w:tc>
          <w:tcPr>
            <w:tcW w:w="1073" w:type="dxa"/>
            <w:tcBorders>
              <w:top w:val="nil"/>
              <w:left w:val="nil"/>
              <w:bottom w:val="nil"/>
              <w:right w:val="nil"/>
            </w:tcBorders>
            <w:noWrap/>
            <w:vAlign w:val="top"/>
          </w:tcPr>
          <w:p w14:paraId="048A9285">
            <w:pPr>
              <w:spacing w:after="0" w:line="240" w:lineRule="auto"/>
              <w:jc w:val="center"/>
              <w:rPr>
                <w:rFonts w:hint="default" w:ascii="Times New Roman" w:hAnsi="Times New Roman" w:eastAsia="宋体" w:cs="Times New Roman"/>
                <w:b/>
                <w:bCs/>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0.051</w:t>
            </w:r>
          </w:p>
        </w:tc>
      </w:tr>
      <w:tr w14:paraId="5BCED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top w:val="nil"/>
              <w:left w:val="nil"/>
              <w:bottom w:val="nil"/>
              <w:right w:val="nil"/>
            </w:tcBorders>
            <w:noWrap w:val="0"/>
            <w:vAlign w:val="top"/>
          </w:tcPr>
          <w:p w14:paraId="0DCD38EE">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rPr>
            </w:pPr>
            <w:r>
              <w:rPr>
                <w:rFonts w:hint="default" w:ascii="Times New Roman" w:hAnsi="Times New Roman" w:cs="Times New Roman"/>
                <w:color w:val="auto"/>
                <w:sz w:val="24"/>
                <w:szCs w:val="24"/>
                <w:highlight w:val="none"/>
              </w:rPr>
              <w:t>Se</w:t>
            </w:r>
          </w:p>
        </w:tc>
        <w:tc>
          <w:tcPr>
            <w:tcW w:w="2915" w:type="dxa"/>
            <w:tcBorders>
              <w:top w:val="nil"/>
              <w:left w:val="nil"/>
              <w:bottom w:val="nil"/>
              <w:right w:val="nil"/>
            </w:tcBorders>
            <w:noWrap/>
            <w:vAlign w:val="top"/>
          </w:tcPr>
          <w:p w14:paraId="58523AF2">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0.00 (-0.36, 0.36)</w:t>
            </w:r>
          </w:p>
        </w:tc>
        <w:tc>
          <w:tcPr>
            <w:tcW w:w="1073" w:type="dxa"/>
            <w:tcBorders>
              <w:top w:val="nil"/>
              <w:left w:val="nil"/>
              <w:bottom w:val="nil"/>
              <w:right w:val="nil"/>
            </w:tcBorders>
            <w:noWrap/>
            <w:vAlign w:val="top"/>
          </w:tcPr>
          <w:p w14:paraId="0EA81BEB">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0.998</w:t>
            </w:r>
          </w:p>
        </w:tc>
      </w:tr>
      <w:tr w14:paraId="2E506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top w:val="nil"/>
              <w:left w:val="nil"/>
              <w:bottom w:val="nil"/>
              <w:right w:val="nil"/>
            </w:tcBorders>
            <w:noWrap w:val="0"/>
            <w:vAlign w:val="top"/>
          </w:tcPr>
          <w:p w14:paraId="25E3FBEC">
            <w:pPr>
              <w:spacing w:after="0" w:line="240" w:lineRule="auto"/>
              <w:jc w:val="center"/>
              <w:rPr>
                <w:rFonts w:hint="default" w:ascii="Times New Roman" w:hAnsi="Times New Roman" w:eastAsia="宋体" w:cs="Times New Roman"/>
                <w:b w:val="0"/>
                <w:bCs w:val="0"/>
                <w:i w:val="0"/>
                <w:iCs w:val="0"/>
                <w:color w:val="auto"/>
                <w:kern w:val="0"/>
                <w:sz w:val="24"/>
                <w:szCs w:val="24"/>
                <w:highlight w:val="none"/>
                <w:u w:val="none"/>
                <w:lang w:val="en-US" w:eastAsia="zh-CN" w:bidi="ar"/>
              </w:rPr>
            </w:pPr>
            <w:r>
              <w:rPr>
                <w:rFonts w:hint="default" w:ascii="Times New Roman" w:hAnsi="Times New Roman" w:cs="Times New Roman"/>
                <w:color w:val="auto"/>
                <w:sz w:val="24"/>
                <w:szCs w:val="24"/>
                <w:highlight w:val="none"/>
              </w:rPr>
              <w:t>V</w:t>
            </w:r>
          </w:p>
        </w:tc>
        <w:tc>
          <w:tcPr>
            <w:tcW w:w="2915" w:type="dxa"/>
            <w:tcBorders>
              <w:top w:val="nil"/>
              <w:left w:val="nil"/>
              <w:bottom w:val="nil"/>
              <w:right w:val="nil"/>
            </w:tcBorders>
            <w:noWrap/>
            <w:vAlign w:val="top"/>
          </w:tcPr>
          <w:p w14:paraId="449012B1">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-0.24 (-0.53, 0.05)</w:t>
            </w:r>
          </w:p>
        </w:tc>
        <w:tc>
          <w:tcPr>
            <w:tcW w:w="1073" w:type="dxa"/>
            <w:tcBorders>
              <w:top w:val="nil"/>
              <w:left w:val="nil"/>
              <w:bottom w:val="nil"/>
              <w:right w:val="nil"/>
            </w:tcBorders>
            <w:noWrap/>
            <w:vAlign w:val="top"/>
          </w:tcPr>
          <w:p w14:paraId="45BE9182">
            <w:pPr>
              <w:spacing w:after="0" w:line="240" w:lineRule="auto"/>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cs="Times New Roman"/>
                <w:color w:val="auto"/>
                <w:sz w:val="24"/>
                <w:szCs w:val="24"/>
                <w:highlight w:val="none"/>
              </w:rPr>
              <w:t>0.103</w:t>
            </w:r>
          </w:p>
        </w:tc>
      </w:tr>
      <w:tr w14:paraId="66B26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top w:val="nil"/>
              <w:left w:val="nil"/>
              <w:bottom w:val="nil"/>
              <w:right w:val="nil"/>
            </w:tcBorders>
            <w:noWrap w:val="0"/>
            <w:vAlign w:val="top"/>
          </w:tcPr>
          <w:p w14:paraId="6811D386">
            <w:pPr>
              <w:spacing w:after="0" w:line="240" w:lineRule="auto"/>
              <w:jc w:val="center"/>
              <w:rPr>
                <w:rFonts w:hint="default" w:ascii="Times New Roman" w:hAnsi="Times New Roman" w:eastAsia="宋体" w:cs="Times New Roman"/>
                <w:b w:val="0"/>
                <w:bCs w:val="0"/>
                <w:i w:val="0"/>
                <w:iCs w:val="0"/>
                <w:color w:val="auto"/>
                <w:kern w:val="0"/>
                <w:sz w:val="24"/>
                <w:szCs w:val="24"/>
                <w:highlight w:val="none"/>
                <w:u w:val="none"/>
                <w:lang w:val="en-US" w:eastAsia="zh-CN" w:bidi="ar"/>
              </w:rPr>
            </w:pPr>
            <w:r>
              <w:rPr>
                <w:rFonts w:hint="default" w:ascii="Times New Roman" w:hAnsi="Times New Roman" w:cs="Times New Roman"/>
                <w:color w:val="auto"/>
                <w:sz w:val="24"/>
                <w:szCs w:val="24"/>
                <w:highlight w:val="none"/>
              </w:rPr>
              <w:t>Cr</w:t>
            </w:r>
          </w:p>
        </w:tc>
        <w:tc>
          <w:tcPr>
            <w:tcW w:w="2915" w:type="dxa"/>
            <w:tcBorders>
              <w:top w:val="nil"/>
              <w:left w:val="nil"/>
              <w:bottom w:val="nil"/>
              <w:right w:val="nil"/>
            </w:tcBorders>
            <w:noWrap/>
            <w:vAlign w:val="top"/>
          </w:tcPr>
          <w:p w14:paraId="3D59103C">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0.64 (-0.04, 1.33)</w:t>
            </w:r>
          </w:p>
        </w:tc>
        <w:tc>
          <w:tcPr>
            <w:tcW w:w="1073" w:type="dxa"/>
            <w:tcBorders>
              <w:top w:val="nil"/>
              <w:left w:val="nil"/>
              <w:bottom w:val="nil"/>
              <w:right w:val="nil"/>
            </w:tcBorders>
            <w:noWrap/>
            <w:vAlign w:val="top"/>
          </w:tcPr>
          <w:p w14:paraId="5471D1BB">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0.064</w:t>
            </w:r>
          </w:p>
        </w:tc>
      </w:tr>
      <w:tr w14:paraId="19314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top w:val="nil"/>
              <w:left w:val="nil"/>
              <w:bottom w:val="nil"/>
              <w:right w:val="nil"/>
            </w:tcBorders>
            <w:noWrap w:val="0"/>
            <w:vAlign w:val="top"/>
          </w:tcPr>
          <w:p w14:paraId="1EC350A3">
            <w:pPr>
              <w:spacing w:after="0" w:line="240" w:lineRule="auto"/>
              <w:jc w:val="center"/>
              <w:rPr>
                <w:rFonts w:hint="default" w:ascii="Times New Roman" w:hAnsi="Times New Roman" w:eastAsia="宋体" w:cs="Times New Roman"/>
                <w:b w:val="0"/>
                <w:bCs w:val="0"/>
                <w:i w:val="0"/>
                <w:iCs w:val="0"/>
                <w:color w:val="auto"/>
                <w:kern w:val="0"/>
                <w:sz w:val="24"/>
                <w:szCs w:val="24"/>
                <w:highlight w:val="none"/>
                <w:u w:val="none"/>
                <w:lang w:val="en-US" w:eastAsia="zh-CN" w:bidi="ar"/>
              </w:rPr>
            </w:pPr>
            <w:r>
              <w:rPr>
                <w:rFonts w:hint="default" w:ascii="Times New Roman" w:hAnsi="Times New Roman" w:cs="Times New Roman"/>
                <w:color w:val="auto"/>
                <w:sz w:val="24"/>
                <w:szCs w:val="24"/>
                <w:highlight w:val="none"/>
              </w:rPr>
              <w:t>Co</w:t>
            </w:r>
          </w:p>
        </w:tc>
        <w:tc>
          <w:tcPr>
            <w:tcW w:w="2915" w:type="dxa"/>
            <w:tcBorders>
              <w:top w:val="nil"/>
              <w:left w:val="nil"/>
              <w:bottom w:val="nil"/>
              <w:right w:val="nil"/>
            </w:tcBorders>
            <w:noWrap/>
            <w:vAlign w:val="top"/>
          </w:tcPr>
          <w:p w14:paraId="59583D2C">
            <w:pPr>
              <w:spacing w:after="0" w:line="240" w:lineRule="auto"/>
              <w:jc w:val="center"/>
              <w:rPr>
                <w:rFonts w:hint="default" w:ascii="Times New Roman" w:hAnsi="Times New Roman" w:eastAsia="楷体" w:cs="Times New Roman"/>
                <w:b/>
                <w:bCs/>
                <w:i w:val="0"/>
                <w:iCs w:val="0"/>
                <w:color w:val="auto"/>
                <w:sz w:val="24"/>
                <w:szCs w:val="24"/>
                <w:highlight w:val="none"/>
                <w:u w:val="none"/>
                <w:lang w:val="en-US" w:eastAsia="zh-CN"/>
              </w:rPr>
            </w:pPr>
            <w:r>
              <w:rPr>
                <w:rFonts w:hint="default" w:ascii="Times New Roman" w:hAnsi="Times New Roman" w:cs="Times New Roman"/>
                <w:b/>
                <w:bCs/>
                <w:color w:val="auto"/>
                <w:sz w:val="24"/>
                <w:szCs w:val="24"/>
                <w:highlight w:val="none"/>
              </w:rPr>
              <w:t>-0.08 (-0.13, -0.02)</w:t>
            </w:r>
          </w:p>
        </w:tc>
        <w:tc>
          <w:tcPr>
            <w:tcW w:w="1073" w:type="dxa"/>
            <w:tcBorders>
              <w:top w:val="nil"/>
              <w:left w:val="nil"/>
              <w:bottom w:val="nil"/>
              <w:right w:val="nil"/>
            </w:tcBorders>
            <w:noWrap/>
            <w:vAlign w:val="top"/>
          </w:tcPr>
          <w:p w14:paraId="7C92C632">
            <w:pPr>
              <w:spacing w:after="0" w:line="240" w:lineRule="auto"/>
              <w:jc w:val="center"/>
              <w:rPr>
                <w:rFonts w:hint="default" w:ascii="Times New Roman" w:hAnsi="Times New Roman" w:eastAsia="楷体" w:cs="Times New Roman"/>
                <w:b/>
                <w:bCs/>
                <w:i w:val="0"/>
                <w:iCs w:val="0"/>
                <w:color w:val="auto"/>
                <w:sz w:val="24"/>
                <w:szCs w:val="24"/>
                <w:highlight w:val="none"/>
                <w:u w:val="none"/>
                <w:lang w:val="en-US" w:eastAsia="zh-CN"/>
              </w:rPr>
            </w:pPr>
            <w:r>
              <w:rPr>
                <w:rFonts w:hint="default" w:ascii="Times New Roman" w:hAnsi="Times New Roman" w:cs="Times New Roman"/>
                <w:b/>
                <w:bCs/>
                <w:color w:val="auto"/>
                <w:sz w:val="24"/>
                <w:szCs w:val="24"/>
                <w:highlight w:val="none"/>
              </w:rPr>
              <w:t>0.010</w:t>
            </w:r>
          </w:p>
        </w:tc>
      </w:tr>
      <w:tr w14:paraId="67F60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top w:val="nil"/>
              <w:left w:val="nil"/>
              <w:bottom w:val="nil"/>
              <w:right w:val="nil"/>
            </w:tcBorders>
            <w:noWrap w:val="0"/>
            <w:vAlign w:val="top"/>
          </w:tcPr>
          <w:p w14:paraId="1959DBCF">
            <w:pPr>
              <w:spacing w:after="0" w:line="240" w:lineRule="auto"/>
              <w:jc w:val="center"/>
              <w:rPr>
                <w:rFonts w:hint="default" w:ascii="Times New Roman" w:hAnsi="Times New Roman" w:eastAsia="宋体" w:cs="Times New Roman"/>
                <w:b w:val="0"/>
                <w:bCs w:val="0"/>
                <w:i w:val="0"/>
                <w:iCs w:val="0"/>
                <w:color w:val="auto"/>
                <w:kern w:val="0"/>
                <w:sz w:val="24"/>
                <w:szCs w:val="24"/>
                <w:highlight w:val="none"/>
                <w:u w:val="none"/>
                <w:lang w:val="en-US" w:eastAsia="zh-CN" w:bidi="ar"/>
              </w:rPr>
            </w:pPr>
            <w:r>
              <w:rPr>
                <w:rFonts w:hint="default" w:ascii="Times New Roman" w:hAnsi="Times New Roman" w:cs="Times New Roman"/>
                <w:color w:val="auto"/>
                <w:sz w:val="24"/>
                <w:szCs w:val="24"/>
                <w:highlight w:val="none"/>
              </w:rPr>
              <w:t>Al</w:t>
            </w:r>
          </w:p>
        </w:tc>
        <w:tc>
          <w:tcPr>
            <w:tcW w:w="2915" w:type="dxa"/>
            <w:tcBorders>
              <w:top w:val="nil"/>
              <w:left w:val="nil"/>
              <w:bottom w:val="nil"/>
              <w:right w:val="nil"/>
            </w:tcBorders>
            <w:noWrap/>
            <w:vAlign w:val="top"/>
          </w:tcPr>
          <w:p w14:paraId="4DE74173">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-0.01 (-0.04, 0.01)</w:t>
            </w:r>
          </w:p>
        </w:tc>
        <w:tc>
          <w:tcPr>
            <w:tcW w:w="1073" w:type="dxa"/>
            <w:tcBorders>
              <w:top w:val="nil"/>
              <w:left w:val="nil"/>
              <w:bottom w:val="nil"/>
              <w:right w:val="nil"/>
            </w:tcBorders>
            <w:noWrap/>
            <w:vAlign w:val="top"/>
          </w:tcPr>
          <w:p w14:paraId="7715774F">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0.205</w:t>
            </w:r>
          </w:p>
        </w:tc>
      </w:tr>
      <w:tr w14:paraId="3B212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top w:val="nil"/>
              <w:left w:val="nil"/>
              <w:bottom w:val="nil"/>
              <w:right w:val="nil"/>
            </w:tcBorders>
            <w:noWrap w:val="0"/>
            <w:vAlign w:val="top"/>
          </w:tcPr>
          <w:p w14:paraId="0717F5C8">
            <w:pPr>
              <w:spacing w:after="0" w:line="240" w:lineRule="auto"/>
              <w:jc w:val="center"/>
              <w:rPr>
                <w:rFonts w:hint="default" w:ascii="Times New Roman" w:hAnsi="Times New Roman" w:eastAsia="宋体" w:cs="Times New Roman"/>
                <w:b w:val="0"/>
                <w:bCs w:val="0"/>
                <w:i w:val="0"/>
                <w:iCs w:val="0"/>
                <w:color w:val="auto"/>
                <w:kern w:val="0"/>
                <w:sz w:val="24"/>
                <w:szCs w:val="24"/>
                <w:highlight w:val="none"/>
                <w:u w:val="none"/>
                <w:lang w:val="en-US" w:eastAsia="zh-CN" w:bidi="ar"/>
              </w:rPr>
            </w:pPr>
            <w:r>
              <w:rPr>
                <w:rFonts w:hint="default" w:ascii="Times New Roman" w:hAnsi="Times New Roman" w:cs="Times New Roman"/>
                <w:color w:val="auto"/>
                <w:sz w:val="24"/>
                <w:szCs w:val="24"/>
                <w:highlight w:val="none"/>
              </w:rPr>
              <w:t>Ti</w:t>
            </w:r>
          </w:p>
        </w:tc>
        <w:tc>
          <w:tcPr>
            <w:tcW w:w="2915" w:type="dxa"/>
            <w:tcBorders>
              <w:top w:val="nil"/>
              <w:left w:val="nil"/>
              <w:bottom w:val="nil"/>
              <w:right w:val="nil"/>
            </w:tcBorders>
            <w:noWrap/>
            <w:vAlign w:val="top"/>
          </w:tcPr>
          <w:p w14:paraId="004CB34E">
            <w:pPr>
              <w:spacing w:after="0" w:line="240" w:lineRule="auto"/>
              <w:jc w:val="center"/>
              <w:rPr>
                <w:rFonts w:hint="default" w:ascii="Times New Roman" w:hAnsi="Times New Roman" w:eastAsia="楷体" w:cs="Times New Roman"/>
                <w:b/>
                <w:bCs/>
                <w:i w:val="0"/>
                <w:iCs w:val="0"/>
                <w:color w:val="auto"/>
                <w:sz w:val="24"/>
                <w:szCs w:val="24"/>
                <w:highlight w:val="none"/>
                <w:u w:val="none"/>
                <w:lang w:val="en-US" w:eastAsia="zh-CN"/>
              </w:rPr>
            </w:pPr>
            <w:r>
              <w:rPr>
                <w:rFonts w:hint="default" w:ascii="Times New Roman" w:hAnsi="Times New Roman" w:cs="Times New Roman"/>
                <w:b/>
                <w:bCs/>
                <w:color w:val="auto"/>
                <w:sz w:val="24"/>
                <w:szCs w:val="24"/>
                <w:highlight w:val="none"/>
              </w:rPr>
              <w:t>0.75 (0.37, 1.13)</w:t>
            </w:r>
          </w:p>
        </w:tc>
        <w:tc>
          <w:tcPr>
            <w:tcW w:w="1073" w:type="dxa"/>
            <w:tcBorders>
              <w:top w:val="nil"/>
              <w:left w:val="nil"/>
              <w:bottom w:val="nil"/>
              <w:right w:val="nil"/>
            </w:tcBorders>
            <w:noWrap/>
            <w:vAlign w:val="top"/>
          </w:tcPr>
          <w:p w14:paraId="0B4FFD23">
            <w:pPr>
              <w:spacing w:after="0" w:line="240" w:lineRule="auto"/>
              <w:jc w:val="center"/>
              <w:rPr>
                <w:rFonts w:hint="default" w:ascii="Times New Roman" w:hAnsi="Times New Roman" w:eastAsia="楷体" w:cs="Times New Roman"/>
                <w:b/>
                <w:bCs/>
                <w:i w:val="0"/>
                <w:iCs w:val="0"/>
                <w:color w:val="auto"/>
                <w:sz w:val="24"/>
                <w:szCs w:val="24"/>
                <w:highlight w:val="none"/>
                <w:u w:val="none"/>
                <w:lang w:val="en-US" w:eastAsia="zh-CN"/>
              </w:rPr>
            </w:pPr>
            <w:r>
              <w:rPr>
                <w:rFonts w:hint="default" w:ascii="Times New Roman" w:hAnsi="Times New Roman" w:cs="Times New Roman"/>
                <w:b/>
                <w:bCs/>
                <w:color w:val="auto"/>
                <w:sz w:val="24"/>
                <w:szCs w:val="24"/>
                <w:highlight w:val="none"/>
              </w:rPr>
              <w:t>&lt;0.001</w:t>
            </w:r>
          </w:p>
        </w:tc>
      </w:tr>
      <w:tr w14:paraId="51320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top w:val="nil"/>
              <w:left w:val="nil"/>
              <w:bottom w:val="nil"/>
              <w:right w:val="nil"/>
            </w:tcBorders>
            <w:noWrap w:val="0"/>
            <w:vAlign w:val="top"/>
          </w:tcPr>
          <w:p w14:paraId="23D08432">
            <w:pPr>
              <w:spacing w:after="0" w:line="240" w:lineRule="auto"/>
              <w:jc w:val="center"/>
              <w:rPr>
                <w:rFonts w:hint="default" w:ascii="Times New Roman" w:hAnsi="Times New Roman" w:eastAsia="宋体" w:cs="Times New Roman"/>
                <w:b w:val="0"/>
                <w:bCs w:val="0"/>
                <w:i w:val="0"/>
                <w:iCs w:val="0"/>
                <w:color w:val="auto"/>
                <w:kern w:val="0"/>
                <w:sz w:val="24"/>
                <w:szCs w:val="24"/>
                <w:highlight w:val="none"/>
                <w:u w:val="none"/>
                <w:lang w:val="en-US" w:eastAsia="zh-CN" w:bidi="ar"/>
              </w:rPr>
            </w:pPr>
            <w:r>
              <w:rPr>
                <w:rFonts w:hint="default" w:ascii="Times New Roman" w:hAnsi="Times New Roman" w:cs="Times New Roman"/>
                <w:color w:val="auto"/>
                <w:sz w:val="24"/>
                <w:szCs w:val="24"/>
                <w:highlight w:val="none"/>
              </w:rPr>
              <w:t>As</w:t>
            </w:r>
          </w:p>
        </w:tc>
        <w:tc>
          <w:tcPr>
            <w:tcW w:w="2915" w:type="dxa"/>
            <w:tcBorders>
              <w:top w:val="nil"/>
              <w:left w:val="nil"/>
              <w:bottom w:val="nil"/>
              <w:right w:val="nil"/>
            </w:tcBorders>
            <w:noWrap/>
            <w:vAlign w:val="top"/>
          </w:tcPr>
          <w:p w14:paraId="6D40FDF6">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0.02 (-0.06, 0.09)</w:t>
            </w:r>
          </w:p>
        </w:tc>
        <w:tc>
          <w:tcPr>
            <w:tcW w:w="1073" w:type="dxa"/>
            <w:tcBorders>
              <w:top w:val="nil"/>
              <w:left w:val="nil"/>
              <w:bottom w:val="nil"/>
              <w:right w:val="nil"/>
            </w:tcBorders>
            <w:noWrap/>
            <w:vAlign w:val="top"/>
          </w:tcPr>
          <w:p w14:paraId="5F2B2DF8">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0.669</w:t>
            </w:r>
          </w:p>
        </w:tc>
      </w:tr>
      <w:tr w14:paraId="70A03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top w:val="nil"/>
              <w:left w:val="nil"/>
              <w:bottom w:val="nil"/>
              <w:right w:val="nil"/>
            </w:tcBorders>
            <w:noWrap w:val="0"/>
            <w:vAlign w:val="top"/>
          </w:tcPr>
          <w:p w14:paraId="5AD56572">
            <w:pPr>
              <w:spacing w:after="0" w:line="240" w:lineRule="auto"/>
              <w:jc w:val="center"/>
              <w:rPr>
                <w:rFonts w:hint="default" w:ascii="Times New Roman" w:hAnsi="Times New Roman" w:eastAsia="宋体" w:cs="Times New Roman"/>
                <w:b w:val="0"/>
                <w:bCs w:val="0"/>
                <w:i w:val="0"/>
                <w:iCs w:val="0"/>
                <w:color w:val="auto"/>
                <w:kern w:val="0"/>
                <w:sz w:val="24"/>
                <w:szCs w:val="24"/>
                <w:highlight w:val="none"/>
                <w:u w:val="none"/>
                <w:lang w:val="en-US" w:eastAsia="zh-CN" w:bidi="ar"/>
              </w:rPr>
            </w:pPr>
            <w:r>
              <w:rPr>
                <w:rFonts w:hint="default" w:ascii="Times New Roman" w:hAnsi="Times New Roman" w:cs="Times New Roman"/>
                <w:color w:val="auto"/>
                <w:sz w:val="24"/>
                <w:szCs w:val="24"/>
                <w:highlight w:val="none"/>
              </w:rPr>
              <w:t>Sb</w:t>
            </w:r>
          </w:p>
        </w:tc>
        <w:tc>
          <w:tcPr>
            <w:tcW w:w="2915" w:type="dxa"/>
            <w:tcBorders>
              <w:top w:val="nil"/>
              <w:left w:val="nil"/>
              <w:bottom w:val="nil"/>
              <w:right w:val="nil"/>
            </w:tcBorders>
            <w:noWrap/>
            <w:vAlign w:val="top"/>
          </w:tcPr>
          <w:p w14:paraId="5C1E35C5">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-0.01 (-0.05, 0.04)</w:t>
            </w:r>
          </w:p>
        </w:tc>
        <w:tc>
          <w:tcPr>
            <w:tcW w:w="1073" w:type="dxa"/>
            <w:tcBorders>
              <w:top w:val="nil"/>
              <w:left w:val="nil"/>
              <w:bottom w:val="nil"/>
              <w:right w:val="nil"/>
            </w:tcBorders>
            <w:noWrap/>
            <w:vAlign w:val="top"/>
          </w:tcPr>
          <w:p w14:paraId="122D0CCC">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0.749</w:t>
            </w:r>
          </w:p>
        </w:tc>
      </w:tr>
      <w:tr w14:paraId="574B8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top w:val="nil"/>
              <w:left w:val="nil"/>
              <w:bottom w:val="nil"/>
              <w:right w:val="nil"/>
            </w:tcBorders>
            <w:noWrap w:val="0"/>
            <w:vAlign w:val="top"/>
          </w:tcPr>
          <w:p w14:paraId="224D322B">
            <w:pPr>
              <w:spacing w:after="0" w:line="240" w:lineRule="auto"/>
              <w:jc w:val="center"/>
              <w:rPr>
                <w:rFonts w:hint="default" w:ascii="Times New Roman" w:hAnsi="Times New Roman" w:eastAsia="宋体" w:cs="Times New Roman"/>
                <w:b w:val="0"/>
                <w:bCs w:val="0"/>
                <w:i w:val="0"/>
                <w:iCs w:val="0"/>
                <w:color w:val="auto"/>
                <w:kern w:val="0"/>
                <w:sz w:val="24"/>
                <w:szCs w:val="24"/>
                <w:highlight w:val="none"/>
                <w:u w:val="none"/>
                <w:lang w:val="en-US" w:eastAsia="zh-CN" w:bidi="ar"/>
              </w:rPr>
            </w:pPr>
            <w:r>
              <w:rPr>
                <w:rFonts w:hint="default" w:ascii="Times New Roman" w:hAnsi="Times New Roman" w:cs="Times New Roman"/>
                <w:color w:val="auto"/>
                <w:sz w:val="24"/>
                <w:szCs w:val="24"/>
                <w:highlight w:val="none"/>
              </w:rPr>
              <w:t>Ba</w:t>
            </w:r>
          </w:p>
        </w:tc>
        <w:tc>
          <w:tcPr>
            <w:tcW w:w="2915" w:type="dxa"/>
            <w:tcBorders>
              <w:top w:val="nil"/>
              <w:left w:val="nil"/>
              <w:bottom w:val="nil"/>
              <w:right w:val="nil"/>
            </w:tcBorders>
            <w:noWrap/>
            <w:vAlign w:val="top"/>
          </w:tcPr>
          <w:p w14:paraId="57A0348A">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-0.04 (-0.22, 0.14)</w:t>
            </w:r>
          </w:p>
        </w:tc>
        <w:tc>
          <w:tcPr>
            <w:tcW w:w="1073" w:type="dxa"/>
            <w:tcBorders>
              <w:top w:val="nil"/>
              <w:left w:val="nil"/>
              <w:bottom w:val="nil"/>
              <w:right w:val="nil"/>
            </w:tcBorders>
            <w:noWrap/>
            <w:vAlign w:val="top"/>
          </w:tcPr>
          <w:p w14:paraId="68FA1EEF">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0.670</w:t>
            </w:r>
          </w:p>
        </w:tc>
      </w:tr>
      <w:tr w14:paraId="15DA1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top w:val="nil"/>
              <w:left w:val="nil"/>
              <w:bottom w:val="nil"/>
              <w:right w:val="nil"/>
            </w:tcBorders>
            <w:noWrap w:val="0"/>
            <w:vAlign w:val="top"/>
          </w:tcPr>
          <w:p w14:paraId="24338461">
            <w:pPr>
              <w:spacing w:after="0" w:line="240" w:lineRule="auto"/>
              <w:jc w:val="center"/>
              <w:rPr>
                <w:rFonts w:hint="default" w:ascii="Times New Roman" w:hAnsi="Times New Roman" w:eastAsia="宋体" w:cs="Times New Roman"/>
                <w:b w:val="0"/>
                <w:bCs w:val="0"/>
                <w:i w:val="0"/>
                <w:iCs w:val="0"/>
                <w:color w:val="auto"/>
                <w:kern w:val="0"/>
                <w:sz w:val="24"/>
                <w:szCs w:val="24"/>
                <w:highlight w:val="none"/>
                <w:u w:val="none"/>
                <w:lang w:val="en-US" w:eastAsia="zh-CN" w:bidi="ar"/>
              </w:rPr>
            </w:pPr>
            <w:r>
              <w:rPr>
                <w:rFonts w:hint="default" w:ascii="Times New Roman" w:hAnsi="Times New Roman" w:cs="Times New Roman"/>
                <w:color w:val="auto"/>
                <w:sz w:val="24"/>
                <w:szCs w:val="24"/>
                <w:highlight w:val="none"/>
              </w:rPr>
              <w:t>Hg</w:t>
            </w:r>
          </w:p>
        </w:tc>
        <w:tc>
          <w:tcPr>
            <w:tcW w:w="2915" w:type="dxa"/>
            <w:tcBorders>
              <w:top w:val="nil"/>
              <w:left w:val="nil"/>
              <w:bottom w:val="nil"/>
              <w:right w:val="nil"/>
            </w:tcBorders>
            <w:noWrap/>
            <w:vAlign w:val="top"/>
          </w:tcPr>
          <w:p w14:paraId="49BAF08B">
            <w:pPr>
              <w:spacing w:after="0" w:line="240" w:lineRule="auto"/>
              <w:jc w:val="center"/>
              <w:rPr>
                <w:rFonts w:hint="default" w:ascii="Times New Roman" w:hAnsi="Times New Roman" w:eastAsia="楷体" w:cs="Times New Roman"/>
                <w:b/>
                <w:bCs/>
                <w:i w:val="0"/>
                <w:iCs w:val="0"/>
                <w:color w:val="auto"/>
                <w:sz w:val="24"/>
                <w:szCs w:val="24"/>
                <w:highlight w:val="none"/>
                <w:u w:val="none"/>
                <w:lang w:val="en-US" w:eastAsia="zh-CN"/>
              </w:rPr>
            </w:pPr>
            <w:r>
              <w:rPr>
                <w:rFonts w:hint="default" w:ascii="Times New Roman" w:hAnsi="Times New Roman" w:cs="Times New Roman"/>
                <w:b/>
                <w:bCs/>
                <w:color w:val="auto"/>
                <w:sz w:val="24"/>
                <w:szCs w:val="24"/>
                <w:highlight w:val="none"/>
              </w:rPr>
              <w:t>0.12 (0.02, 0.23)</w:t>
            </w:r>
          </w:p>
        </w:tc>
        <w:tc>
          <w:tcPr>
            <w:tcW w:w="1073" w:type="dxa"/>
            <w:tcBorders>
              <w:top w:val="nil"/>
              <w:left w:val="nil"/>
              <w:bottom w:val="nil"/>
              <w:right w:val="nil"/>
            </w:tcBorders>
            <w:noWrap/>
            <w:vAlign w:val="top"/>
          </w:tcPr>
          <w:p w14:paraId="15FBE00C">
            <w:pPr>
              <w:spacing w:after="0" w:line="240" w:lineRule="auto"/>
              <w:jc w:val="center"/>
              <w:rPr>
                <w:rFonts w:hint="default" w:ascii="Times New Roman" w:hAnsi="Times New Roman" w:eastAsia="楷体" w:cs="Times New Roman"/>
                <w:b/>
                <w:bCs/>
                <w:i w:val="0"/>
                <w:iCs w:val="0"/>
                <w:color w:val="auto"/>
                <w:sz w:val="24"/>
                <w:szCs w:val="24"/>
                <w:highlight w:val="none"/>
                <w:u w:val="none"/>
                <w:lang w:val="en-US" w:eastAsia="zh-CN"/>
              </w:rPr>
            </w:pPr>
            <w:r>
              <w:rPr>
                <w:rFonts w:hint="default" w:ascii="Times New Roman" w:hAnsi="Times New Roman" w:cs="Times New Roman"/>
                <w:b/>
                <w:bCs/>
                <w:color w:val="auto"/>
                <w:sz w:val="24"/>
                <w:szCs w:val="24"/>
                <w:highlight w:val="none"/>
              </w:rPr>
              <w:t>0.026</w:t>
            </w:r>
          </w:p>
        </w:tc>
      </w:tr>
      <w:tr w14:paraId="12576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150" w:type="dxa"/>
            <w:tcBorders>
              <w:top w:val="nil"/>
              <w:left w:val="nil"/>
              <w:bottom w:val="single" w:color="auto" w:sz="4" w:space="0"/>
              <w:right w:val="nil"/>
            </w:tcBorders>
            <w:noWrap w:val="0"/>
            <w:vAlign w:val="top"/>
          </w:tcPr>
          <w:p w14:paraId="7EEBEE61">
            <w:pPr>
              <w:spacing w:after="0" w:line="240" w:lineRule="auto"/>
              <w:jc w:val="center"/>
              <w:rPr>
                <w:rFonts w:hint="default" w:ascii="Times New Roman" w:hAnsi="Times New Roman" w:eastAsia="宋体" w:cs="Times New Roman"/>
                <w:b w:val="0"/>
                <w:bCs w:val="0"/>
                <w:i w:val="0"/>
                <w:iCs w:val="0"/>
                <w:color w:val="auto"/>
                <w:kern w:val="0"/>
                <w:sz w:val="24"/>
                <w:szCs w:val="24"/>
                <w:highlight w:val="none"/>
                <w:u w:val="none"/>
                <w:lang w:val="en-US" w:eastAsia="zh-CN" w:bidi="ar"/>
              </w:rPr>
            </w:pPr>
            <w:r>
              <w:rPr>
                <w:rFonts w:hint="default" w:ascii="Times New Roman" w:hAnsi="Times New Roman" w:cs="Times New Roman"/>
                <w:color w:val="auto"/>
                <w:sz w:val="24"/>
                <w:szCs w:val="24"/>
                <w:highlight w:val="none"/>
              </w:rPr>
              <w:t>Tl</w:t>
            </w:r>
          </w:p>
        </w:tc>
        <w:tc>
          <w:tcPr>
            <w:tcW w:w="2915" w:type="dxa"/>
            <w:tcBorders>
              <w:top w:val="nil"/>
              <w:left w:val="nil"/>
              <w:bottom w:val="single" w:color="auto" w:sz="4" w:space="0"/>
              <w:right w:val="nil"/>
            </w:tcBorders>
            <w:noWrap/>
            <w:vAlign w:val="top"/>
          </w:tcPr>
          <w:p w14:paraId="48FBD115">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-0.14 (-0.31, 0.03)</w:t>
            </w:r>
          </w:p>
        </w:tc>
        <w:tc>
          <w:tcPr>
            <w:tcW w:w="1073" w:type="dxa"/>
            <w:tcBorders>
              <w:top w:val="nil"/>
              <w:left w:val="nil"/>
              <w:bottom w:val="single" w:color="auto" w:sz="4" w:space="0"/>
              <w:right w:val="nil"/>
            </w:tcBorders>
            <w:noWrap/>
            <w:vAlign w:val="top"/>
          </w:tcPr>
          <w:p w14:paraId="4995AB50">
            <w:pPr>
              <w:spacing w:after="0" w:line="240" w:lineRule="auto"/>
              <w:jc w:val="center"/>
              <w:rPr>
                <w:rFonts w:hint="default" w:ascii="Times New Roman" w:hAnsi="Times New Roman" w:eastAsia="楷体" w:cs="Times New Roman"/>
                <w:b w:val="0"/>
                <w:bCs w:val="0"/>
                <w:i w:val="0"/>
                <w:iCs w:val="0"/>
                <w:color w:val="auto"/>
                <w:sz w:val="24"/>
                <w:szCs w:val="24"/>
                <w:highlight w:val="none"/>
                <w:u w:val="none"/>
                <w:lang w:val="en-US" w:eastAsia="zh-CN"/>
              </w:rPr>
            </w:pPr>
            <w:r>
              <w:rPr>
                <w:rFonts w:hint="default" w:ascii="Times New Roman" w:hAnsi="Times New Roman" w:cs="Times New Roman"/>
                <w:color w:val="auto"/>
                <w:sz w:val="24"/>
                <w:szCs w:val="24"/>
                <w:highlight w:val="none"/>
              </w:rPr>
              <w:t>0.095</w:t>
            </w:r>
          </w:p>
        </w:tc>
      </w:tr>
    </w:tbl>
    <w:p w14:paraId="017425A4">
      <w:pP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 xml:space="preserve">Note: The models were adjusted for age, BMI, marital status, ethnicity, education level, income, smoking and drinking. </w:t>
      </w:r>
      <w:r>
        <w:rPr>
          <w:rFonts w:hint="default" w:ascii="Times New Roman" w:hAnsi="Times New Roman" w:eastAsia="楷体" w:cs="Times New Roman"/>
          <w:b w:val="0"/>
          <w:bCs/>
          <w:i w:val="0"/>
          <w:iCs w:val="0"/>
          <w:color w:val="auto"/>
          <w:sz w:val="21"/>
          <w:szCs w:val="21"/>
          <w:highlight w:val="none"/>
          <w:u w:val="none"/>
          <w:lang w:val="en-US" w:eastAsia="zh-CN"/>
        </w:rPr>
        <w:t>All metal and GGT concentrations were log₁₀-transformed prior to analysis.</w:t>
      </w:r>
    </w:p>
    <w:p w14:paraId="1DC5F22D">
      <w:pPr>
        <w:spacing w:line="244" w:lineRule="auto"/>
        <w:rPr>
          <w:rFonts w:ascii="Arial"/>
          <w:sz w:val="21"/>
        </w:rPr>
      </w:pPr>
    </w:p>
    <w:p w14:paraId="53A12F90">
      <w:pPr>
        <w:spacing w:line="244" w:lineRule="auto"/>
        <w:rPr>
          <w:rFonts w:ascii="Arial"/>
          <w:sz w:val="21"/>
        </w:rPr>
      </w:pPr>
    </w:p>
    <w:p w14:paraId="6A1BA638">
      <w:pPr>
        <w:spacing w:line="244" w:lineRule="auto"/>
        <w:rPr>
          <w:rFonts w:ascii="Arial"/>
          <w:sz w:val="21"/>
        </w:rPr>
      </w:pPr>
    </w:p>
    <w:p w14:paraId="708C851C">
      <w:pPr>
        <w:spacing w:line="250" w:lineRule="auto"/>
        <w:rPr>
          <w:rFonts w:ascii="Arial"/>
          <w:sz w:val="21"/>
        </w:rPr>
      </w:pPr>
    </w:p>
    <w:p w14:paraId="073B890B">
      <w:pPr>
        <w:spacing w:line="244" w:lineRule="auto"/>
        <w:rPr>
          <w:rFonts w:ascii="Arial"/>
          <w:sz w:val="21"/>
        </w:rPr>
      </w:pPr>
    </w:p>
    <w:p w14:paraId="55F20162">
      <w:pPr>
        <w:spacing w:line="191" w:lineRule="auto"/>
        <w:rPr>
          <w:sz w:val="21"/>
          <w:szCs w:val="21"/>
        </w:rPr>
        <w:sectPr>
          <w:footerReference r:id="rId6" w:type="default"/>
          <w:pgSz w:w="11907" w:h="16839"/>
          <w:pgMar w:top="1431" w:right="1785" w:bottom="1477" w:left="1785" w:header="0" w:footer="1198" w:gutter="0"/>
          <w:cols w:space="720" w:num="1"/>
        </w:sectPr>
      </w:pPr>
    </w:p>
    <w:p w14:paraId="22D9DF41">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6"/>
      </w:tblGrid>
      <w:tr w14:paraId="5DA2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3821FCF">
            <w:pPr>
              <w:widowControl w:val="0"/>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lang w:val="en-US" w:eastAsia="zh-CN"/>
              </w:rPr>
              <w:drawing>
                <wp:inline distT="0" distB="0" distL="114300" distR="114300">
                  <wp:extent cx="5272405" cy="3939540"/>
                  <wp:effectExtent l="0" t="0" r="4445" b="3810"/>
                  <wp:docPr id="6" name="图片 6"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S1"/>
                          <pic:cNvPicPr>
                            <a:picLocks noChangeAspect="1"/>
                          </pic:cNvPicPr>
                        </pic:nvPicPr>
                        <pic:blipFill>
                          <a:blip r:embed="rId9"/>
                          <a:stretch>
                            <a:fillRect/>
                          </a:stretch>
                        </pic:blipFill>
                        <pic:spPr>
                          <a:xfrm>
                            <a:off x="0" y="0"/>
                            <a:ext cx="5272405" cy="3939540"/>
                          </a:xfrm>
                          <a:prstGeom prst="rect">
                            <a:avLst/>
                          </a:prstGeom>
                        </pic:spPr>
                      </pic:pic>
                    </a:graphicData>
                  </a:graphic>
                </wp:inline>
              </w:drawing>
            </w:r>
          </w:p>
        </w:tc>
      </w:tr>
    </w:tbl>
    <w:p w14:paraId="4E52C8E9">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jc w:val="both"/>
        <w:textAlignment w:val="baseline"/>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Fig. S1.</w:t>
      </w:r>
      <w:r>
        <w:rPr>
          <w:rFonts w:hint="default" w:ascii="Times New Roman" w:hAnsi="Times New Roman" w:cs="Times New Roman"/>
          <w:color w:val="auto"/>
          <w:sz w:val="21"/>
          <w:szCs w:val="21"/>
          <w:highlight w:val="none"/>
          <w:lang w:val="en-US" w:eastAsia="zh-CN"/>
        </w:rPr>
        <w:t xml:space="preserve"> Spearman correlation matrix between metals.</w:t>
      </w:r>
      <w:r>
        <w:rPr>
          <w:rFonts w:hint="default" w:ascii="Times New Roman" w:hAnsi="Times New Roman" w:cs="Times New Roman"/>
          <w:color w:val="auto"/>
          <w:kern w:val="0"/>
          <w:sz w:val="21"/>
          <w:szCs w:val="21"/>
          <w:highlight w:val="none"/>
          <w:lang w:bidi="ar"/>
        </w:rPr>
        <w:t>Values represent correlation coefficients</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sz w:val="21"/>
          <w:szCs w:val="21"/>
          <w:highlight w:val="none"/>
        </w:rPr>
        <w:t xml:space="preserve"> Magnitude and direction of circle and colour response correlation coefficients</w:t>
      </w:r>
      <w:r>
        <w:rPr>
          <w:rFonts w:hint="default" w:ascii="Times New Roman" w:hAnsi="Times New Roman"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val="en-US" w:eastAsia="zh-CN"/>
        </w:rPr>
        <w:br w:type="textWrapping"/>
      </w:r>
      <w:r>
        <w:rPr>
          <w:rFonts w:hint="default" w:ascii="Times New Roman" w:hAnsi="Times New Roman" w:cs="Times New Roman"/>
          <w:color w:val="auto"/>
          <w:kern w:val="0"/>
          <w:sz w:val="21"/>
          <w:szCs w:val="21"/>
          <w:highlight w:val="none"/>
          <w:lang w:val="en-US" w:eastAsia="zh-CN"/>
        </w:rPr>
        <w:t>Na, Sodium; Fe, Iron; Zn, Zinc; Cu, Copper; Se, Selenium; V, Vanadium; Cr, Chromium; Co, Cobalt; Mo, Molybdenum; Al, Aluminum; Ti, Titanium; As, Arsenic; Sr, Strontium; Sb, Antimony; Ba, Barium; Hg, Mercury; Tl, Thallium. Values represent correlation coefficients. Magnitude and direction of circle and colour response correlation coefficients.</w:t>
      </w:r>
    </w:p>
    <w:p w14:paraId="511E20B7">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7596AFA5">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69C2DA07">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61554DEC">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7D2AD77E">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3D7D91B5">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6E63B01A">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11CBA7A7">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433A931A">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16460968">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1A087FD9">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5AF03A86">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704EC9FC">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23298BE9">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7F06C73E">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3CE799A9">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752B890E">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591E619C">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0DC5BB62">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185C5013">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766128B0">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1661F694">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2F90EDB4">
      <w:pPr>
        <w:rPr>
          <w:rFonts w:hint="default" w:ascii="Times New Roman" w:hAnsi="Times New Roman" w:cs="Times New Roman"/>
          <w:color w:val="auto"/>
          <w:kern w:val="0"/>
          <w:sz w:val="22"/>
          <w:szCs w:val="22"/>
          <w:highlight w:val="none"/>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6"/>
      </w:tblGrid>
      <w:tr w14:paraId="36A4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6" w:hRule="atLeast"/>
        </w:trPr>
        <w:tc>
          <w:tcPr>
            <w:tcW w:w="8522" w:type="dxa"/>
          </w:tcPr>
          <w:p w14:paraId="63AD7406">
            <w:pPr>
              <w:widowControl w:val="0"/>
              <w:rPr>
                <w:rFonts w:hint="default" w:ascii="Times New Roman" w:hAnsi="Times New Roman" w:cs="Times New Roman"/>
                <w:color w:val="auto"/>
                <w:kern w:val="0"/>
                <w:sz w:val="22"/>
                <w:szCs w:val="22"/>
                <w:highlight w:val="none"/>
                <w:vertAlign w:val="baseline"/>
                <w:lang w:val="en-US" w:eastAsia="zh-CN"/>
              </w:rPr>
            </w:pPr>
            <w:r>
              <w:rPr>
                <w:rFonts w:hint="default" w:ascii="Times New Roman" w:hAnsi="Times New Roman" w:cs="Times New Roman"/>
                <w:color w:val="auto"/>
                <w:kern w:val="0"/>
                <w:sz w:val="22"/>
                <w:szCs w:val="22"/>
                <w:highlight w:val="none"/>
                <w:vertAlign w:val="baseline"/>
                <w:lang w:val="en-US" w:eastAsia="zh-CN"/>
              </w:rPr>
              <w:drawing>
                <wp:inline distT="0" distB="0" distL="114300" distR="114300">
                  <wp:extent cx="5269230" cy="5001260"/>
                  <wp:effectExtent l="0" t="0" r="7620" b="8890"/>
                  <wp:docPr id="10" name="图片 1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1"/>
                          <pic:cNvPicPr>
                            <a:picLocks noChangeAspect="1"/>
                          </pic:cNvPicPr>
                        </pic:nvPicPr>
                        <pic:blipFill>
                          <a:blip r:embed="rId10"/>
                          <a:stretch>
                            <a:fillRect/>
                          </a:stretch>
                        </pic:blipFill>
                        <pic:spPr>
                          <a:xfrm>
                            <a:off x="0" y="0"/>
                            <a:ext cx="5269230" cy="5001260"/>
                          </a:xfrm>
                          <a:prstGeom prst="rect">
                            <a:avLst/>
                          </a:prstGeom>
                        </pic:spPr>
                      </pic:pic>
                    </a:graphicData>
                  </a:graphic>
                </wp:inline>
              </w:drawing>
            </w:r>
          </w:p>
        </w:tc>
      </w:tr>
    </w:tbl>
    <w:p w14:paraId="7998E969">
      <w:pPr>
        <w:pStyle w:val="4"/>
        <w:keepNext w:val="0"/>
        <w:keepLines w:val="0"/>
        <w:widowControl/>
        <w:suppressLineNumbers w:val="0"/>
        <w:spacing w:before="0" w:beforeAutospacing="1" w:after="0" w:afterAutospacing="1"/>
        <w:ind w:left="0" w:right="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Fig. S</w:t>
      </w:r>
      <w:r>
        <w:rPr>
          <w:rFonts w:hint="eastAsia"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 xml:space="preserve">Variable selection paths and optimal regularisation parameter selection in LASSO regression analysis. Panels (a) and (c) show the coefficient path plots, illustrating how variable coefficients changed with increasing regularisation parameter (λ). Panels (b) and (d) present the cross-validation curves for selecting the optimal λ, where the x-axis represents log(λ) and the y-axis indicates the mean square error (MSE). In the SBP model (a–b), the optimal λ (lambda.min) was 0.486, while in the </w:t>
      </w:r>
      <w:r>
        <w:rPr>
          <w:rFonts w:hint="eastAsia" w:ascii="Times New Roman" w:hAnsi="Times New Roman" w:cs="Times New Roman"/>
          <w:color w:val="auto"/>
          <w:sz w:val="21"/>
          <w:szCs w:val="21"/>
          <w:highlight w:val="none"/>
          <w:lang w:val="en-US" w:eastAsia="zh-CN"/>
        </w:rPr>
        <w:t>D</w:t>
      </w:r>
      <w:r>
        <w:rPr>
          <w:rFonts w:hint="default" w:ascii="Times New Roman" w:hAnsi="Times New Roman" w:cs="Times New Roman"/>
          <w:color w:val="auto"/>
          <w:sz w:val="21"/>
          <w:szCs w:val="21"/>
          <w:highlight w:val="none"/>
          <w:lang w:val="en-US" w:eastAsia="zh-CN"/>
        </w:rPr>
        <w:t xml:space="preserve">BP model (c–d), the optimal λ was 0.404. All models were adjusted for age, BMI, marital status, ethnicity, education level, income, smoking and </w:t>
      </w:r>
      <w:r>
        <w:rPr>
          <w:rFonts w:hint="default" w:ascii="Times New Roman" w:hAnsi="Times New Roman" w:cs="Times New Roman"/>
          <w:color w:val="auto"/>
          <w:kern w:val="0"/>
          <w:sz w:val="21"/>
          <w:szCs w:val="21"/>
          <w:highlight w:val="none"/>
          <w:lang w:val="en-US" w:eastAsia="zh-CN" w:bidi="ar"/>
        </w:rPr>
        <w:t>d</w:t>
      </w:r>
      <w:r>
        <w:rPr>
          <w:rFonts w:hint="default" w:ascii="Times New Roman" w:hAnsi="Times New Roman" w:cs="Times New Roman" w:eastAsiaTheme="minorEastAsia"/>
          <w:color w:val="auto"/>
          <w:kern w:val="0"/>
          <w:sz w:val="21"/>
          <w:szCs w:val="21"/>
          <w:highlight w:val="none"/>
          <w:lang w:val="en-US" w:eastAsia="zh-CN" w:bidi="ar"/>
        </w:rPr>
        <w:t>rinking</w:t>
      </w:r>
      <w:r>
        <w:rPr>
          <w:rFonts w:hint="default" w:ascii="Times New Roman" w:hAnsi="Times New Roman" w:cs="Times New Roman"/>
          <w:color w:val="auto"/>
          <w:sz w:val="21"/>
          <w:szCs w:val="21"/>
          <w:highlight w:val="none"/>
          <w:lang w:val="en-US" w:eastAsia="zh-CN"/>
        </w:rPr>
        <w:t>.</w:t>
      </w:r>
    </w:p>
    <w:p w14:paraId="25B87393">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3A35C17E">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30D315CF">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710F631B">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5A459F6E">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21348231">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04AE67F0">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09903925">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267C695E">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5ED12CB1">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0B53B519">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2711F3E3">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1253B701">
      <w:pPr>
        <w:pStyle w:val="2"/>
        <w:keepNext w:val="0"/>
        <w:keepLines w:val="0"/>
        <w:widowControl/>
        <w:suppressLineNumbers w:val="0"/>
        <w:ind w:firstLine="480" w:firstLineChars="200"/>
        <w:jc w:val="both"/>
        <w:rPr>
          <w:rFonts w:hint="default" w:ascii="Times New Roman" w:hAnsi="Times New Roman" w:eastAsia="宋体" w:cs="Times New Roman"/>
          <w:b w:val="0"/>
          <w:color w:val="auto"/>
          <w:kern w:val="2"/>
          <w:sz w:val="24"/>
          <w:szCs w:val="24"/>
          <w:highlight w:val="none"/>
          <w:lang w:val="en-US" w:eastAsia="zh-CN" w:bidi="ar-SA"/>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6"/>
      </w:tblGrid>
      <w:tr w14:paraId="616F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6BFF36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textAlignment w:val="auto"/>
              <w:rPr>
                <w:rFonts w:hint="default" w:ascii="Times New Roman" w:hAnsi="Times New Roman" w:eastAsia="宋体" w:cs="Times New Roman"/>
                <w:b w:val="0"/>
                <w:bCs/>
                <w:i w:val="0"/>
                <w:iCs w:val="0"/>
                <w:caps w:val="0"/>
                <w:color w:val="auto"/>
                <w:spacing w:val="0"/>
                <w:sz w:val="24"/>
                <w:szCs w:val="24"/>
                <w:highlight w:val="none"/>
                <w:shd w:val="clear" w:fill="FFFFFF"/>
                <w:vertAlign w:val="baseline"/>
                <w:lang w:val="en-US" w:eastAsia="zh-CN"/>
              </w:rPr>
            </w:pPr>
            <w:r>
              <w:rPr>
                <w:rFonts w:hint="default" w:ascii="Times New Roman" w:hAnsi="Times New Roman" w:eastAsia="宋体" w:cs="Times New Roman"/>
                <w:b w:val="0"/>
                <w:bCs/>
                <w:i w:val="0"/>
                <w:iCs w:val="0"/>
                <w:caps w:val="0"/>
                <w:color w:val="auto"/>
                <w:spacing w:val="0"/>
                <w:sz w:val="24"/>
                <w:szCs w:val="24"/>
                <w:highlight w:val="none"/>
                <w:shd w:val="clear" w:fill="FFFFFF"/>
                <w:vertAlign w:val="baseline"/>
                <w:lang w:val="en-US" w:eastAsia="zh-CN"/>
              </w:rPr>
              <w:drawing>
                <wp:inline distT="0" distB="0" distL="114300" distR="114300">
                  <wp:extent cx="5271135" cy="2647950"/>
                  <wp:effectExtent l="0" t="0" r="5715" b="0"/>
                  <wp:docPr id="4" name="图片 4"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2"/>
                          <pic:cNvPicPr>
                            <a:picLocks noChangeAspect="1"/>
                          </pic:cNvPicPr>
                        </pic:nvPicPr>
                        <pic:blipFill>
                          <a:blip r:embed="rId11"/>
                          <a:stretch>
                            <a:fillRect/>
                          </a:stretch>
                        </pic:blipFill>
                        <pic:spPr>
                          <a:xfrm>
                            <a:off x="0" y="0"/>
                            <a:ext cx="5271135" cy="2647950"/>
                          </a:xfrm>
                          <a:prstGeom prst="rect">
                            <a:avLst/>
                          </a:prstGeom>
                        </pic:spPr>
                      </pic:pic>
                    </a:graphicData>
                  </a:graphic>
                </wp:inline>
              </w:drawing>
            </w:r>
          </w:p>
        </w:tc>
      </w:tr>
    </w:tbl>
    <w:p w14:paraId="7742364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Figure. S</w:t>
      </w:r>
      <w:r>
        <w:rPr>
          <w:rFonts w:hint="eastAsia" w:ascii="Times New Roman" w:hAnsi="Times New Roman" w:eastAsia="宋体" w:cs="Times New Roman"/>
          <w:b/>
          <w:bCs/>
          <w:color w:val="auto"/>
          <w:kern w:val="2"/>
          <w:sz w:val="21"/>
          <w:szCs w:val="21"/>
          <w:highlight w:val="none"/>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w:t>
      </w:r>
      <w:r>
        <w:rPr>
          <w:rFonts w:hint="default" w:ascii="Times New Roman" w:hAnsi="Times New Roman" w:eastAsia="宋体" w:cs="Times New Roman"/>
          <w:b w:val="0"/>
          <w:bCs w:val="0"/>
          <w:color w:val="auto"/>
          <w:kern w:val="2"/>
          <w:sz w:val="21"/>
          <w:szCs w:val="21"/>
          <w:highlight w:val="none"/>
          <w:lang w:val="en-US" w:eastAsia="zh-CN" w:bidi="ar-SA"/>
        </w:rPr>
        <w:t xml:space="preserve"> Univariate exposure–response functions for Cu, Mo and Sr in relation to blood pressure</w:t>
      </w:r>
      <w:r>
        <w:rPr>
          <w:rFonts w:hint="eastAsia" w:ascii="Times New Roman" w:hAnsi="Times New Roman" w:eastAsia="宋体" w:cs="Times New Roman"/>
          <w:b w:val="0"/>
          <w:bCs w:val="0"/>
          <w:color w:val="auto"/>
          <w:kern w:val="2"/>
          <w:sz w:val="21"/>
          <w:szCs w:val="21"/>
          <w:highlight w:val="none"/>
          <w:lang w:val="en-US" w:eastAsia="zh-CN" w:bidi="ar-SA"/>
        </w:rPr>
        <w:t>.The</w:t>
      </w:r>
      <w:r>
        <w:rPr>
          <w:rFonts w:hint="default" w:ascii="Times New Roman" w:hAnsi="Times New Roman" w:eastAsia="宋体" w:cs="Times New Roman"/>
          <w:b w:val="0"/>
          <w:bCs w:val="0"/>
          <w:color w:val="auto"/>
          <w:kern w:val="2"/>
          <w:sz w:val="21"/>
          <w:szCs w:val="21"/>
          <w:highlight w:val="none"/>
          <w:lang w:val="en-US" w:eastAsia="zh-CN" w:bidi="ar-SA"/>
        </w:rPr>
        <w:t xml:space="preserve"> other elements held at median concentrations. (a) SBP</w:t>
      </w:r>
      <w:r>
        <w:rPr>
          <w:rFonts w:hint="eastAsia" w:ascii="Times New Roman" w:hAnsi="Times New Roman" w:eastAsia="宋体" w:cs="Times New Roman"/>
          <w:b w:val="0"/>
          <w:bCs w:val="0"/>
          <w:color w:val="auto"/>
          <w:kern w:val="2"/>
          <w:sz w:val="21"/>
          <w:szCs w:val="21"/>
          <w:highlight w:val="none"/>
          <w:lang w:val="en-US" w:eastAsia="zh-CN" w:bidi="ar-SA"/>
        </w:rPr>
        <w:t>, Systolic Blood Pressure；</w:t>
      </w:r>
      <w:r>
        <w:rPr>
          <w:rFonts w:hint="default" w:ascii="Times New Roman" w:hAnsi="Times New Roman" w:eastAsia="宋体" w:cs="Times New Roman"/>
          <w:b w:val="0"/>
          <w:bCs w:val="0"/>
          <w:color w:val="auto"/>
          <w:kern w:val="2"/>
          <w:sz w:val="21"/>
          <w:szCs w:val="21"/>
          <w:highlight w:val="none"/>
          <w:lang w:val="en-US" w:eastAsia="zh-CN" w:bidi="ar-SA"/>
        </w:rPr>
        <w:t>(b) DBP</w:t>
      </w:r>
      <w:r>
        <w:rPr>
          <w:rFonts w:hint="eastAsia" w:ascii="Times New Roman" w:hAnsi="Times New Roman" w:eastAsia="宋体" w:cs="Times New Roman"/>
          <w:b w:val="0"/>
          <w:bCs w:val="0"/>
          <w:color w:val="auto"/>
          <w:kern w:val="2"/>
          <w:sz w:val="21"/>
          <w:szCs w:val="21"/>
          <w:highlight w:val="none"/>
          <w:lang w:val="en-US" w:eastAsia="zh-CN" w:bidi="ar-SA"/>
        </w:rPr>
        <w:t>, Diastolic Blood Pressure.</w:t>
      </w:r>
    </w:p>
    <w:p w14:paraId="6DD232D7">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p>
    <w:p w14:paraId="7368E6A0">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0665B526">
      <w:pPr>
        <w:pStyle w:val="2"/>
        <w:keepNext w:val="0"/>
        <w:keepLines w:val="0"/>
        <w:pageBreakBefore w:val="0"/>
        <w:widowControl/>
        <w:suppressLineNumbers w:val="0"/>
        <w:shd w:val="clear" w:fill="FFFFFF"/>
        <w:kinsoku/>
        <w:wordWrap/>
        <w:overflowPunct/>
        <w:topLinePunct w:val="0"/>
        <w:autoSpaceDE w:val="0"/>
        <w:autoSpaceDN w:val="0"/>
        <w:bidi w:val="0"/>
        <w:adjustRightInd w:val="0"/>
        <w:snapToGrid/>
        <w:spacing w:before="0" w:beforeAutospacing="0" w:after="0" w:afterAutospacing="0" w:line="240" w:lineRule="auto"/>
        <w:ind w:left="0" w:firstLine="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6"/>
      </w:tblGrid>
      <w:tr w14:paraId="0A39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0AFC6FF">
            <w:pPr>
              <w:pStyle w:val="2"/>
              <w:keepNext w:val="0"/>
              <w:keepLines w:val="0"/>
              <w:widowControl/>
              <w:suppressLineNumbers w:val="0"/>
              <w:spacing w:before="0" w:beforeAutospacing="0" w:after="0" w:afterAutospacing="0" w:line="450" w:lineRule="atLeast"/>
              <w:jc w:val="both"/>
              <w:rPr>
                <w:rFonts w:hint="default" w:ascii="Times New Roman" w:hAnsi="Times New Roman" w:eastAsia="宋体" w:cs="Times New Roman"/>
                <w:i w:val="0"/>
                <w:iCs w:val="0"/>
                <w:caps w:val="0"/>
                <w:color w:val="auto"/>
                <w:spacing w:val="0"/>
                <w:sz w:val="24"/>
                <w:szCs w:val="24"/>
                <w:highlight w:val="none"/>
                <w:shd w:val="clear" w:fill="FFFFFF"/>
                <w:vertAlign w:val="baseline"/>
                <w:lang w:val="en-US" w:eastAsia="zh-CN"/>
              </w:rPr>
            </w:pPr>
            <w:r>
              <w:rPr>
                <w:rFonts w:hint="default" w:ascii="Times New Roman" w:hAnsi="Times New Roman" w:eastAsia="宋体" w:cs="Times New Roman"/>
                <w:i w:val="0"/>
                <w:iCs w:val="0"/>
                <w:caps w:val="0"/>
                <w:color w:val="auto"/>
                <w:spacing w:val="0"/>
                <w:sz w:val="24"/>
                <w:szCs w:val="24"/>
                <w:highlight w:val="none"/>
                <w:shd w:val="clear" w:fill="FFFFFF"/>
                <w:vertAlign w:val="baseline"/>
                <w:lang w:val="en-US" w:eastAsia="zh-CN"/>
              </w:rPr>
              <w:drawing>
                <wp:inline distT="0" distB="0" distL="114300" distR="114300">
                  <wp:extent cx="5270500" cy="2724150"/>
                  <wp:effectExtent l="0" t="0" r="6350" b="0"/>
                  <wp:docPr id="13" name="图片 13"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ure. 7"/>
                          <pic:cNvPicPr>
                            <a:picLocks noChangeAspect="1"/>
                          </pic:cNvPicPr>
                        </pic:nvPicPr>
                        <pic:blipFill>
                          <a:blip r:embed="rId12"/>
                          <a:stretch>
                            <a:fillRect/>
                          </a:stretch>
                        </pic:blipFill>
                        <pic:spPr>
                          <a:xfrm>
                            <a:off x="0" y="0"/>
                            <a:ext cx="5270500" cy="2724150"/>
                          </a:xfrm>
                          <a:prstGeom prst="rect">
                            <a:avLst/>
                          </a:prstGeom>
                        </pic:spPr>
                      </pic:pic>
                    </a:graphicData>
                  </a:graphic>
                </wp:inline>
              </w:drawing>
            </w:r>
          </w:p>
        </w:tc>
      </w:tr>
    </w:tbl>
    <w:p w14:paraId="5F23367B">
      <w:pPr>
        <w:pStyle w:val="2"/>
        <w:keepNext w:val="0"/>
        <w:keepLines w:val="0"/>
        <w:pageBreakBefore w:val="0"/>
        <w:widowControl/>
        <w:suppressLineNumbers w:val="0"/>
        <w:shd w:val="clear" w:fill="FFFFFF"/>
        <w:kinsoku/>
        <w:wordWrap/>
        <w:overflowPunct/>
        <w:topLinePunct w:val="0"/>
        <w:autoSpaceDE w:val="0"/>
        <w:autoSpaceDN w:val="0"/>
        <w:bidi w:val="0"/>
        <w:adjustRightInd w:val="0"/>
        <w:snapToGrid/>
        <w:spacing w:before="0" w:beforeAutospacing="0" w:after="0" w:afterAutospacing="0" w:line="240" w:lineRule="auto"/>
        <w:ind w:left="0" w:firstLine="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Figure. S</w:t>
      </w:r>
      <w:r>
        <w:rPr>
          <w:rFonts w:hint="eastAsia" w:ascii="Times New Roman" w:hAnsi="Times New Roman" w:eastAsia="宋体" w:cs="Times New Roman"/>
          <w:b/>
          <w:bCs/>
          <w:color w:val="auto"/>
          <w:kern w:val="2"/>
          <w:sz w:val="21"/>
          <w:szCs w:val="21"/>
          <w:highlight w:val="none"/>
          <w:lang w:val="en-US" w:eastAsia="zh-CN" w:bidi="ar-SA"/>
        </w:rPr>
        <w:t>4</w:t>
      </w:r>
      <w:r>
        <w:rPr>
          <w:rFonts w:hint="default" w:ascii="Times New Roman" w:hAnsi="Times New Roman" w:eastAsia="宋体" w:cs="Times New Roman"/>
          <w:b w:val="0"/>
          <w:bCs w:val="0"/>
          <w:color w:val="auto"/>
          <w:kern w:val="2"/>
          <w:sz w:val="21"/>
          <w:szCs w:val="21"/>
          <w:highlight w:val="none"/>
          <w:lang w:val="en-US" w:eastAsia="zh-CN" w:bidi="ar-SA"/>
        </w:rPr>
        <w:t>. Interactions between single metals and mixed metal exposures. (a) SBP</w:t>
      </w:r>
      <w:r>
        <w:rPr>
          <w:rFonts w:hint="eastAsia" w:ascii="Times New Roman" w:hAnsi="Times New Roman" w:eastAsia="宋体" w:cs="Times New Roman"/>
          <w:b w:val="0"/>
          <w:bCs w:val="0"/>
          <w:color w:val="auto"/>
          <w:kern w:val="2"/>
          <w:sz w:val="21"/>
          <w:szCs w:val="21"/>
          <w:highlight w:val="none"/>
          <w:lang w:val="en-US" w:eastAsia="zh-CN" w:bidi="ar-SA"/>
        </w:rPr>
        <w:t>, Systolic Blood Pressure；</w:t>
      </w:r>
      <w:r>
        <w:rPr>
          <w:rFonts w:hint="default" w:ascii="Times New Roman" w:hAnsi="Times New Roman" w:eastAsia="宋体" w:cs="Times New Roman"/>
          <w:b w:val="0"/>
          <w:bCs w:val="0"/>
          <w:color w:val="auto"/>
          <w:kern w:val="2"/>
          <w:sz w:val="21"/>
          <w:szCs w:val="21"/>
          <w:highlight w:val="none"/>
          <w:lang w:val="en-US" w:eastAsia="zh-CN" w:bidi="ar-SA"/>
        </w:rPr>
        <w:t>(b) DBP</w:t>
      </w:r>
      <w:r>
        <w:rPr>
          <w:rFonts w:hint="eastAsia" w:ascii="Times New Roman" w:hAnsi="Times New Roman" w:eastAsia="宋体" w:cs="Times New Roman"/>
          <w:b w:val="0"/>
          <w:bCs w:val="0"/>
          <w:color w:val="auto"/>
          <w:kern w:val="2"/>
          <w:sz w:val="21"/>
          <w:szCs w:val="21"/>
          <w:highlight w:val="none"/>
          <w:lang w:val="en-US" w:eastAsia="zh-CN" w:bidi="ar-SA"/>
        </w:rPr>
        <w:t>, Diastolic Blood Pressure</w:t>
      </w:r>
    </w:p>
    <w:p w14:paraId="09A50D24">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1DC6C8D9">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63D93DB0">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64A4D0D7">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1882C366">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11F9B905">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3520DF1A">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4D44F33B">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63DC490E">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336658CD">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0C865A7F">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528BB202">
      <w:pPr>
        <w:pStyle w:val="3"/>
        <w:keepNext w:val="0"/>
        <w:keepLines w:val="0"/>
        <w:pageBreakBefore w:val="0"/>
        <w:widowControl/>
        <w:kinsoku w:val="0"/>
        <w:wordWrap/>
        <w:overflowPunct/>
        <w:topLinePunct w:val="0"/>
        <w:autoSpaceDE w:val="0"/>
        <w:autoSpaceDN w:val="0"/>
        <w:bidi w:val="0"/>
        <w:adjustRightInd w:val="0"/>
        <w:snapToGrid w:val="0"/>
        <w:spacing w:before="33" w:line="240" w:lineRule="auto"/>
        <w:ind w:left="437"/>
        <w:textAlignment w:val="baseline"/>
        <w:rPr>
          <w:rFonts w:hint="default" w:ascii="Times New Roman" w:hAnsi="Times New Roman" w:cs="Times New Roman"/>
          <w:color w:val="auto"/>
          <w:kern w:val="0"/>
          <w:sz w:val="21"/>
          <w:szCs w:val="21"/>
          <w:highlight w:val="none"/>
          <w:lang w:val="en-US" w:eastAsia="zh-CN"/>
        </w:rPr>
      </w:pPr>
    </w:p>
    <w:p w14:paraId="6F20A2F2">
      <w:pPr>
        <w:keepNext w:val="0"/>
        <w:keepLines w:val="0"/>
        <w:pageBreakBefore w:val="0"/>
        <w:widowControl/>
        <w:suppressLineNumbers w:val="0"/>
        <w:shd w:val="clear" w:fill="FFFFFF"/>
        <w:kinsoku/>
        <w:wordWrap/>
        <w:overflowPunct/>
        <w:topLinePunct w:val="0"/>
        <w:autoSpaceDE w:val="0"/>
        <w:autoSpaceDN w:val="0"/>
        <w:bidi w:val="0"/>
        <w:adjustRightInd w:val="0"/>
        <w:snapToGrid/>
        <w:spacing w:before="0" w:beforeLines="0" w:beforeAutospacing="0" w:after="0" w:afterLines="0" w:afterAutospacing="0" w:line="240" w:lineRule="auto"/>
        <w:jc w:val="both"/>
        <w:textAlignment w:val="auto"/>
        <w:rPr>
          <w:rFonts w:hint="default" w:ascii="Times New Roman" w:hAnsi="Times New Roman" w:eastAsia="宋体" w:cs="Times New Roman"/>
          <w:b w:val="0"/>
          <w:color w:val="auto"/>
          <w:kern w:val="2"/>
          <w:sz w:val="24"/>
          <w:szCs w:val="24"/>
          <w:highlight w:val="none"/>
          <w:lang w:val="en-US" w:eastAsia="zh-CN" w:bidi="ar-SA"/>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6"/>
      </w:tblGrid>
      <w:tr w14:paraId="4703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CCCAA06">
            <w:pPr>
              <w:pStyle w:val="2"/>
              <w:keepNext w:val="0"/>
              <w:keepLines w:val="0"/>
              <w:widowControl/>
              <w:suppressLineNumbers w:val="0"/>
              <w:spacing w:before="0" w:beforeAutospacing="0" w:after="0" w:afterAutospacing="0" w:line="450" w:lineRule="atLeast"/>
              <w:jc w:val="both"/>
              <w:rPr>
                <w:rFonts w:hint="default" w:ascii="Times New Roman" w:hAnsi="Times New Roman" w:eastAsia="宋体" w:cs="Times New Roman"/>
                <w:i w:val="0"/>
                <w:iCs w:val="0"/>
                <w:caps w:val="0"/>
                <w:color w:val="auto"/>
                <w:spacing w:val="0"/>
                <w:sz w:val="31"/>
                <w:szCs w:val="31"/>
                <w:highlight w:val="none"/>
                <w:shd w:val="clear" w:fill="FFFFFF"/>
                <w:vertAlign w:val="baseline"/>
                <w:lang w:val="en-US" w:eastAsia="zh-CN"/>
              </w:rPr>
            </w:pPr>
            <w:r>
              <w:rPr>
                <w:rFonts w:hint="default" w:ascii="Times New Roman" w:hAnsi="Times New Roman" w:eastAsia="宋体" w:cs="Times New Roman"/>
                <w:i w:val="0"/>
                <w:iCs w:val="0"/>
                <w:caps w:val="0"/>
                <w:color w:val="auto"/>
                <w:spacing w:val="0"/>
                <w:sz w:val="31"/>
                <w:szCs w:val="31"/>
                <w:highlight w:val="none"/>
                <w:shd w:val="clear" w:fill="FFFFFF"/>
                <w:vertAlign w:val="baseline"/>
                <w:lang w:val="en-US" w:eastAsia="zh-CN"/>
              </w:rPr>
              <w:drawing>
                <wp:inline distT="0" distB="0" distL="114300" distR="114300">
                  <wp:extent cx="5268595" cy="7640955"/>
                  <wp:effectExtent l="0" t="0" r="8255" b="7620"/>
                  <wp:docPr id="3" name="图片 3" descr="R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RCS2"/>
                          <pic:cNvPicPr>
                            <a:picLocks noChangeAspect="1"/>
                          </pic:cNvPicPr>
                        </pic:nvPicPr>
                        <pic:blipFill>
                          <a:blip r:embed="rId13"/>
                          <a:stretch>
                            <a:fillRect/>
                          </a:stretch>
                        </pic:blipFill>
                        <pic:spPr>
                          <a:xfrm>
                            <a:off x="0" y="0"/>
                            <a:ext cx="5268595" cy="7640955"/>
                          </a:xfrm>
                          <a:prstGeom prst="rect">
                            <a:avLst/>
                          </a:prstGeom>
                        </pic:spPr>
                      </pic:pic>
                    </a:graphicData>
                  </a:graphic>
                </wp:inline>
              </w:drawing>
            </w:r>
          </w:p>
        </w:tc>
      </w:tr>
    </w:tbl>
    <w:p w14:paraId="60F715FF">
      <w:pPr>
        <w:pStyle w:val="2"/>
        <w:keepNext w:val="0"/>
        <w:keepLines w:val="0"/>
        <w:pageBreakBefore w:val="0"/>
        <w:widowControl/>
        <w:suppressLineNumbers w:val="0"/>
        <w:shd w:val="clear" w:fill="FFFFFF"/>
        <w:kinsoku/>
        <w:wordWrap/>
        <w:overflowPunct/>
        <w:topLinePunct w:val="0"/>
        <w:autoSpaceDE w:val="0"/>
        <w:autoSpaceDN w:val="0"/>
        <w:bidi w:val="0"/>
        <w:adjustRightInd w:val="0"/>
        <w:snapToGrid/>
        <w:spacing w:before="0" w:beforeAutospacing="0" w:after="0" w:afterAutospacing="0" w:line="240" w:lineRule="auto"/>
        <w:ind w:left="0" w:firstLine="0"/>
        <w:jc w:val="both"/>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SA"/>
        </w:rPr>
        <w:t>Figure. S</w:t>
      </w:r>
      <w:r>
        <w:rPr>
          <w:rFonts w:hint="eastAsia" w:ascii="Times New Roman" w:hAnsi="Times New Roman" w:eastAsia="宋体" w:cs="Times New Roman"/>
          <w:b/>
          <w:bCs/>
          <w:color w:val="auto"/>
          <w:kern w:val="2"/>
          <w:sz w:val="21"/>
          <w:szCs w:val="21"/>
          <w:highlight w:val="none"/>
          <w:lang w:val="en-US" w:eastAsia="zh-CN" w:bidi="ar-SA"/>
        </w:rPr>
        <w:t>5</w:t>
      </w:r>
      <w:r>
        <w:rPr>
          <w:rFonts w:hint="default" w:ascii="Times New Roman" w:hAnsi="Times New Roman" w:eastAsia="宋体" w:cs="Times New Roman"/>
          <w:b w:val="0"/>
          <w:bCs w:val="0"/>
          <w:color w:val="auto"/>
          <w:kern w:val="2"/>
          <w:sz w:val="21"/>
          <w:szCs w:val="21"/>
          <w:highlight w:val="none"/>
          <w:lang w:val="en-US" w:eastAsia="zh-CN" w:bidi="ar-SA"/>
        </w:rPr>
        <w:t>. RCS dose–response relationships between Cu and Mo</w:t>
      </w:r>
      <w:r>
        <w:rPr>
          <w:rFonts w:hint="eastAsia" w:ascii="Times New Roman" w:hAnsi="Times New Roman" w:eastAsia="宋体" w:cs="Times New Roman"/>
          <w:b w:val="0"/>
          <w:bCs w:val="0"/>
          <w:color w:val="auto"/>
          <w:kern w:val="2"/>
          <w:sz w:val="21"/>
          <w:szCs w:val="21"/>
          <w:highlight w:val="none"/>
          <w:lang w:val="en-US" w:eastAsia="zh-CN" w:bidi="ar-SA"/>
        </w:rPr>
        <w:t xml:space="preserve"> </w:t>
      </w:r>
      <w:r>
        <w:rPr>
          <w:rFonts w:hint="default" w:ascii="Times New Roman" w:hAnsi="Times New Roman" w:eastAsia="宋体" w:cs="Times New Roman"/>
          <w:b w:val="0"/>
          <w:bCs w:val="0"/>
          <w:color w:val="auto"/>
          <w:kern w:val="2"/>
          <w:sz w:val="21"/>
          <w:szCs w:val="21"/>
          <w:highlight w:val="none"/>
          <w:lang w:val="en-US" w:eastAsia="zh-CN" w:bidi="ar-SA"/>
        </w:rPr>
        <w:t>exposure levels and SBP</w:t>
      </w:r>
      <w:r>
        <w:rPr>
          <w:rFonts w:hint="eastAsia" w:ascii="Times New Roman" w:hAnsi="Times New Roman" w:eastAsia="宋体" w:cs="Times New Roman"/>
          <w:b w:val="0"/>
          <w:bCs w:val="0"/>
          <w:color w:val="auto"/>
          <w:kern w:val="2"/>
          <w:sz w:val="21"/>
          <w:szCs w:val="21"/>
          <w:highlight w:val="none"/>
          <w:lang w:val="en-US" w:eastAsia="zh-CN" w:bidi="ar-SA"/>
        </w:rPr>
        <w:t>/</w:t>
      </w:r>
      <w:r>
        <w:rPr>
          <w:rFonts w:hint="default" w:ascii="Times New Roman" w:hAnsi="Times New Roman" w:eastAsia="宋体" w:cs="Times New Roman"/>
          <w:b w:val="0"/>
          <w:bCs w:val="0"/>
          <w:color w:val="auto"/>
          <w:kern w:val="2"/>
          <w:sz w:val="21"/>
          <w:szCs w:val="21"/>
          <w:highlight w:val="none"/>
          <w:lang w:val="en-US" w:eastAsia="zh-CN" w:bidi="ar-SA"/>
        </w:rPr>
        <w:t xml:space="preserve">DBP. All metal concentrations were log₁₀-transformed. </w:t>
      </w:r>
      <w:r>
        <w:rPr>
          <w:rFonts w:hint="default" w:ascii="Times New Roman" w:hAnsi="Times New Roman" w:eastAsia="宋体" w:cs="Times New Roman"/>
          <w:b/>
          <w:bCs/>
          <w:color w:val="auto"/>
          <w:kern w:val="2"/>
          <w:sz w:val="21"/>
          <w:szCs w:val="21"/>
          <w:highlight w:val="none"/>
          <w:lang w:val="en-US" w:eastAsia="zh-CN" w:bidi="ar-SA"/>
        </w:rPr>
        <w:t>(a)</w:t>
      </w:r>
      <w:r>
        <w:rPr>
          <w:rFonts w:hint="default" w:ascii="Times New Roman" w:hAnsi="Times New Roman" w:eastAsia="宋体" w:cs="Times New Roman"/>
          <w:b w:val="0"/>
          <w:bCs w:val="0"/>
          <w:color w:val="auto"/>
          <w:kern w:val="2"/>
          <w:sz w:val="21"/>
          <w:szCs w:val="21"/>
          <w:highlight w:val="none"/>
          <w:lang w:val="en-US" w:eastAsia="zh-CN" w:bidi="ar-SA"/>
        </w:rPr>
        <w:t xml:space="preserve"> Cu and SBP, model adjusted for all covariates; </w:t>
      </w:r>
      <w:r>
        <w:rPr>
          <w:rFonts w:hint="default" w:ascii="Times New Roman" w:hAnsi="Times New Roman" w:eastAsia="宋体" w:cs="Times New Roman"/>
          <w:b/>
          <w:bCs/>
          <w:color w:val="auto"/>
          <w:kern w:val="2"/>
          <w:sz w:val="21"/>
          <w:szCs w:val="21"/>
          <w:highlight w:val="none"/>
          <w:lang w:val="en-US" w:eastAsia="zh-CN" w:bidi="ar-SA"/>
        </w:rPr>
        <w:t xml:space="preserve">(b) </w:t>
      </w:r>
      <w:r>
        <w:rPr>
          <w:rFonts w:hint="default" w:ascii="Times New Roman" w:hAnsi="Times New Roman" w:eastAsia="宋体" w:cs="Times New Roman"/>
          <w:b w:val="0"/>
          <w:bCs w:val="0"/>
          <w:color w:val="auto"/>
          <w:kern w:val="2"/>
          <w:sz w:val="21"/>
          <w:szCs w:val="21"/>
          <w:highlight w:val="none"/>
          <w:lang w:val="en-US" w:eastAsia="zh-CN" w:bidi="ar-SA"/>
        </w:rPr>
        <w:t>Cu and SBP, model adjusted for all covariates plus Mo and</w:t>
      </w:r>
      <w:r>
        <w:rPr>
          <w:rFonts w:hint="eastAsia" w:ascii="Times New Roman" w:hAnsi="Times New Roman" w:eastAsia="宋体" w:cs="Times New Roman"/>
          <w:b w:val="0"/>
          <w:bCs w:val="0"/>
          <w:color w:val="auto"/>
          <w:kern w:val="2"/>
          <w:sz w:val="21"/>
          <w:szCs w:val="21"/>
          <w:highlight w:val="none"/>
          <w:lang w:val="en-US" w:eastAsia="zh-CN" w:bidi="ar-SA"/>
        </w:rPr>
        <w:t xml:space="preserve"> </w:t>
      </w:r>
      <w:r>
        <w:rPr>
          <w:rFonts w:hint="default" w:ascii="Times New Roman" w:hAnsi="Times New Roman" w:eastAsia="宋体" w:cs="Times New Roman"/>
          <w:b w:val="0"/>
          <w:bCs w:val="0"/>
          <w:color w:val="auto"/>
          <w:kern w:val="2"/>
          <w:sz w:val="21"/>
          <w:szCs w:val="21"/>
          <w:highlight w:val="none"/>
          <w:lang w:val="en-US" w:eastAsia="zh-CN" w:bidi="ar-SA"/>
        </w:rPr>
        <w:t xml:space="preserve">Sr; </w:t>
      </w:r>
      <w:r>
        <w:rPr>
          <w:rFonts w:hint="default" w:ascii="Times New Roman" w:hAnsi="Times New Roman" w:eastAsia="宋体" w:cs="Times New Roman"/>
          <w:b/>
          <w:bCs/>
          <w:color w:val="auto"/>
          <w:kern w:val="2"/>
          <w:sz w:val="21"/>
          <w:szCs w:val="21"/>
          <w:highlight w:val="none"/>
          <w:lang w:val="en-US" w:eastAsia="zh-CN" w:bidi="ar-SA"/>
        </w:rPr>
        <w:t xml:space="preserve">(c) </w:t>
      </w:r>
      <w:r>
        <w:rPr>
          <w:rFonts w:hint="default" w:ascii="Times New Roman" w:hAnsi="Times New Roman" w:eastAsia="宋体" w:cs="Times New Roman"/>
          <w:b w:val="0"/>
          <w:bCs w:val="0"/>
          <w:color w:val="auto"/>
          <w:kern w:val="2"/>
          <w:sz w:val="21"/>
          <w:szCs w:val="21"/>
          <w:highlight w:val="none"/>
          <w:lang w:val="en-US" w:eastAsia="zh-CN" w:bidi="ar-SA"/>
        </w:rPr>
        <w:t xml:space="preserve">Cu and DBP, model adjusted for all covariates; </w:t>
      </w:r>
      <w:r>
        <w:rPr>
          <w:rFonts w:hint="default" w:ascii="Times New Roman" w:hAnsi="Times New Roman" w:eastAsia="宋体" w:cs="Times New Roman"/>
          <w:b/>
          <w:bCs/>
          <w:color w:val="auto"/>
          <w:kern w:val="2"/>
          <w:sz w:val="21"/>
          <w:szCs w:val="21"/>
          <w:highlight w:val="none"/>
          <w:lang w:val="en-US" w:eastAsia="zh-CN" w:bidi="ar-SA"/>
        </w:rPr>
        <w:t xml:space="preserve">(d) </w:t>
      </w:r>
      <w:r>
        <w:rPr>
          <w:rFonts w:hint="default" w:ascii="Times New Roman" w:hAnsi="Times New Roman" w:eastAsia="宋体" w:cs="Times New Roman"/>
          <w:b w:val="0"/>
          <w:bCs w:val="0"/>
          <w:color w:val="auto"/>
          <w:kern w:val="2"/>
          <w:sz w:val="21"/>
          <w:szCs w:val="21"/>
          <w:highlight w:val="none"/>
          <w:lang w:val="en-US" w:eastAsia="zh-CN" w:bidi="ar-SA"/>
        </w:rPr>
        <w:t>Cu and DBP, model adjusted for all covariates plus Mo and Sr;</w:t>
      </w:r>
      <w:r>
        <w:rPr>
          <w:rFonts w:hint="default" w:ascii="Times New Roman" w:hAnsi="Times New Roman" w:eastAsia="宋体" w:cs="Times New Roman"/>
          <w:b/>
          <w:bCs/>
          <w:color w:val="auto"/>
          <w:kern w:val="2"/>
          <w:sz w:val="21"/>
          <w:szCs w:val="21"/>
          <w:highlight w:val="none"/>
          <w:lang w:val="en-US" w:eastAsia="zh-CN" w:bidi="ar-SA"/>
        </w:rPr>
        <w:t xml:space="preserve"> (e)</w:t>
      </w:r>
      <w:r>
        <w:rPr>
          <w:rFonts w:hint="default" w:ascii="Times New Roman" w:hAnsi="Times New Roman" w:eastAsia="宋体" w:cs="Times New Roman"/>
          <w:b w:val="0"/>
          <w:bCs w:val="0"/>
          <w:color w:val="auto"/>
          <w:kern w:val="2"/>
          <w:sz w:val="21"/>
          <w:szCs w:val="21"/>
          <w:highlight w:val="none"/>
          <w:lang w:val="en-US" w:eastAsia="zh-CN" w:bidi="ar-SA"/>
        </w:rPr>
        <w:t xml:space="preserve"> Mo and SBP, model adjusted for all covariates; </w:t>
      </w:r>
      <w:r>
        <w:rPr>
          <w:rFonts w:hint="default" w:ascii="Times New Roman" w:hAnsi="Times New Roman" w:eastAsia="宋体" w:cs="Times New Roman"/>
          <w:b/>
          <w:bCs/>
          <w:color w:val="auto"/>
          <w:kern w:val="2"/>
          <w:sz w:val="21"/>
          <w:szCs w:val="21"/>
          <w:highlight w:val="none"/>
          <w:lang w:val="en-US" w:eastAsia="zh-CN" w:bidi="ar-SA"/>
        </w:rPr>
        <w:t xml:space="preserve">(f) </w:t>
      </w:r>
      <w:r>
        <w:rPr>
          <w:rFonts w:hint="default" w:ascii="Times New Roman" w:hAnsi="Times New Roman" w:eastAsia="宋体" w:cs="Times New Roman"/>
          <w:b w:val="0"/>
          <w:bCs w:val="0"/>
          <w:color w:val="auto"/>
          <w:kern w:val="2"/>
          <w:sz w:val="21"/>
          <w:szCs w:val="21"/>
          <w:highlight w:val="none"/>
          <w:lang w:val="en-US" w:eastAsia="zh-CN" w:bidi="ar-SA"/>
        </w:rPr>
        <w:t xml:space="preserve">Mo and SBP, model adjusted for all covariates plus Cu and Sr; </w:t>
      </w:r>
      <w:r>
        <w:rPr>
          <w:rFonts w:hint="default" w:ascii="Times New Roman" w:hAnsi="Times New Roman" w:eastAsia="宋体" w:cs="Times New Roman"/>
          <w:b/>
          <w:bCs/>
          <w:color w:val="auto"/>
          <w:kern w:val="2"/>
          <w:sz w:val="21"/>
          <w:szCs w:val="21"/>
          <w:highlight w:val="none"/>
          <w:lang w:val="en-US" w:eastAsia="zh-CN" w:bidi="ar-SA"/>
        </w:rPr>
        <w:t>(g)</w:t>
      </w:r>
      <w:r>
        <w:rPr>
          <w:rFonts w:hint="default" w:ascii="Times New Roman" w:hAnsi="Times New Roman" w:eastAsia="宋体" w:cs="Times New Roman"/>
          <w:b w:val="0"/>
          <w:bCs w:val="0"/>
          <w:color w:val="auto"/>
          <w:kern w:val="2"/>
          <w:sz w:val="21"/>
          <w:szCs w:val="21"/>
          <w:highlight w:val="none"/>
          <w:lang w:val="en-US" w:eastAsia="zh-CN" w:bidi="ar-SA"/>
        </w:rPr>
        <w:t xml:space="preserve"> Mo and DBP, model adjusted for all covariates; </w:t>
      </w:r>
      <w:r>
        <w:rPr>
          <w:rFonts w:hint="default" w:ascii="Times New Roman" w:hAnsi="Times New Roman" w:eastAsia="宋体" w:cs="Times New Roman"/>
          <w:b/>
          <w:bCs/>
          <w:color w:val="auto"/>
          <w:kern w:val="2"/>
          <w:sz w:val="21"/>
          <w:szCs w:val="21"/>
          <w:highlight w:val="none"/>
          <w:lang w:val="en-US" w:eastAsia="zh-CN" w:bidi="ar-SA"/>
        </w:rPr>
        <w:t xml:space="preserve">(h) </w:t>
      </w:r>
      <w:r>
        <w:rPr>
          <w:rFonts w:hint="default" w:ascii="Times New Roman" w:hAnsi="Times New Roman" w:eastAsia="宋体" w:cs="Times New Roman"/>
          <w:b w:val="0"/>
          <w:bCs w:val="0"/>
          <w:color w:val="auto"/>
          <w:kern w:val="2"/>
          <w:sz w:val="21"/>
          <w:szCs w:val="21"/>
          <w:highlight w:val="none"/>
          <w:lang w:val="en-US" w:eastAsia="zh-CN" w:bidi="ar-SA"/>
        </w:rPr>
        <w:t>Mo and DBP, model adjusted for all covariates plus Cu and Sr.</w:t>
      </w:r>
      <w:r>
        <w:rPr>
          <w:rFonts w:hint="eastAsia" w:ascii="Times New Roman" w:hAnsi="Times New Roman" w:eastAsia="宋体" w:cs="Times New Roman"/>
          <w:b w:val="0"/>
          <w:bCs w:val="0"/>
          <w:color w:val="auto"/>
          <w:kern w:val="2"/>
          <w:sz w:val="21"/>
          <w:szCs w:val="21"/>
          <w:highlight w:val="none"/>
          <w:lang w:val="en-US" w:eastAsia="zh-CN" w:bidi="ar-SA"/>
        </w:rPr>
        <w:t xml:space="preserve">  </w:t>
      </w:r>
      <w:r>
        <w:rPr>
          <w:rFonts w:hint="default" w:ascii="Times New Roman" w:hAnsi="Times New Roman" w:eastAsia="宋体" w:cs="Times New Roman"/>
          <w:b w:val="0"/>
          <w:bCs w:val="0"/>
          <w:color w:val="auto"/>
          <w:kern w:val="2"/>
          <w:sz w:val="21"/>
          <w:szCs w:val="21"/>
          <w:highlight w:val="none"/>
          <w:lang w:val="en-US" w:eastAsia="zh-CN" w:bidi="ar-SA"/>
        </w:rPr>
        <w:t>SBP</w:t>
      </w:r>
      <w:r>
        <w:rPr>
          <w:rFonts w:hint="eastAsia" w:ascii="Times New Roman" w:hAnsi="Times New Roman" w:eastAsia="宋体" w:cs="Times New Roman"/>
          <w:b w:val="0"/>
          <w:bCs w:val="0"/>
          <w:color w:val="auto"/>
          <w:kern w:val="2"/>
          <w:sz w:val="21"/>
          <w:szCs w:val="21"/>
          <w:highlight w:val="none"/>
          <w:lang w:val="en-US" w:eastAsia="zh-CN" w:bidi="ar-SA"/>
        </w:rPr>
        <w:t>: Systolic Blood Pressure；</w:t>
      </w:r>
      <w:r>
        <w:rPr>
          <w:rFonts w:hint="default" w:ascii="Times New Roman" w:hAnsi="Times New Roman" w:eastAsia="宋体" w:cs="Times New Roman"/>
          <w:b w:val="0"/>
          <w:bCs w:val="0"/>
          <w:color w:val="auto"/>
          <w:kern w:val="2"/>
          <w:sz w:val="21"/>
          <w:szCs w:val="21"/>
          <w:highlight w:val="none"/>
          <w:lang w:val="en-US" w:eastAsia="zh-CN" w:bidi="ar-SA"/>
        </w:rPr>
        <w:t>DBP</w:t>
      </w:r>
      <w:r>
        <w:rPr>
          <w:rFonts w:hint="eastAsia" w:ascii="Times New Roman" w:hAnsi="Times New Roman" w:eastAsia="宋体" w:cs="Times New Roman"/>
          <w:b w:val="0"/>
          <w:bCs w:val="0"/>
          <w:color w:val="auto"/>
          <w:kern w:val="2"/>
          <w:sz w:val="21"/>
          <w:szCs w:val="21"/>
          <w:highlight w:val="none"/>
          <w:lang w:val="en-US" w:eastAsia="zh-CN" w:bidi="ar-SA"/>
        </w:rPr>
        <w:t>: Diastolic Blood Pressure.</w:t>
      </w:r>
      <w:bookmarkStart w:id="0" w:name="_GoBack"/>
      <w:bookmarkEnd w:id="0"/>
    </w:p>
    <w:sectPr>
      <w:footerReference r:id="rId7" w:type="default"/>
      <w:pgSz w:w="11907" w:h="16839"/>
      <w:pgMar w:top="1431" w:right="1785" w:bottom="1477" w:left="1785" w:header="0" w:footer="119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panose1 w:val="02020509000000000000"/>
    <w:charset w:val="88"/>
    <w:family w:val="roman"/>
    <w:pitch w:val="default"/>
    <w:sig w:usb0="A00002FF" w:usb1="28CFFCFA" w:usb2="00000016" w:usb3="00000000" w:csb0="0010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728D0">
    <w:pPr>
      <w:spacing w:line="268" w:lineRule="exact"/>
      <w:ind w:left="4079"/>
      <w:rPr>
        <w:rFonts w:ascii="等线" w:hAnsi="等线" w:eastAsia="等线" w:cs="等线"/>
        <w:sz w:val="18"/>
        <w:szCs w:val="18"/>
      </w:rPr>
    </w:pPr>
    <w:r>
      <w:rPr>
        <w:rFonts w:ascii="等线" w:hAnsi="等线" w:eastAsia="等线" w:cs="等线"/>
        <w:spacing w:val="-3"/>
        <w:position w:val="3"/>
        <w:sz w:val="18"/>
        <w:szCs w:val="18"/>
      </w:rPr>
      <w:t>S2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1C145">
    <w:pPr>
      <w:spacing w:line="268" w:lineRule="exact"/>
      <w:ind w:left="4079"/>
      <w:rPr>
        <w:rFonts w:ascii="等线" w:hAnsi="等线" w:eastAsia="等线" w:cs="等线"/>
        <w:sz w:val="18"/>
        <w:szCs w:val="18"/>
      </w:rPr>
    </w:pPr>
    <w:r>
      <w:rPr>
        <w:rFonts w:ascii="等线" w:hAnsi="等线" w:eastAsia="等线" w:cs="等线"/>
        <w:spacing w:val="-3"/>
        <w:position w:val="3"/>
        <w:sz w:val="18"/>
        <w:szCs w:val="18"/>
      </w:rPr>
      <w:t>S8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DA2D7">
    <w:pPr>
      <w:spacing w:line="268" w:lineRule="exact"/>
      <w:ind w:left="4079"/>
      <w:rPr>
        <w:rFonts w:ascii="等线" w:hAnsi="等线" w:eastAsia="等线" w:cs="等线"/>
        <w:sz w:val="18"/>
        <w:szCs w:val="18"/>
      </w:rPr>
    </w:pPr>
    <w:r>
      <w:rPr>
        <w:rFonts w:ascii="等线" w:hAnsi="等线" w:eastAsia="等线" w:cs="等线"/>
        <w:spacing w:val="-3"/>
        <w:position w:val="3"/>
        <w:sz w:val="18"/>
        <w:szCs w:val="18"/>
      </w:rPr>
      <w:t>S9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4510922"/>
    <w:rsid w:val="0C922B21"/>
    <w:rsid w:val="13C8610B"/>
    <w:rsid w:val="1B8847D2"/>
    <w:rsid w:val="24BA35E1"/>
    <w:rsid w:val="2A3F7165"/>
    <w:rsid w:val="3DBA583D"/>
    <w:rsid w:val="3E4C4B6D"/>
    <w:rsid w:val="46303445"/>
    <w:rsid w:val="4D692ECE"/>
    <w:rsid w:val="5ABC71EA"/>
    <w:rsid w:val="60A65178"/>
    <w:rsid w:val="66117C3F"/>
    <w:rsid w:val="6C2F199A"/>
    <w:rsid w:val="71681909"/>
    <w:rsid w:val="71E01DE7"/>
    <w:rsid w:val="79953B58"/>
    <w:rsid w:val="7D474AC8"/>
    <w:rsid w:val="7FB073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unhideWhenUsed/>
    <w:qFormat/>
    <w:uiPriority w:val="99"/>
    <w:pPr>
      <w:widowControl w:val="0"/>
      <w:autoSpaceDE w:val="0"/>
      <w:autoSpaceDN w:val="0"/>
      <w:adjustRightInd w:val="0"/>
      <w:spacing w:beforeLines="0" w:afterLines="0"/>
    </w:pPr>
    <w:rPr>
      <w:rFonts w:hint="default" w:ascii="MingLiU" w:hAnsi="MingLiU" w:eastAsia="MingLiU" w:cs="Times New Roman"/>
      <w:b/>
      <w:color w:val="000000"/>
      <w:sz w:val="26"/>
      <w:szCs w:val="24"/>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Times New Roman" w:hAnsi="Times New Roman" w:eastAsia="Times New Roman" w:cs="Times New Roman"/>
      <w:sz w:val="22"/>
      <w:szCs w:val="22"/>
      <w:lang w:val="en-US" w:eastAsia="en-US" w:bidi="ar-SA"/>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Times New Roman" w:hAnsi="Times New Roman" w:eastAsia="Times New Roman" w:cs="Times New Roman"/>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5.tiff"/><Relationship Id="rId12" Type="http://schemas.openxmlformats.org/officeDocument/2006/relationships/image" Target="media/image4.tiff"/><Relationship Id="rId11" Type="http://schemas.openxmlformats.org/officeDocument/2006/relationships/image" Target="media/image3.tiff"/><Relationship Id="rId10" Type="http://schemas.openxmlformats.org/officeDocument/2006/relationships/image" Target="media/image2.tif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Pages>
  <Words>561</Words>
  <Characters>3102</Characters>
  <TotalTime>1</TotalTime>
  <ScaleCrop>false</ScaleCrop>
  <LinksUpToDate>false</LinksUpToDate>
  <CharactersWithSpaces>3579</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2024-07-09T11:38:00Z</dcterms:created>
  <dc:creator>武 璐丽</dc:creator>
  <cp:lastModifiedBy>都市放牛</cp:lastModifiedBy>
  <dcterms:modified xsi:type="dcterms:W3CDTF">2025-11-06T15:02:35Z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2025-04-09T15:54:43Z</vt:filetime>
  </property>
  <property fmtid="{D5CDD505-2E9C-101B-9397-08002B2CF9AE}" pid="4" name="KSOTemplateDocerSaveRecord">
    <vt:lpwstr>eyJoZGlkIjoiYzkzMzYxMTExNzEwOGQ5ODQxNWNmZWE3NTdlYThlY2YiLCJ1c2VySWQiOiIyNTU0ODUxMjUifQ==</vt:lpwstr>
  </property>
  <property fmtid="{D5CDD505-2E9C-101B-9397-08002B2CF9AE}" pid="5" name="KSOProductBuildVer">
    <vt:lpwstr>2052-12.1.0.23125</vt:lpwstr>
  </property>
  <property fmtid="{D5CDD505-2E9C-101B-9397-08002B2CF9AE}" pid="6" name="ICV">
    <vt:lpwstr>B161BDAF1DE94694AA7C420B4ADFF86C_12</vt:lpwstr>
  </property>
</Properties>
</file>