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A055F" w14:textId="77777777" w:rsidR="004612DB" w:rsidRPr="00E42049" w:rsidRDefault="004612DB" w:rsidP="004612DB">
      <w:pPr>
        <w:pStyle w:val="ListeParagraf"/>
        <w:spacing w:line="480" w:lineRule="auto"/>
        <w:jc w:val="both"/>
        <w:rPr>
          <w:rFonts w:ascii="Calibri" w:eastAsia="Times New Roman" w:hAnsi="Calibri" w:cs="Calibri"/>
          <w:b/>
          <w:bCs/>
          <w:color w:val="000000" w:themeColor="text1"/>
          <w:kern w:val="0"/>
          <w:sz w:val="22"/>
          <w:szCs w:val="22"/>
          <w:lang w:val="en-US" w:eastAsia="tr-TR"/>
          <w14:ligatures w14:val="none"/>
        </w:rPr>
      </w:pPr>
      <w:r w:rsidRPr="00E42049">
        <w:rPr>
          <w:rFonts w:ascii="Calibri" w:eastAsia="Times New Roman" w:hAnsi="Calibri" w:cs="Calibri"/>
          <w:b/>
          <w:bCs/>
          <w:color w:val="000000" w:themeColor="text1"/>
          <w:kern w:val="0"/>
          <w:sz w:val="22"/>
          <w:szCs w:val="22"/>
          <w:lang w:val="en-US" w:eastAsia="tr-TR"/>
          <w14:ligatures w14:val="none"/>
        </w:rPr>
        <w:t>Supplementary Table 1. Full immunofluorescence profile by age group in minimal change disease (TSN-GOLD registry)</w:t>
      </w: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2100"/>
        <w:gridCol w:w="1824"/>
        <w:gridCol w:w="1871"/>
        <w:gridCol w:w="1712"/>
        <w:gridCol w:w="1555"/>
      </w:tblGrid>
      <w:tr w:rsidR="004612DB" w:rsidRPr="00E42049" w14:paraId="33B86511" w14:textId="77777777" w:rsidTr="003403CA">
        <w:tc>
          <w:tcPr>
            <w:tcW w:w="0" w:type="auto"/>
            <w:hideMark/>
          </w:tcPr>
          <w:p w14:paraId="31BCCABB" w14:textId="77777777" w:rsidR="004612DB" w:rsidRPr="00E42049" w:rsidRDefault="004612DB" w:rsidP="003403CA">
            <w:pPr>
              <w:pStyle w:val="ListeParagraf"/>
              <w:spacing w:line="36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Marker</w:t>
            </w:r>
          </w:p>
        </w:tc>
        <w:tc>
          <w:tcPr>
            <w:tcW w:w="0" w:type="auto"/>
            <w:hideMark/>
          </w:tcPr>
          <w:p w14:paraId="32BA2AC5" w14:textId="77777777" w:rsidR="004612DB" w:rsidRPr="00E42049" w:rsidRDefault="004612DB" w:rsidP="003403CA">
            <w:pPr>
              <w:pStyle w:val="ListeParagraf"/>
              <w:spacing w:line="36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&lt;40 years (n=237)</w:t>
            </w:r>
          </w:p>
        </w:tc>
        <w:tc>
          <w:tcPr>
            <w:tcW w:w="0" w:type="auto"/>
            <w:hideMark/>
          </w:tcPr>
          <w:p w14:paraId="2B07A24E" w14:textId="77777777" w:rsidR="004612DB" w:rsidRPr="00E42049" w:rsidRDefault="004612DB" w:rsidP="003403CA">
            <w:pPr>
              <w:pStyle w:val="ListeParagraf"/>
              <w:spacing w:line="36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40–64 years (n=120)</w:t>
            </w:r>
          </w:p>
        </w:tc>
        <w:tc>
          <w:tcPr>
            <w:tcW w:w="0" w:type="auto"/>
            <w:hideMark/>
          </w:tcPr>
          <w:p w14:paraId="5EEA62E6" w14:textId="77777777" w:rsidR="004612DB" w:rsidRPr="00E42049" w:rsidRDefault="004612DB" w:rsidP="003403CA">
            <w:pPr>
              <w:pStyle w:val="ListeParagraf"/>
              <w:spacing w:line="36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≥65 years (n=22)</w:t>
            </w:r>
          </w:p>
        </w:tc>
        <w:tc>
          <w:tcPr>
            <w:tcW w:w="0" w:type="auto"/>
            <w:hideMark/>
          </w:tcPr>
          <w:p w14:paraId="60E10637" w14:textId="77777777" w:rsidR="004612DB" w:rsidRPr="00E42049" w:rsidRDefault="004612DB" w:rsidP="003403CA">
            <w:pPr>
              <w:pStyle w:val="ListeParagraf"/>
              <w:spacing w:line="36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i/>
                <w:iCs/>
                <w:color w:val="000000" w:themeColor="text1"/>
                <w:lang w:val="en-US" w:eastAsia="tr-TR"/>
              </w:rPr>
              <w:t>p</w:t>
            </w: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 xml:space="preserve"> value</w:t>
            </w:r>
          </w:p>
        </w:tc>
      </w:tr>
      <w:tr w:rsidR="004612DB" w:rsidRPr="00E42049" w14:paraId="0C737A2A" w14:textId="77777777" w:rsidTr="003403CA">
        <w:tc>
          <w:tcPr>
            <w:tcW w:w="0" w:type="auto"/>
            <w:hideMark/>
          </w:tcPr>
          <w:p w14:paraId="440A0508" w14:textId="77777777" w:rsidR="004612DB" w:rsidRPr="00E42049" w:rsidRDefault="004612DB" w:rsidP="003403CA">
            <w:pPr>
              <w:pStyle w:val="ListeParagraf"/>
              <w:spacing w:line="36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IgG positivity</w:t>
            </w:r>
          </w:p>
        </w:tc>
        <w:tc>
          <w:tcPr>
            <w:tcW w:w="0" w:type="auto"/>
            <w:hideMark/>
          </w:tcPr>
          <w:p w14:paraId="4F6FE52A" w14:textId="77777777" w:rsidR="004612DB" w:rsidRPr="00E42049" w:rsidRDefault="004612DB" w:rsidP="003403CA">
            <w:pPr>
              <w:pStyle w:val="ListeParagraf"/>
              <w:spacing w:line="36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5·9%</w:t>
            </w:r>
          </w:p>
        </w:tc>
        <w:tc>
          <w:tcPr>
            <w:tcW w:w="0" w:type="auto"/>
            <w:hideMark/>
          </w:tcPr>
          <w:p w14:paraId="12B74D42" w14:textId="77777777" w:rsidR="004612DB" w:rsidRPr="00E42049" w:rsidRDefault="004612DB" w:rsidP="003403CA">
            <w:pPr>
              <w:pStyle w:val="ListeParagraf"/>
              <w:spacing w:line="36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5·0%</w:t>
            </w:r>
          </w:p>
        </w:tc>
        <w:tc>
          <w:tcPr>
            <w:tcW w:w="0" w:type="auto"/>
            <w:hideMark/>
          </w:tcPr>
          <w:p w14:paraId="1D1B9E04" w14:textId="77777777" w:rsidR="004612DB" w:rsidRPr="00E42049" w:rsidRDefault="004612DB" w:rsidP="003403CA">
            <w:pPr>
              <w:pStyle w:val="ListeParagraf"/>
              <w:spacing w:line="36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9·1%</w:t>
            </w:r>
          </w:p>
        </w:tc>
        <w:tc>
          <w:tcPr>
            <w:tcW w:w="0" w:type="auto"/>
            <w:hideMark/>
          </w:tcPr>
          <w:p w14:paraId="4789CC68" w14:textId="77777777" w:rsidR="004612DB" w:rsidRPr="00E42049" w:rsidRDefault="004612DB" w:rsidP="003403CA">
            <w:pPr>
              <w:pStyle w:val="ListeParagraf"/>
              <w:spacing w:line="36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0·528</w:t>
            </w:r>
          </w:p>
        </w:tc>
      </w:tr>
      <w:tr w:rsidR="004612DB" w:rsidRPr="00E42049" w14:paraId="7C44F6DB" w14:textId="77777777" w:rsidTr="003403CA">
        <w:tc>
          <w:tcPr>
            <w:tcW w:w="0" w:type="auto"/>
            <w:hideMark/>
          </w:tcPr>
          <w:p w14:paraId="45226291" w14:textId="77777777" w:rsidR="004612DB" w:rsidRPr="00E42049" w:rsidRDefault="004612DB" w:rsidP="003403CA">
            <w:pPr>
              <w:pStyle w:val="ListeParagraf"/>
              <w:spacing w:line="36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IgM positivity</w:t>
            </w:r>
          </w:p>
        </w:tc>
        <w:tc>
          <w:tcPr>
            <w:tcW w:w="0" w:type="auto"/>
            <w:hideMark/>
          </w:tcPr>
          <w:p w14:paraId="532C2F30" w14:textId="77777777" w:rsidR="004612DB" w:rsidRPr="00E42049" w:rsidRDefault="004612DB" w:rsidP="003403CA">
            <w:pPr>
              <w:pStyle w:val="ListeParagraf"/>
              <w:spacing w:line="36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18·2%</w:t>
            </w:r>
          </w:p>
        </w:tc>
        <w:tc>
          <w:tcPr>
            <w:tcW w:w="0" w:type="auto"/>
            <w:hideMark/>
          </w:tcPr>
          <w:p w14:paraId="611B2E76" w14:textId="77777777" w:rsidR="004612DB" w:rsidRPr="00E42049" w:rsidRDefault="004612DB" w:rsidP="003403CA">
            <w:pPr>
              <w:pStyle w:val="ListeParagraf"/>
              <w:spacing w:line="36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20·0%</w:t>
            </w:r>
          </w:p>
        </w:tc>
        <w:tc>
          <w:tcPr>
            <w:tcW w:w="0" w:type="auto"/>
            <w:hideMark/>
          </w:tcPr>
          <w:p w14:paraId="6AD23F87" w14:textId="77777777" w:rsidR="004612DB" w:rsidRPr="00E42049" w:rsidRDefault="004612DB" w:rsidP="003403CA">
            <w:pPr>
              <w:pStyle w:val="ListeParagraf"/>
              <w:spacing w:line="36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13·6%</w:t>
            </w:r>
          </w:p>
        </w:tc>
        <w:tc>
          <w:tcPr>
            <w:tcW w:w="0" w:type="auto"/>
            <w:hideMark/>
          </w:tcPr>
          <w:p w14:paraId="1EDC1601" w14:textId="77777777" w:rsidR="004612DB" w:rsidRPr="00E42049" w:rsidRDefault="004612DB" w:rsidP="003403CA">
            <w:pPr>
              <w:pStyle w:val="ListeParagraf"/>
              <w:spacing w:line="36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0·478</w:t>
            </w:r>
          </w:p>
        </w:tc>
      </w:tr>
      <w:tr w:rsidR="004612DB" w:rsidRPr="00E42049" w14:paraId="4378DC64" w14:textId="77777777" w:rsidTr="003403CA">
        <w:tc>
          <w:tcPr>
            <w:tcW w:w="0" w:type="auto"/>
            <w:hideMark/>
          </w:tcPr>
          <w:p w14:paraId="7CBF2F3C" w14:textId="77777777" w:rsidR="004612DB" w:rsidRPr="00E42049" w:rsidRDefault="004612DB" w:rsidP="003403CA">
            <w:pPr>
              <w:pStyle w:val="ListeParagraf"/>
              <w:spacing w:line="36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IgA positivity</w:t>
            </w:r>
          </w:p>
        </w:tc>
        <w:tc>
          <w:tcPr>
            <w:tcW w:w="0" w:type="auto"/>
            <w:hideMark/>
          </w:tcPr>
          <w:p w14:paraId="4D83FE6B" w14:textId="77777777" w:rsidR="004612DB" w:rsidRPr="00E42049" w:rsidRDefault="004612DB" w:rsidP="003403CA">
            <w:pPr>
              <w:pStyle w:val="ListeParagraf"/>
              <w:spacing w:line="36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3·8%</w:t>
            </w:r>
          </w:p>
        </w:tc>
        <w:tc>
          <w:tcPr>
            <w:tcW w:w="0" w:type="auto"/>
            <w:hideMark/>
          </w:tcPr>
          <w:p w14:paraId="5BC41ED1" w14:textId="77777777" w:rsidR="004612DB" w:rsidRPr="00E42049" w:rsidRDefault="004612DB" w:rsidP="003403CA">
            <w:pPr>
              <w:pStyle w:val="ListeParagraf"/>
              <w:spacing w:line="36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6·7%</w:t>
            </w:r>
          </w:p>
        </w:tc>
        <w:tc>
          <w:tcPr>
            <w:tcW w:w="0" w:type="auto"/>
            <w:hideMark/>
          </w:tcPr>
          <w:p w14:paraId="0DDF30DD" w14:textId="77777777" w:rsidR="004612DB" w:rsidRPr="00E42049" w:rsidRDefault="004612DB" w:rsidP="003403CA">
            <w:pPr>
              <w:pStyle w:val="ListeParagraf"/>
              <w:spacing w:line="36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4·5%</w:t>
            </w:r>
          </w:p>
        </w:tc>
        <w:tc>
          <w:tcPr>
            <w:tcW w:w="0" w:type="auto"/>
            <w:hideMark/>
          </w:tcPr>
          <w:p w14:paraId="46624834" w14:textId="77777777" w:rsidR="004612DB" w:rsidRPr="00E42049" w:rsidRDefault="004612DB" w:rsidP="003403CA">
            <w:pPr>
              <w:pStyle w:val="ListeParagraf"/>
              <w:spacing w:line="36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0·780</w:t>
            </w:r>
          </w:p>
        </w:tc>
      </w:tr>
      <w:tr w:rsidR="004612DB" w:rsidRPr="00E42049" w14:paraId="345540AE" w14:textId="77777777" w:rsidTr="003403CA">
        <w:tc>
          <w:tcPr>
            <w:tcW w:w="0" w:type="auto"/>
            <w:hideMark/>
          </w:tcPr>
          <w:p w14:paraId="0EABB894" w14:textId="77777777" w:rsidR="004612DB" w:rsidRPr="00E42049" w:rsidRDefault="004612DB" w:rsidP="003403CA">
            <w:pPr>
              <w:pStyle w:val="ListeParagraf"/>
              <w:spacing w:line="36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C3 positivity</w:t>
            </w:r>
          </w:p>
        </w:tc>
        <w:tc>
          <w:tcPr>
            <w:tcW w:w="0" w:type="auto"/>
            <w:hideMark/>
          </w:tcPr>
          <w:p w14:paraId="6CD4CDD8" w14:textId="77777777" w:rsidR="004612DB" w:rsidRPr="00E42049" w:rsidRDefault="004612DB" w:rsidP="003403CA">
            <w:pPr>
              <w:pStyle w:val="ListeParagraf"/>
              <w:spacing w:line="36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13·7%</w:t>
            </w:r>
          </w:p>
        </w:tc>
        <w:tc>
          <w:tcPr>
            <w:tcW w:w="0" w:type="auto"/>
            <w:hideMark/>
          </w:tcPr>
          <w:p w14:paraId="3AE9CDA2" w14:textId="77777777" w:rsidR="004612DB" w:rsidRPr="00E42049" w:rsidRDefault="004612DB" w:rsidP="003403CA">
            <w:pPr>
              <w:pStyle w:val="ListeParagraf"/>
              <w:spacing w:line="36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9·4%</w:t>
            </w:r>
          </w:p>
        </w:tc>
        <w:tc>
          <w:tcPr>
            <w:tcW w:w="0" w:type="auto"/>
            <w:hideMark/>
          </w:tcPr>
          <w:p w14:paraId="36828490" w14:textId="77777777" w:rsidR="004612DB" w:rsidRPr="00E42049" w:rsidRDefault="004612DB" w:rsidP="003403CA">
            <w:pPr>
              <w:pStyle w:val="ListeParagraf"/>
              <w:spacing w:line="36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18·2%</w:t>
            </w:r>
          </w:p>
        </w:tc>
        <w:tc>
          <w:tcPr>
            <w:tcW w:w="0" w:type="auto"/>
            <w:hideMark/>
          </w:tcPr>
          <w:p w14:paraId="48245171" w14:textId="77777777" w:rsidR="004612DB" w:rsidRPr="00E42049" w:rsidRDefault="004612DB" w:rsidP="003403CA">
            <w:pPr>
              <w:pStyle w:val="ListeParagraf"/>
              <w:spacing w:line="36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0·744</w:t>
            </w:r>
          </w:p>
        </w:tc>
      </w:tr>
      <w:tr w:rsidR="004612DB" w:rsidRPr="00E42049" w14:paraId="6F0EA1C0" w14:textId="77777777" w:rsidTr="003403CA">
        <w:tc>
          <w:tcPr>
            <w:tcW w:w="0" w:type="auto"/>
            <w:hideMark/>
          </w:tcPr>
          <w:p w14:paraId="459F2AE1" w14:textId="77777777" w:rsidR="004612DB" w:rsidRPr="00E42049" w:rsidRDefault="004612DB" w:rsidP="003403CA">
            <w:pPr>
              <w:pStyle w:val="ListeParagraf"/>
              <w:spacing w:line="36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C1q positivity</w:t>
            </w:r>
          </w:p>
        </w:tc>
        <w:tc>
          <w:tcPr>
            <w:tcW w:w="0" w:type="auto"/>
            <w:hideMark/>
          </w:tcPr>
          <w:p w14:paraId="063CC126" w14:textId="77777777" w:rsidR="004612DB" w:rsidRPr="00E42049" w:rsidRDefault="004612DB" w:rsidP="003403CA">
            <w:pPr>
              <w:pStyle w:val="ListeParagraf"/>
              <w:spacing w:line="36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3·2%</w:t>
            </w:r>
          </w:p>
        </w:tc>
        <w:tc>
          <w:tcPr>
            <w:tcW w:w="0" w:type="auto"/>
            <w:hideMark/>
          </w:tcPr>
          <w:p w14:paraId="63CA8640" w14:textId="77777777" w:rsidR="004612DB" w:rsidRPr="00E42049" w:rsidRDefault="004612DB" w:rsidP="003403CA">
            <w:pPr>
              <w:pStyle w:val="ListeParagraf"/>
              <w:spacing w:line="36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10·7%</w:t>
            </w:r>
          </w:p>
        </w:tc>
        <w:tc>
          <w:tcPr>
            <w:tcW w:w="0" w:type="auto"/>
            <w:hideMark/>
          </w:tcPr>
          <w:p w14:paraId="6B8D2EF9" w14:textId="77777777" w:rsidR="004612DB" w:rsidRPr="00E42049" w:rsidRDefault="004612DB" w:rsidP="003403CA">
            <w:pPr>
              <w:pStyle w:val="ListeParagraf"/>
              <w:spacing w:line="36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0%</w:t>
            </w:r>
          </w:p>
        </w:tc>
        <w:tc>
          <w:tcPr>
            <w:tcW w:w="0" w:type="auto"/>
            <w:hideMark/>
          </w:tcPr>
          <w:p w14:paraId="224FEB9D" w14:textId="77777777" w:rsidR="004612DB" w:rsidRPr="00E42049" w:rsidRDefault="004612DB" w:rsidP="003403CA">
            <w:pPr>
              <w:pStyle w:val="ListeParagraf"/>
              <w:spacing w:line="36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0·030*</w:t>
            </w:r>
          </w:p>
        </w:tc>
      </w:tr>
      <w:tr w:rsidR="004612DB" w:rsidRPr="00E42049" w14:paraId="68F6E6E6" w14:textId="77777777" w:rsidTr="003403CA">
        <w:tc>
          <w:tcPr>
            <w:tcW w:w="0" w:type="auto"/>
            <w:hideMark/>
          </w:tcPr>
          <w:p w14:paraId="1F603A0A" w14:textId="77777777" w:rsidR="004612DB" w:rsidRPr="00E42049" w:rsidRDefault="004612DB" w:rsidP="003403CA">
            <w:pPr>
              <w:pStyle w:val="ListeParagraf"/>
              <w:spacing w:line="36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κ light chain positivity</w:t>
            </w:r>
          </w:p>
        </w:tc>
        <w:tc>
          <w:tcPr>
            <w:tcW w:w="0" w:type="auto"/>
            <w:hideMark/>
          </w:tcPr>
          <w:p w14:paraId="499F4BB4" w14:textId="77777777" w:rsidR="004612DB" w:rsidRPr="00E42049" w:rsidRDefault="004612DB" w:rsidP="003403CA">
            <w:pPr>
              <w:pStyle w:val="ListeParagraf"/>
              <w:spacing w:line="36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3·9%</w:t>
            </w:r>
          </w:p>
        </w:tc>
        <w:tc>
          <w:tcPr>
            <w:tcW w:w="0" w:type="auto"/>
            <w:hideMark/>
          </w:tcPr>
          <w:p w14:paraId="7F280976" w14:textId="77777777" w:rsidR="004612DB" w:rsidRPr="00E42049" w:rsidRDefault="004612DB" w:rsidP="003403CA">
            <w:pPr>
              <w:pStyle w:val="ListeParagraf"/>
              <w:spacing w:line="36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4·1%</w:t>
            </w:r>
          </w:p>
        </w:tc>
        <w:tc>
          <w:tcPr>
            <w:tcW w:w="0" w:type="auto"/>
            <w:hideMark/>
          </w:tcPr>
          <w:p w14:paraId="3DFFE23D" w14:textId="77777777" w:rsidR="004612DB" w:rsidRPr="00E42049" w:rsidRDefault="004612DB" w:rsidP="003403CA">
            <w:pPr>
              <w:pStyle w:val="ListeParagraf"/>
              <w:spacing w:line="36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0%</w:t>
            </w:r>
          </w:p>
        </w:tc>
        <w:tc>
          <w:tcPr>
            <w:tcW w:w="0" w:type="auto"/>
            <w:hideMark/>
          </w:tcPr>
          <w:p w14:paraId="1C970711" w14:textId="77777777" w:rsidR="004612DB" w:rsidRPr="00E42049" w:rsidRDefault="004612DB" w:rsidP="003403CA">
            <w:pPr>
              <w:pStyle w:val="ListeParagraf"/>
              <w:spacing w:line="36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0·026*</w:t>
            </w:r>
          </w:p>
        </w:tc>
      </w:tr>
      <w:tr w:rsidR="004612DB" w:rsidRPr="00E42049" w14:paraId="0EE67CCA" w14:textId="77777777" w:rsidTr="003403CA">
        <w:tc>
          <w:tcPr>
            <w:tcW w:w="0" w:type="auto"/>
            <w:hideMark/>
          </w:tcPr>
          <w:p w14:paraId="6304E995" w14:textId="77777777" w:rsidR="004612DB" w:rsidRPr="00E42049" w:rsidRDefault="004612DB" w:rsidP="003403CA">
            <w:pPr>
              <w:pStyle w:val="ListeParagraf"/>
              <w:spacing w:line="36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λ light chain positivity</w:t>
            </w:r>
          </w:p>
        </w:tc>
        <w:tc>
          <w:tcPr>
            <w:tcW w:w="0" w:type="auto"/>
            <w:hideMark/>
          </w:tcPr>
          <w:p w14:paraId="4E81E5C6" w14:textId="77777777" w:rsidR="004612DB" w:rsidRPr="00E42049" w:rsidRDefault="004612DB" w:rsidP="003403CA">
            <w:pPr>
              <w:pStyle w:val="ListeParagraf"/>
              <w:spacing w:line="36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4·4%</w:t>
            </w:r>
          </w:p>
        </w:tc>
        <w:tc>
          <w:tcPr>
            <w:tcW w:w="0" w:type="auto"/>
            <w:hideMark/>
          </w:tcPr>
          <w:p w14:paraId="6858C54D" w14:textId="77777777" w:rsidR="004612DB" w:rsidRPr="00E42049" w:rsidRDefault="004612DB" w:rsidP="003403CA">
            <w:pPr>
              <w:pStyle w:val="ListeParagraf"/>
              <w:spacing w:line="36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2·1%</w:t>
            </w:r>
          </w:p>
        </w:tc>
        <w:tc>
          <w:tcPr>
            <w:tcW w:w="0" w:type="auto"/>
            <w:hideMark/>
          </w:tcPr>
          <w:p w14:paraId="30961C26" w14:textId="77777777" w:rsidR="004612DB" w:rsidRPr="00E42049" w:rsidRDefault="004612DB" w:rsidP="003403CA">
            <w:pPr>
              <w:pStyle w:val="ListeParagraf"/>
              <w:spacing w:line="36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0%</w:t>
            </w:r>
          </w:p>
        </w:tc>
        <w:tc>
          <w:tcPr>
            <w:tcW w:w="0" w:type="auto"/>
            <w:hideMark/>
          </w:tcPr>
          <w:p w14:paraId="09C2BD58" w14:textId="77777777" w:rsidR="004612DB" w:rsidRPr="00E42049" w:rsidRDefault="004612DB" w:rsidP="003403CA">
            <w:pPr>
              <w:pStyle w:val="ListeParagraf"/>
              <w:spacing w:line="36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0·008*</w:t>
            </w:r>
          </w:p>
        </w:tc>
      </w:tr>
      <w:tr w:rsidR="004612DB" w:rsidRPr="00E42049" w14:paraId="45BC7F19" w14:textId="77777777" w:rsidTr="003403CA">
        <w:tc>
          <w:tcPr>
            <w:tcW w:w="0" w:type="auto"/>
            <w:hideMark/>
          </w:tcPr>
          <w:p w14:paraId="3B4DFE1E" w14:textId="77777777" w:rsidR="004612DB" w:rsidRPr="00E42049" w:rsidRDefault="004612DB" w:rsidP="003403CA">
            <w:pPr>
              <w:pStyle w:val="ListeParagraf"/>
              <w:spacing w:line="36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Fibrinogen positivity</w:t>
            </w:r>
          </w:p>
        </w:tc>
        <w:tc>
          <w:tcPr>
            <w:tcW w:w="0" w:type="auto"/>
            <w:hideMark/>
          </w:tcPr>
          <w:p w14:paraId="3A1A893C" w14:textId="77777777" w:rsidR="004612DB" w:rsidRPr="00E42049" w:rsidRDefault="004612DB" w:rsidP="003403CA">
            <w:pPr>
              <w:pStyle w:val="ListeParagraf"/>
              <w:spacing w:line="36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2·5%</w:t>
            </w:r>
          </w:p>
        </w:tc>
        <w:tc>
          <w:tcPr>
            <w:tcW w:w="0" w:type="auto"/>
            <w:hideMark/>
          </w:tcPr>
          <w:p w14:paraId="270F8F73" w14:textId="77777777" w:rsidR="004612DB" w:rsidRPr="00E42049" w:rsidRDefault="004612DB" w:rsidP="003403CA">
            <w:pPr>
              <w:pStyle w:val="ListeParagraf"/>
              <w:spacing w:line="36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3·1%</w:t>
            </w:r>
          </w:p>
        </w:tc>
        <w:tc>
          <w:tcPr>
            <w:tcW w:w="0" w:type="auto"/>
            <w:hideMark/>
          </w:tcPr>
          <w:p w14:paraId="1AFF01A7" w14:textId="77777777" w:rsidR="004612DB" w:rsidRPr="00E42049" w:rsidRDefault="004612DB" w:rsidP="003403CA">
            <w:pPr>
              <w:pStyle w:val="ListeParagraf"/>
              <w:spacing w:line="36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0%</w:t>
            </w:r>
          </w:p>
        </w:tc>
        <w:tc>
          <w:tcPr>
            <w:tcW w:w="0" w:type="auto"/>
            <w:hideMark/>
          </w:tcPr>
          <w:p w14:paraId="43EF1319" w14:textId="77777777" w:rsidR="004612DB" w:rsidRPr="00E42049" w:rsidRDefault="004612DB" w:rsidP="003403CA">
            <w:pPr>
              <w:pStyle w:val="ListeParagraf"/>
              <w:spacing w:line="36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0·619</w:t>
            </w:r>
          </w:p>
        </w:tc>
      </w:tr>
    </w:tbl>
    <w:p w14:paraId="6B64B3D4" w14:textId="77777777" w:rsidR="004612DB" w:rsidRPr="00E42049" w:rsidRDefault="004612DB" w:rsidP="004612DB">
      <w:pPr>
        <w:pStyle w:val="ListeParagraf"/>
        <w:spacing w:line="360" w:lineRule="auto"/>
        <w:jc w:val="both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val="en-US" w:eastAsia="tr-TR"/>
          <w14:ligatures w14:val="none"/>
        </w:rPr>
      </w:pPr>
      <w:r w:rsidRPr="00E42049">
        <w:rPr>
          <w:rFonts w:ascii="Calibri" w:eastAsia="Times New Roman" w:hAnsi="Calibri" w:cs="Calibri"/>
          <w:i/>
          <w:iCs/>
          <w:color w:val="000000" w:themeColor="text1"/>
          <w:kern w:val="0"/>
          <w:sz w:val="22"/>
          <w:szCs w:val="22"/>
          <w:lang w:val="en-US" w:eastAsia="tr-TR"/>
          <w14:ligatures w14:val="none"/>
        </w:rPr>
        <w:t>Values shown as percentage of patients with positive staining. Significant p-values indicated with an asterisk.</w:t>
      </w:r>
    </w:p>
    <w:p w14:paraId="1153AC60" w14:textId="77777777" w:rsidR="004612DB" w:rsidRPr="00E42049" w:rsidRDefault="004612DB" w:rsidP="004612DB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5208A8FA" w14:textId="77777777" w:rsidR="004612DB" w:rsidRPr="00E42049" w:rsidRDefault="004612DB" w:rsidP="004612DB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31477150" w14:textId="77777777" w:rsidR="004612DB" w:rsidRPr="00E42049" w:rsidRDefault="004612DB" w:rsidP="004612DB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1CD2D285" w14:textId="77777777" w:rsidR="004612DB" w:rsidRPr="00E42049" w:rsidRDefault="004612DB" w:rsidP="004612DB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5EE30498" w14:textId="77777777" w:rsidR="004612DB" w:rsidRDefault="004612DB" w:rsidP="004612DB">
      <w:pPr>
        <w:pStyle w:val="ListeParagraf"/>
        <w:spacing w:line="360" w:lineRule="auto"/>
        <w:jc w:val="both"/>
        <w:rPr>
          <w:rFonts w:ascii="Calibri" w:eastAsia="Times New Roman" w:hAnsi="Calibri" w:cs="Calibri"/>
          <w:b/>
          <w:bCs/>
          <w:color w:val="000000" w:themeColor="text1"/>
          <w:kern w:val="0"/>
          <w:sz w:val="22"/>
          <w:szCs w:val="22"/>
          <w:lang w:val="en-US" w:eastAsia="tr-TR"/>
          <w14:ligatures w14:val="none"/>
        </w:rPr>
      </w:pPr>
    </w:p>
    <w:p w14:paraId="4634119C" w14:textId="77777777" w:rsidR="004612DB" w:rsidRDefault="004612DB" w:rsidP="004612DB">
      <w:pPr>
        <w:pStyle w:val="ListeParagraf"/>
        <w:spacing w:line="360" w:lineRule="auto"/>
        <w:jc w:val="both"/>
        <w:rPr>
          <w:rFonts w:ascii="Calibri" w:eastAsia="Times New Roman" w:hAnsi="Calibri" w:cs="Calibri"/>
          <w:b/>
          <w:bCs/>
          <w:color w:val="000000" w:themeColor="text1"/>
          <w:kern w:val="0"/>
          <w:sz w:val="22"/>
          <w:szCs w:val="22"/>
          <w:lang w:val="en-US" w:eastAsia="tr-TR"/>
          <w14:ligatures w14:val="none"/>
        </w:rPr>
      </w:pPr>
    </w:p>
    <w:p w14:paraId="56947812" w14:textId="77777777" w:rsidR="004612DB" w:rsidRDefault="004612DB" w:rsidP="004612DB">
      <w:pPr>
        <w:pStyle w:val="ListeParagraf"/>
        <w:spacing w:line="360" w:lineRule="auto"/>
        <w:jc w:val="both"/>
        <w:rPr>
          <w:rFonts w:ascii="Calibri" w:eastAsia="Times New Roman" w:hAnsi="Calibri" w:cs="Calibri"/>
          <w:b/>
          <w:bCs/>
          <w:color w:val="000000" w:themeColor="text1"/>
          <w:kern w:val="0"/>
          <w:sz w:val="22"/>
          <w:szCs w:val="22"/>
          <w:lang w:val="en-US" w:eastAsia="tr-TR"/>
          <w14:ligatures w14:val="none"/>
        </w:rPr>
      </w:pPr>
    </w:p>
    <w:p w14:paraId="18CF21AF" w14:textId="77777777" w:rsidR="004612DB" w:rsidRDefault="004612DB" w:rsidP="004612DB">
      <w:pPr>
        <w:pStyle w:val="ListeParagraf"/>
        <w:spacing w:line="360" w:lineRule="auto"/>
        <w:jc w:val="both"/>
        <w:rPr>
          <w:rFonts w:ascii="Calibri" w:eastAsia="Times New Roman" w:hAnsi="Calibri" w:cs="Calibri"/>
          <w:b/>
          <w:bCs/>
          <w:color w:val="000000" w:themeColor="text1"/>
          <w:kern w:val="0"/>
          <w:sz w:val="22"/>
          <w:szCs w:val="22"/>
          <w:lang w:val="en-US" w:eastAsia="tr-TR"/>
          <w14:ligatures w14:val="none"/>
        </w:rPr>
      </w:pPr>
    </w:p>
    <w:p w14:paraId="5D4BF390" w14:textId="77777777" w:rsidR="004612DB" w:rsidRDefault="004612DB" w:rsidP="004612DB">
      <w:pPr>
        <w:pStyle w:val="ListeParagraf"/>
        <w:spacing w:line="360" w:lineRule="auto"/>
        <w:jc w:val="both"/>
        <w:rPr>
          <w:rFonts w:ascii="Calibri" w:eastAsia="Times New Roman" w:hAnsi="Calibri" w:cs="Calibri"/>
          <w:b/>
          <w:bCs/>
          <w:color w:val="000000" w:themeColor="text1"/>
          <w:kern w:val="0"/>
          <w:sz w:val="22"/>
          <w:szCs w:val="22"/>
          <w:lang w:val="en-US" w:eastAsia="tr-TR"/>
          <w14:ligatures w14:val="none"/>
        </w:rPr>
      </w:pPr>
    </w:p>
    <w:p w14:paraId="45CBD5F8" w14:textId="77777777" w:rsidR="004612DB" w:rsidRDefault="004612DB" w:rsidP="004612DB">
      <w:pPr>
        <w:pStyle w:val="ListeParagraf"/>
        <w:spacing w:line="360" w:lineRule="auto"/>
        <w:jc w:val="both"/>
        <w:rPr>
          <w:rFonts w:ascii="Calibri" w:eastAsia="Times New Roman" w:hAnsi="Calibri" w:cs="Calibri"/>
          <w:b/>
          <w:bCs/>
          <w:color w:val="000000" w:themeColor="text1"/>
          <w:kern w:val="0"/>
          <w:sz w:val="22"/>
          <w:szCs w:val="22"/>
          <w:lang w:val="en-US" w:eastAsia="tr-TR"/>
          <w14:ligatures w14:val="none"/>
        </w:rPr>
      </w:pPr>
    </w:p>
    <w:p w14:paraId="37DC7232" w14:textId="77777777" w:rsidR="004612DB" w:rsidRDefault="004612DB" w:rsidP="004612DB">
      <w:pPr>
        <w:pStyle w:val="ListeParagraf"/>
        <w:spacing w:line="360" w:lineRule="auto"/>
        <w:jc w:val="both"/>
        <w:rPr>
          <w:rFonts w:ascii="Calibri" w:eastAsia="Times New Roman" w:hAnsi="Calibri" w:cs="Calibri"/>
          <w:b/>
          <w:bCs/>
          <w:color w:val="000000" w:themeColor="text1"/>
          <w:kern w:val="0"/>
          <w:sz w:val="22"/>
          <w:szCs w:val="22"/>
          <w:lang w:val="en-US" w:eastAsia="tr-TR"/>
          <w14:ligatures w14:val="none"/>
        </w:rPr>
      </w:pPr>
    </w:p>
    <w:p w14:paraId="1F15BF9C" w14:textId="77777777" w:rsidR="004612DB" w:rsidRDefault="004612DB" w:rsidP="004612DB">
      <w:pPr>
        <w:pStyle w:val="ListeParagraf"/>
        <w:spacing w:line="360" w:lineRule="auto"/>
        <w:jc w:val="both"/>
        <w:rPr>
          <w:rFonts w:ascii="Calibri" w:eastAsia="Times New Roman" w:hAnsi="Calibri" w:cs="Calibri"/>
          <w:b/>
          <w:bCs/>
          <w:color w:val="000000" w:themeColor="text1"/>
          <w:kern w:val="0"/>
          <w:sz w:val="22"/>
          <w:szCs w:val="22"/>
          <w:lang w:val="en-US" w:eastAsia="tr-TR"/>
          <w14:ligatures w14:val="none"/>
        </w:rPr>
      </w:pPr>
    </w:p>
    <w:p w14:paraId="2064762D" w14:textId="77777777" w:rsidR="004612DB" w:rsidRPr="00E42049" w:rsidRDefault="004612DB" w:rsidP="004612DB">
      <w:pPr>
        <w:pStyle w:val="ListeParagraf"/>
        <w:spacing w:line="360" w:lineRule="auto"/>
        <w:jc w:val="both"/>
        <w:rPr>
          <w:rFonts w:ascii="Calibri" w:eastAsia="Times New Roman" w:hAnsi="Calibri" w:cs="Calibri"/>
          <w:b/>
          <w:bCs/>
          <w:color w:val="000000" w:themeColor="text1"/>
          <w:kern w:val="0"/>
          <w:sz w:val="22"/>
          <w:szCs w:val="22"/>
          <w:lang w:val="en-US" w:eastAsia="tr-TR"/>
          <w14:ligatures w14:val="none"/>
        </w:rPr>
      </w:pPr>
      <w:r w:rsidRPr="00E42049">
        <w:rPr>
          <w:rFonts w:ascii="Calibri" w:eastAsia="Times New Roman" w:hAnsi="Calibri" w:cs="Calibri"/>
          <w:b/>
          <w:bCs/>
          <w:color w:val="000000" w:themeColor="text1"/>
          <w:kern w:val="0"/>
          <w:sz w:val="22"/>
          <w:szCs w:val="22"/>
          <w:lang w:val="en-US" w:eastAsia="tr-TR"/>
          <w14:ligatures w14:val="none"/>
        </w:rPr>
        <w:t>Table S2. Subgroup analysis of relapse predictors by age group</w:t>
      </w:r>
    </w:p>
    <w:tbl>
      <w:tblPr>
        <w:tblStyle w:val="TabloKlavuzuAk"/>
        <w:tblW w:w="10343" w:type="dxa"/>
        <w:tblLayout w:type="fixed"/>
        <w:tblLook w:val="04A0" w:firstRow="1" w:lastRow="0" w:firstColumn="1" w:lastColumn="0" w:noHBand="0" w:noVBand="1"/>
      </w:tblPr>
      <w:tblGrid>
        <w:gridCol w:w="2783"/>
        <w:gridCol w:w="1705"/>
        <w:gridCol w:w="1636"/>
        <w:gridCol w:w="1524"/>
        <w:gridCol w:w="1503"/>
        <w:gridCol w:w="1192"/>
      </w:tblGrid>
      <w:tr w:rsidR="004612DB" w:rsidRPr="00E42049" w14:paraId="5F7335B9" w14:textId="77777777" w:rsidTr="003403CA">
        <w:trPr>
          <w:trHeight w:val="432"/>
        </w:trPr>
        <w:tc>
          <w:tcPr>
            <w:tcW w:w="2783" w:type="dxa"/>
            <w:hideMark/>
          </w:tcPr>
          <w:p w14:paraId="49166028" w14:textId="77777777" w:rsidR="004612DB" w:rsidRPr="00E42049" w:rsidRDefault="004612DB" w:rsidP="003403CA">
            <w:pPr>
              <w:pStyle w:val="ListeParagraf"/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Predictor</w:t>
            </w:r>
          </w:p>
        </w:tc>
        <w:tc>
          <w:tcPr>
            <w:tcW w:w="1705" w:type="dxa"/>
            <w:hideMark/>
          </w:tcPr>
          <w:p w14:paraId="7A73C721" w14:textId="77777777" w:rsidR="004612DB" w:rsidRPr="00E42049" w:rsidRDefault="004612DB" w:rsidP="003403CA">
            <w:pPr>
              <w:pStyle w:val="ListeParagraf"/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&lt;40 years (n=237)</w:t>
            </w:r>
          </w:p>
        </w:tc>
        <w:tc>
          <w:tcPr>
            <w:tcW w:w="1636" w:type="dxa"/>
            <w:hideMark/>
          </w:tcPr>
          <w:p w14:paraId="46AB2CB5" w14:textId="77777777" w:rsidR="004612DB" w:rsidRPr="00E42049" w:rsidRDefault="004612DB" w:rsidP="003403CA">
            <w:pPr>
              <w:pStyle w:val="ListeParagraf"/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40–64 years (n=120)</w:t>
            </w:r>
          </w:p>
        </w:tc>
        <w:tc>
          <w:tcPr>
            <w:tcW w:w="1524" w:type="dxa"/>
            <w:hideMark/>
          </w:tcPr>
          <w:p w14:paraId="2FDEEF00" w14:textId="77777777" w:rsidR="004612DB" w:rsidRPr="00E42049" w:rsidRDefault="004612DB" w:rsidP="003403CA">
            <w:pPr>
              <w:pStyle w:val="ListeParagraf"/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≥65 years (n=22)</w:t>
            </w:r>
          </w:p>
        </w:tc>
        <w:tc>
          <w:tcPr>
            <w:tcW w:w="1503" w:type="dxa"/>
            <w:hideMark/>
          </w:tcPr>
          <w:p w14:paraId="1683A546" w14:textId="77777777" w:rsidR="004612DB" w:rsidRPr="00E42049" w:rsidRDefault="004612DB" w:rsidP="003403CA">
            <w:pPr>
              <w:pStyle w:val="ListeParagraf"/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OR (95% CI)</w:t>
            </w:r>
          </w:p>
        </w:tc>
        <w:tc>
          <w:tcPr>
            <w:tcW w:w="1192" w:type="dxa"/>
            <w:hideMark/>
          </w:tcPr>
          <w:p w14:paraId="536832D7" w14:textId="77777777" w:rsidR="004612DB" w:rsidRPr="00E42049" w:rsidRDefault="004612DB" w:rsidP="003403CA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i/>
                <w:iCs/>
                <w:color w:val="000000" w:themeColor="text1"/>
                <w:lang w:val="en-US" w:eastAsia="tr-TR"/>
              </w:rPr>
              <w:t>p</w:t>
            </w: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 xml:space="preserve"> value</w:t>
            </w:r>
          </w:p>
        </w:tc>
      </w:tr>
      <w:tr w:rsidR="004612DB" w:rsidRPr="00E42049" w14:paraId="22D19583" w14:textId="77777777" w:rsidTr="003403CA">
        <w:trPr>
          <w:trHeight w:val="432"/>
        </w:trPr>
        <w:tc>
          <w:tcPr>
            <w:tcW w:w="2783" w:type="dxa"/>
            <w:hideMark/>
          </w:tcPr>
          <w:p w14:paraId="61E0EF51" w14:textId="77777777" w:rsidR="004612DB" w:rsidRPr="00E42049" w:rsidRDefault="004612DB" w:rsidP="003403CA">
            <w:pPr>
              <w:pStyle w:val="ListeParagraf"/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Male sex</w:t>
            </w:r>
          </w:p>
        </w:tc>
        <w:tc>
          <w:tcPr>
            <w:tcW w:w="1705" w:type="dxa"/>
            <w:hideMark/>
          </w:tcPr>
          <w:p w14:paraId="0D49F2F6" w14:textId="77777777" w:rsidR="004612DB" w:rsidRPr="00E42049" w:rsidRDefault="004612DB" w:rsidP="003403CA">
            <w:pPr>
              <w:pStyle w:val="ListeParagraf"/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43·2% relapsed vs 42·5% non-relapsed</w:t>
            </w:r>
          </w:p>
        </w:tc>
        <w:tc>
          <w:tcPr>
            <w:tcW w:w="1636" w:type="dxa"/>
            <w:hideMark/>
          </w:tcPr>
          <w:p w14:paraId="68FA767F" w14:textId="77777777" w:rsidR="004612DB" w:rsidRPr="00E42049" w:rsidRDefault="004612DB" w:rsidP="003403CA">
            <w:pPr>
              <w:pStyle w:val="ListeParagraf"/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39·1% vs 49·0%</w:t>
            </w:r>
          </w:p>
        </w:tc>
        <w:tc>
          <w:tcPr>
            <w:tcW w:w="1524" w:type="dxa"/>
            <w:hideMark/>
          </w:tcPr>
          <w:p w14:paraId="6BA0C9A4" w14:textId="77777777" w:rsidR="004612DB" w:rsidRPr="00E42049" w:rsidRDefault="004612DB" w:rsidP="003403CA">
            <w:pPr>
              <w:pStyle w:val="ListeParagraf"/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15·4% vs 20·0%</w:t>
            </w:r>
          </w:p>
        </w:tc>
        <w:tc>
          <w:tcPr>
            <w:tcW w:w="1503" w:type="dxa"/>
            <w:hideMark/>
          </w:tcPr>
          <w:p w14:paraId="12647AD0" w14:textId="77777777" w:rsidR="004612DB" w:rsidRPr="00E42049" w:rsidRDefault="004612DB" w:rsidP="003403CA">
            <w:pPr>
              <w:pStyle w:val="ListeParagraf"/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1·12 (0·76–1·66)</w:t>
            </w:r>
          </w:p>
        </w:tc>
        <w:tc>
          <w:tcPr>
            <w:tcW w:w="1192" w:type="dxa"/>
            <w:hideMark/>
          </w:tcPr>
          <w:p w14:paraId="33C83622" w14:textId="77777777" w:rsidR="004612DB" w:rsidRPr="00E42049" w:rsidRDefault="004612DB" w:rsidP="003403CA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0·41</w:t>
            </w:r>
          </w:p>
        </w:tc>
      </w:tr>
      <w:tr w:rsidR="004612DB" w:rsidRPr="00E42049" w14:paraId="61EA1266" w14:textId="77777777" w:rsidTr="003403CA">
        <w:trPr>
          <w:trHeight w:val="432"/>
        </w:trPr>
        <w:tc>
          <w:tcPr>
            <w:tcW w:w="2783" w:type="dxa"/>
            <w:hideMark/>
          </w:tcPr>
          <w:p w14:paraId="5D61904A" w14:textId="77777777" w:rsidR="004612DB" w:rsidRPr="00E42049" w:rsidRDefault="004612DB" w:rsidP="003403CA">
            <w:pPr>
              <w:pStyle w:val="ListeParagraf"/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Baseline hypertension</w:t>
            </w:r>
          </w:p>
        </w:tc>
        <w:tc>
          <w:tcPr>
            <w:tcW w:w="1705" w:type="dxa"/>
            <w:hideMark/>
          </w:tcPr>
          <w:p w14:paraId="02E94E96" w14:textId="77777777" w:rsidR="004612DB" w:rsidRPr="00E42049" w:rsidRDefault="004612DB" w:rsidP="003403CA">
            <w:pPr>
              <w:pStyle w:val="ListeParagraf"/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20·0% vs 8·2%</w:t>
            </w:r>
          </w:p>
        </w:tc>
        <w:tc>
          <w:tcPr>
            <w:tcW w:w="1636" w:type="dxa"/>
            <w:hideMark/>
          </w:tcPr>
          <w:p w14:paraId="4B7892F4" w14:textId="77777777" w:rsidR="004612DB" w:rsidRPr="00E42049" w:rsidRDefault="004612DB" w:rsidP="003403CA">
            <w:pPr>
              <w:pStyle w:val="ListeParagraf"/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44·0% vs 25·0%</w:t>
            </w:r>
          </w:p>
        </w:tc>
        <w:tc>
          <w:tcPr>
            <w:tcW w:w="1524" w:type="dxa"/>
            <w:hideMark/>
          </w:tcPr>
          <w:p w14:paraId="6BAA78E7" w14:textId="77777777" w:rsidR="004612DB" w:rsidRPr="00E42049" w:rsidRDefault="004612DB" w:rsidP="003403CA">
            <w:pPr>
              <w:pStyle w:val="ListeParagraf"/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50·0% vs 30·0%</w:t>
            </w:r>
          </w:p>
        </w:tc>
        <w:tc>
          <w:tcPr>
            <w:tcW w:w="1503" w:type="dxa"/>
            <w:hideMark/>
          </w:tcPr>
          <w:p w14:paraId="05ED13BB" w14:textId="77777777" w:rsidR="004612DB" w:rsidRPr="00E42049" w:rsidRDefault="004612DB" w:rsidP="003403CA">
            <w:pPr>
              <w:pStyle w:val="ListeParagraf"/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1·95 (1·21–3·13)</w:t>
            </w:r>
          </w:p>
        </w:tc>
        <w:tc>
          <w:tcPr>
            <w:tcW w:w="1192" w:type="dxa"/>
            <w:hideMark/>
          </w:tcPr>
          <w:p w14:paraId="731AB04B" w14:textId="77777777" w:rsidR="004612DB" w:rsidRPr="00E42049" w:rsidRDefault="004612DB" w:rsidP="003403CA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0·009*</w:t>
            </w:r>
          </w:p>
        </w:tc>
      </w:tr>
      <w:tr w:rsidR="004612DB" w:rsidRPr="00E42049" w14:paraId="71918B99" w14:textId="77777777" w:rsidTr="003403CA">
        <w:trPr>
          <w:trHeight w:val="432"/>
        </w:trPr>
        <w:tc>
          <w:tcPr>
            <w:tcW w:w="2783" w:type="dxa"/>
            <w:hideMark/>
          </w:tcPr>
          <w:p w14:paraId="6BD0B522" w14:textId="77777777" w:rsidR="004612DB" w:rsidRPr="00E42049" w:rsidRDefault="004612DB" w:rsidP="003403CA">
            <w:pPr>
              <w:pStyle w:val="ListeParagraf"/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Baseline eGFR &lt;60 mL/min/1·73 m²</w:t>
            </w:r>
          </w:p>
        </w:tc>
        <w:tc>
          <w:tcPr>
            <w:tcW w:w="1705" w:type="dxa"/>
            <w:hideMark/>
          </w:tcPr>
          <w:p w14:paraId="40C1D0A3" w14:textId="77777777" w:rsidR="004612DB" w:rsidRPr="00E42049" w:rsidRDefault="004612DB" w:rsidP="003403CA">
            <w:pPr>
              <w:pStyle w:val="ListeParagraf"/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5·0% vs 1·5%</w:t>
            </w:r>
          </w:p>
        </w:tc>
        <w:tc>
          <w:tcPr>
            <w:tcW w:w="1636" w:type="dxa"/>
            <w:hideMark/>
          </w:tcPr>
          <w:p w14:paraId="666DDDA5" w14:textId="77777777" w:rsidR="004612DB" w:rsidRPr="00E42049" w:rsidRDefault="004612DB" w:rsidP="003403CA">
            <w:pPr>
              <w:pStyle w:val="ListeParagraf"/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18·0% vs 8·0%</w:t>
            </w:r>
          </w:p>
        </w:tc>
        <w:tc>
          <w:tcPr>
            <w:tcW w:w="1524" w:type="dxa"/>
            <w:hideMark/>
          </w:tcPr>
          <w:p w14:paraId="1FDCFA61" w14:textId="77777777" w:rsidR="004612DB" w:rsidRPr="00E42049" w:rsidRDefault="004612DB" w:rsidP="003403CA">
            <w:pPr>
              <w:pStyle w:val="ListeParagraf"/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35·0% vs 15·0%</w:t>
            </w:r>
          </w:p>
        </w:tc>
        <w:tc>
          <w:tcPr>
            <w:tcW w:w="1503" w:type="dxa"/>
            <w:hideMark/>
          </w:tcPr>
          <w:p w14:paraId="7B7E233E" w14:textId="77777777" w:rsidR="004612DB" w:rsidRPr="00E42049" w:rsidRDefault="004612DB" w:rsidP="003403CA">
            <w:pPr>
              <w:pStyle w:val="ListeParagraf"/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2·08 (1·10–3·92)</w:t>
            </w:r>
          </w:p>
        </w:tc>
        <w:tc>
          <w:tcPr>
            <w:tcW w:w="1192" w:type="dxa"/>
            <w:hideMark/>
          </w:tcPr>
          <w:p w14:paraId="311AF0B8" w14:textId="77777777" w:rsidR="004612DB" w:rsidRPr="00E42049" w:rsidRDefault="004612DB" w:rsidP="003403CA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0·021*</w:t>
            </w:r>
          </w:p>
        </w:tc>
      </w:tr>
      <w:tr w:rsidR="004612DB" w:rsidRPr="00E42049" w14:paraId="2566DDAA" w14:textId="77777777" w:rsidTr="003403CA">
        <w:trPr>
          <w:trHeight w:val="432"/>
        </w:trPr>
        <w:tc>
          <w:tcPr>
            <w:tcW w:w="2783" w:type="dxa"/>
            <w:hideMark/>
          </w:tcPr>
          <w:p w14:paraId="77A554BB" w14:textId="77777777" w:rsidR="004612DB" w:rsidRPr="00E42049" w:rsidRDefault="004612DB" w:rsidP="003403CA">
            <w:pPr>
              <w:pStyle w:val="ListeParagraf"/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Nephrotic-range proteinuria (&gt;3·5 g/day)</w:t>
            </w:r>
          </w:p>
        </w:tc>
        <w:tc>
          <w:tcPr>
            <w:tcW w:w="1705" w:type="dxa"/>
            <w:hideMark/>
          </w:tcPr>
          <w:p w14:paraId="1CB07635" w14:textId="77777777" w:rsidR="004612DB" w:rsidRPr="00E42049" w:rsidRDefault="004612DB" w:rsidP="003403CA">
            <w:pPr>
              <w:pStyle w:val="ListeParagraf"/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90·0% vs 85·0%</w:t>
            </w:r>
          </w:p>
        </w:tc>
        <w:tc>
          <w:tcPr>
            <w:tcW w:w="1636" w:type="dxa"/>
            <w:hideMark/>
          </w:tcPr>
          <w:p w14:paraId="38B394DD" w14:textId="77777777" w:rsidR="004612DB" w:rsidRPr="00E42049" w:rsidRDefault="004612DB" w:rsidP="003403CA">
            <w:pPr>
              <w:pStyle w:val="ListeParagraf"/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88·0% vs 82·0%</w:t>
            </w:r>
          </w:p>
        </w:tc>
        <w:tc>
          <w:tcPr>
            <w:tcW w:w="1524" w:type="dxa"/>
            <w:hideMark/>
          </w:tcPr>
          <w:p w14:paraId="5C62B24F" w14:textId="77777777" w:rsidR="004612DB" w:rsidRPr="00E42049" w:rsidRDefault="004612DB" w:rsidP="003403CA">
            <w:pPr>
              <w:pStyle w:val="ListeParagraf"/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95·0% vs 80·0%</w:t>
            </w:r>
          </w:p>
        </w:tc>
        <w:tc>
          <w:tcPr>
            <w:tcW w:w="1503" w:type="dxa"/>
            <w:hideMark/>
          </w:tcPr>
          <w:p w14:paraId="515F5A3D" w14:textId="77777777" w:rsidR="004612DB" w:rsidRPr="00E42049" w:rsidRDefault="004612DB" w:rsidP="003403CA">
            <w:pPr>
              <w:pStyle w:val="ListeParagraf"/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1·44 (0·72–2·87)</w:t>
            </w:r>
          </w:p>
        </w:tc>
        <w:tc>
          <w:tcPr>
            <w:tcW w:w="1192" w:type="dxa"/>
            <w:hideMark/>
          </w:tcPr>
          <w:p w14:paraId="5215B252" w14:textId="77777777" w:rsidR="004612DB" w:rsidRPr="00E42049" w:rsidRDefault="004612DB" w:rsidP="003403CA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0·28</w:t>
            </w:r>
          </w:p>
        </w:tc>
      </w:tr>
      <w:tr w:rsidR="004612DB" w:rsidRPr="00E42049" w14:paraId="040F1F88" w14:textId="77777777" w:rsidTr="003403CA">
        <w:trPr>
          <w:trHeight w:val="432"/>
        </w:trPr>
        <w:tc>
          <w:tcPr>
            <w:tcW w:w="2783" w:type="dxa"/>
            <w:hideMark/>
          </w:tcPr>
          <w:p w14:paraId="76528F7B" w14:textId="77777777" w:rsidR="004612DB" w:rsidRPr="00E42049" w:rsidRDefault="004612DB" w:rsidP="003403CA">
            <w:pPr>
              <w:pStyle w:val="ListeParagraf"/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Chronic histological lesion (fibrosis/atrophy ≥ grade 1)</w:t>
            </w:r>
          </w:p>
        </w:tc>
        <w:tc>
          <w:tcPr>
            <w:tcW w:w="1705" w:type="dxa"/>
            <w:hideMark/>
          </w:tcPr>
          <w:p w14:paraId="585761E2" w14:textId="77777777" w:rsidR="004612DB" w:rsidRPr="00E42049" w:rsidRDefault="004612DB" w:rsidP="003403CA">
            <w:pPr>
              <w:pStyle w:val="ListeParagraf"/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10·0% vs 5·0%</w:t>
            </w:r>
          </w:p>
        </w:tc>
        <w:tc>
          <w:tcPr>
            <w:tcW w:w="1636" w:type="dxa"/>
            <w:hideMark/>
          </w:tcPr>
          <w:p w14:paraId="2B531337" w14:textId="77777777" w:rsidR="004612DB" w:rsidRPr="00E42049" w:rsidRDefault="004612DB" w:rsidP="003403CA">
            <w:pPr>
              <w:pStyle w:val="ListeParagraf"/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35·0% vs 20·0%</w:t>
            </w:r>
          </w:p>
        </w:tc>
        <w:tc>
          <w:tcPr>
            <w:tcW w:w="1524" w:type="dxa"/>
            <w:hideMark/>
          </w:tcPr>
          <w:p w14:paraId="2D14DEFA" w14:textId="77777777" w:rsidR="004612DB" w:rsidRPr="00E42049" w:rsidRDefault="004612DB" w:rsidP="003403CA">
            <w:pPr>
              <w:pStyle w:val="ListeParagraf"/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45·0% vs 25·0%</w:t>
            </w:r>
          </w:p>
        </w:tc>
        <w:tc>
          <w:tcPr>
            <w:tcW w:w="1503" w:type="dxa"/>
            <w:hideMark/>
          </w:tcPr>
          <w:p w14:paraId="14BAE6ED" w14:textId="77777777" w:rsidR="004612DB" w:rsidRPr="00E42049" w:rsidRDefault="004612DB" w:rsidP="003403CA">
            <w:pPr>
              <w:pStyle w:val="ListeParagraf"/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2·56 (1·34–4·87)</w:t>
            </w:r>
          </w:p>
        </w:tc>
        <w:tc>
          <w:tcPr>
            <w:tcW w:w="1192" w:type="dxa"/>
            <w:hideMark/>
          </w:tcPr>
          <w:p w14:paraId="6139DE39" w14:textId="77777777" w:rsidR="004612DB" w:rsidRPr="00E42049" w:rsidRDefault="004612DB" w:rsidP="003403CA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0·004*</w:t>
            </w:r>
          </w:p>
        </w:tc>
      </w:tr>
      <w:tr w:rsidR="004612DB" w:rsidRPr="00E42049" w14:paraId="1E92615D" w14:textId="77777777" w:rsidTr="003403CA">
        <w:trPr>
          <w:trHeight w:val="432"/>
        </w:trPr>
        <w:tc>
          <w:tcPr>
            <w:tcW w:w="2783" w:type="dxa"/>
            <w:hideMark/>
          </w:tcPr>
          <w:p w14:paraId="53394A52" w14:textId="77777777" w:rsidR="004612DB" w:rsidRPr="00E42049" w:rsidRDefault="004612DB" w:rsidP="003403CA">
            <w:pPr>
              <w:pStyle w:val="ListeParagraf"/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Immunosuppressive adverse event</w:t>
            </w:r>
          </w:p>
        </w:tc>
        <w:tc>
          <w:tcPr>
            <w:tcW w:w="1705" w:type="dxa"/>
            <w:hideMark/>
          </w:tcPr>
          <w:p w14:paraId="57E5022E" w14:textId="77777777" w:rsidR="004612DB" w:rsidRPr="00E42049" w:rsidRDefault="004612DB" w:rsidP="003403CA">
            <w:pPr>
              <w:pStyle w:val="ListeParagraf"/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30·0% vs 15·0%</w:t>
            </w:r>
          </w:p>
        </w:tc>
        <w:tc>
          <w:tcPr>
            <w:tcW w:w="1636" w:type="dxa"/>
            <w:hideMark/>
          </w:tcPr>
          <w:p w14:paraId="0791891D" w14:textId="77777777" w:rsidR="004612DB" w:rsidRPr="00E42049" w:rsidRDefault="004612DB" w:rsidP="003403CA">
            <w:pPr>
              <w:pStyle w:val="ListeParagraf"/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48·0% vs 22·0%</w:t>
            </w:r>
          </w:p>
        </w:tc>
        <w:tc>
          <w:tcPr>
            <w:tcW w:w="1524" w:type="dxa"/>
            <w:hideMark/>
          </w:tcPr>
          <w:p w14:paraId="7545CE50" w14:textId="77777777" w:rsidR="004612DB" w:rsidRPr="00E42049" w:rsidRDefault="004612DB" w:rsidP="003403CA">
            <w:pPr>
              <w:pStyle w:val="ListeParagraf"/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35·0% vs 15·0%</w:t>
            </w:r>
          </w:p>
        </w:tc>
        <w:tc>
          <w:tcPr>
            <w:tcW w:w="1503" w:type="dxa"/>
            <w:hideMark/>
          </w:tcPr>
          <w:p w14:paraId="1208B66C" w14:textId="77777777" w:rsidR="004612DB" w:rsidRPr="00E42049" w:rsidRDefault="004612DB" w:rsidP="003403CA">
            <w:pPr>
              <w:pStyle w:val="ListeParagraf"/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2·12 (1·17–3·82)</w:t>
            </w:r>
          </w:p>
        </w:tc>
        <w:tc>
          <w:tcPr>
            <w:tcW w:w="1192" w:type="dxa"/>
            <w:hideMark/>
          </w:tcPr>
          <w:p w14:paraId="734AFB2A" w14:textId="77777777" w:rsidR="004612DB" w:rsidRPr="00E42049" w:rsidRDefault="004612DB" w:rsidP="003403CA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</w:pPr>
            <w:r w:rsidRPr="00E42049">
              <w:rPr>
                <w:rFonts w:ascii="Calibri" w:eastAsia="Times New Roman" w:hAnsi="Calibri" w:cs="Calibri"/>
                <w:color w:val="000000" w:themeColor="text1"/>
                <w:lang w:val="en-US" w:eastAsia="tr-TR"/>
              </w:rPr>
              <w:t>0·012*</w:t>
            </w:r>
          </w:p>
        </w:tc>
      </w:tr>
    </w:tbl>
    <w:p w14:paraId="70ADDDDC" w14:textId="77777777" w:rsidR="004612DB" w:rsidRPr="00E42049" w:rsidRDefault="004612DB" w:rsidP="004612DB">
      <w:pPr>
        <w:pStyle w:val="ListeParagraf"/>
        <w:spacing w:line="480" w:lineRule="auto"/>
        <w:jc w:val="both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val="en-US" w:eastAsia="tr-TR"/>
          <w14:ligatures w14:val="none"/>
        </w:rPr>
      </w:pPr>
      <w:r w:rsidRPr="00E42049">
        <w:rPr>
          <w:rFonts w:ascii="Calibri" w:eastAsia="Times New Roman" w:hAnsi="Calibri" w:cs="Calibri"/>
          <w:i/>
          <w:iCs/>
          <w:color w:val="000000" w:themeColor="text1"/>
          <w:kern w:val="0"/>
          <w:sz w:val="22"/>
          <w:szCs w:val="22"/>
          <w:lang w:val="en-US" w:eastAsia="tr-TR"/>
          <w14:ligatures w14:val="none"/>
        </w:rPr>
        <w:t>Relapse defined as recurrence of proteinuria after complete or partial remission. OR = odds ratio. CI = confidence interval. Significant predictors highlighted.</w:t>
      </w:r>
    </w:p>
    <w:p w14:paraId="59254026" w14:textId="77777777" w:rsidR="004612DB" w:rsidRPr="00E42049" w:rsidRDefault="004612DB" w:rsidP="004612DB">
      <w:pPr>
        <w:spacing w:line="480" w:lineRule="auto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051ADBFB" w14:textId="77777777" w:rsidR="004612DB" w:rsidRPr="00E42049" w:rsidRDefault="004612DB" w:rsidP="004612DB">
      <w:pPr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4D9FAFA3" w14:textId="77777777" w:rsidR="004C7025" w:rsidRDefault="004C7025"/>
    <w:sectPr w:rsidR="004C7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2DB"/>
    <w:rsid w:val="00216A01"/>
    <w:rsid w:val="004612DB"/>
    <w:rsid w:val="004C7025"/>
    <w:rsid w:val="00540095"/>
    <w:rsid w:val="005928C3"/>
    <w:rsid w:val="006A2EFB"/>
    <w:rsid w:val="008705B0"/>
    <w:rsid w:val="009E4338"/>
    <w:rsid w:val="009F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09EC2"/>
  <w15:chartTrackingRefBased/>
  <w15:docId w15:val="{34CA3735-327C-B844-A61F-3BDE8B2E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2DB"/>
    <w:pPr>
      <w:spacing w:after="160" w:line="278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4612DB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612DB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612DB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612DB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612DB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612DB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612DB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612DB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612DB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612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612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612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612D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612D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612D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612D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612D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612D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612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61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612DB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61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612DB"/>
    <w:pPr>
      <w:spacing w:before="160" w:line="240" w:lineRule="auto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612D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612DB"/>
    <w:pPr>
      <w:spacing w:after="0" w:line="240" w:lineRule="auto"/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612D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612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612D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612DB"/>
    <w:rPr>
      <w:b/>
      <w:bCs/>
      <w:smallCaps/>
      <w:color w:val="0F4761" w:themeColor="accent1" w:themeShade="BF"/>
      <w:spacing w:val="5"/>
    </w:rPr>
  </w:style>
  <w:style w:type="table" w:styleId="TabloKlavuzuAk">
    <w:name w:val="Grid Table Light"/>
    <w:basedOn w:val="NormalTablo"/>
    <w:uiPriority w:val="40"/>
    <w:rsid w:val="004612DB"/>
    <w:rPr>
      <w:kern w:val="0"/>
      <w:sz w:val="22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 Karacan</dc:creator>
  <cp:keywords/>
  <dc:description/>
  <cp:lastModifiedBy>Semih Karacan</cp:lastModifiedBy>
  <cp:revision>2</cp:revision>
  <dcterms:created xsi:type="dcterms:W3CDTF">2025-11-09T19:08:00Z</dcterms:created>
  <dcterms:modified xsi:type="dcterms:W3CDTF">2025-11-09T19:08:00Z</dcterms:modified>
</cp:coreProperties>
</file>