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788D" w:rsidRPr="001C560E" w:rsidRDefault="001C560E">
      <w:pPr>
        <w:rPr>
          <w:b/>
          <w:color w:val="FF0000"/>
          <w:sz w:val="24"/>
          <w:szCs w:val="24"/>
        </w:rPr>
      </w:pPr>
      <w:r w:rsidRPr="001C560E">
        <w:rPr>
          <w:b/>
          <w:color w:val="FF0000"/>
          <w:sz w:val="24"/>
          <w:szCs w:val="24"/>
        </w:rPr>
        <w:t>Supplementa</w:t>
      </w:r>
      <w:r w:rsidR="00385B90">
        <w:rPr>
          <w:rFonts w:hint="eastAsia"/>
          <w:b/>
          <w:color w:val="FF0000"/>
          <w:sz w:val="24"/>
          <w:szCs w:val="24"/>
        </w:rPr>
        <w:t>ry</w:t>
      </w:r>
      <w:r w:rsidRPr="001C560E">
        <w:rPr>
          <w:b/>
          <w:color w:val="FF0000"/>
          <w:sz w:val="24"/>
          <w:szCs w:val="24"/>
        </w:rPr>
        <w:t xml:space="preserve"> </w:t>
      </w:r>
      <w:r w:rsidR="00385B90">
        <w:rPr>
          <w:b/>
          <w:color w:val="FF0000"/>
          <w:sz w:val="24"/>
          <w:szCs w:val="24"/>
        </w:rPr>
        <w:t>Data</w:t>
      </w:r>
      <w:r w:rsidRPr="001C560E">
        <w:rPr>
          <w:b/>
          <w:color w:val="FF0000"/>
          <w:sz w:val="24"/>
          <w:szCs w:val="24"/>
        </w:rPr>
        <w:t xml:space="preserve"> 2</w:t>
      </w:r>
      <w:r w:rsidR="00385B90">
        <w:rPr>
          <w:b/>
          <w:color w:val="FF0000"/>
          <w:sz w:val="24"/>
          <w:szCs w:val="24"/>
        </w:rPr>
        <w:t>:</w:t>
      </w:r>
      <w:bookmarkStart w:id="0" w:name="_GoBack"/>
      <w:bookmarkEnd w:id="0"/>
    </w:p>
    <w:p w:rsidR="001C560E" w:rsidRPr="001C560E" w:rsidRDefault="001C560E">
      <w:pPr>
        <w:rPr>
          <w:b/>
          <w:color w:val="FF0000"/>
          <w:sz w:val="24"/>
          <w:szCs w:val="24"/>
        </w:rPr>
      </w:pPr>
    </w:p>
    <w:p w:rsidR="001C560E" w:rsidRPr="001C560E" w:rsidRDefault="001C560E">
      <w:pPr>
        <w:rPr>
          <w:b/>
          <w:sz w:val="24"/>
          <w:szCs w:val="24"/>
        </w:rPr>
      </w:pPr>
      <w:r w:rsidRPr="001C560E">
        <w:rPr>
          <w:b/>
          <w:sz w:val="24"/>
          <w:szCs w:val="24"/>
        </w:rPr>
        <w:t>The definition of MRI-based imaging features</w:t>
      </w:r>
    </w:p>
    <w:p w:rsidR="001C560E" w:rsidRPr="001C560E" w:rsidRDefault="001C560E">
      <w:pPr>
        <w:rPr>
          <w:b/>
          <w:sz w:val="24"/>
          <w:szCs w:val="24"/>
        </w:rPr>
      </w:pPr>
    </w:p>
    <w:p w:rsidR="001C560E" w:rsidRPr="001C560E" w:rsidRDefault="001C560E" w:rsidP="001C560E">
      <w:pPr>
        <w:spacing w:line="480" w:lineRule="auto"/>
        <w:rPr>
          <w:sz w:val="24"/>
          <w:szCs w:val="24"/>
        </w:rPr>
      </w:pPr>
      <w:r w:rsidRPr="001C560E">
        <w:rPr>
          <w:sz w:val="24"/>
          <w:szCs w:val="24"/>
        </w:rPr>
        <w:t xml:space="preserve">In each patient, the length, width and height of the prostate gland were first measured and used for volume assessment with the prolate ellipsoid formula (length × width × height × 0.52). Then the radiologists independently identified the most suspicious cancer lesion in the peripheral zone (PZ) and/or the transition zone (TZ). For the patient with multiple lesions, tumor with higher PI-RADS v2 score or larger diameter if the score was the same was defined as the leading lesion. </w:t>
      </w:r>
      <w:r w:rsidR="001B5F75">
        <w:rPr>
          <w:sz w:val="24"/>
          <w:szCs w:val="24"/>
        </w:rPr>
        <w:t>I</w:t>
      </w:r>
      <w:r w:rsidR="001B5F75" w:rsidRPr="001B5F75">
        <w:rPr>
          <w:sz w:val="24"/>
          <w:szCs w:val="24"/>
        </w:rPr>
        <w:t>f the lesion was present in both zones, it was grouped into the PZ</w:t>
      </w:r>
      <w:r w:rsidR="001B5F75">
        <w:rPr>
          <w:sz w:val="24"/>
          <w:szCs w:val="24"/>
        </w:rPr>
        <w:t>.</w:t>
      </w:r>
      <w:r w:rsidR="001B5F75" w:rsidRPr="001B5F75">
        <w:rPr>
          <w:sz w:val="24"/>
          <w:szCs w:val="24"/>
        </w:rPr>
        <w:t xml:space="preserve"> </w:t>
      </w:r>
      <w:r w:rsidRPr="001C560E">
        <w:rPr>
          <w:sz w:val="24"/>
          <w:szCs w:val="24"/>
        </w:rPr>
        <w:t>The lesion maximum cross</w:t>
      </w:r>
      <w:r>
        <w:rPr>
          <w:sz w:val="24"/>
          <w:szCs w:val="24"/>
        </w:rPr>
        <w:t>-sectional diameter</w:t>
      </w:r>
      <w:r w:rsidRPr="001C560E">
        <w:rPr>
          <w:sz w:val="24"/>
          <w:szCs w:val="24"/>
        </w:rPr>
        <w:t xml:space="preserve"> and volumetric mean ADCs were determined by manually outlining the volumes of interest (VOIs) on fusion T2-weighted and ADC images slice-by-slice. The Prostate Imaging and Reporting and Data System (PI-RADS) v2 score were given according to the synopsis of the PI-RADS v2 guidelines for prosta</w:t>
      </w:r>
      <w:r>
        <w:rPr>
          <w:sz w:val="24"/>
          <w:szCs w:val="24"/>
        </w:rPr>
        <w:t>tic mp-MRI and recommendation</w:t>
      </w:r>
      <w:r w:rsidRPr="001C560E">
        <w:rPr>
          <w:sz w:val="24"/>
          <w:szCs w:val="24"/>
        </w:rPr>
        <w:t xml:space="preserve">. The presence of ECE was defined as an infiltration of the peri-prostatic fat, irregular bulging associated with disruption of the capsule, focal thickening, capsular retraction, and peri-capsular spicula. The features of SVI include focal or diffuse low T2 signal intensity and/or abnormal contrast enhancement within and/or along the seminal vesicle, restricted diffusion, obliteration of the angle between the base of the prostate and the seminal vesicle, and demonstration of direct tumor extension from the base of the prostate into and around the seminal vesicle. Regarding MRI-reported LNI, the nodes over 8 mm in short axis dimension and high signal intensity on DWI are regarded as suspicious. Nodal groups including common femoral, obturator, external iliac, </w:t>
      </w:r>
      <w:r w:rsidRPr="001C560E">
        <w:rPr>
          <w:sz w:val="24"/>
          <w:szCs w:val="24"/>
        </w:rPr>
        <w:lastRenderedPageBreak/>
        <w:t>internal iliac, common iliac, pararectal, presacral, and paracaval, and paraaortic to the level of the aortic bifurcation were evaluated. Finally, overall consideration of the manifestation on above sequences, a 4-point MRI T-stage (T1c, T2</w:t>
      </w:r>
      <w:r>
        <w:rPr>
          <w:sz w:val="24"/>
          <w:szCs w:val="24"/>
        </w:rPr>
        <w:t>a, T2b, and T2c) was generated.</w:t>
      </w:r>
    </w:p>
    <w:sectPr w:rsidR="001C560E" w:rsidRPr="001C560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B4363" w:rsidRDefault="000B4363" w:rsidP="001C560E">
      <w:r>
        <w:separator/>
      </w:r>
    </w:p>
  </w:endnote>
  <w:endnote w:type="continuationSeparator" w:id="0">
    <w:p w:rsidR="000B4363" w:rsidRDefault="000B4363" w:rsidP="001C56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B4363" w:rsidRDefault="000B4363" w:rsidP="001C560E">
      <w:r>
        <w:separator/>
      </w:r>
    </w:p>
  </w:footnote>
  <w:footnote w:type="continuationSeparator" w:id="0">
    <w:p w:rsidR="000B4363" w:rsidRDefault="000B4363" w:rsidP="001C560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AF0"/>
    <w:rsid w:val="000B4363"/>
    <w:rsid w:val="001B5F75"/>
    <w:rsid w:val="001C560E"/>
    <w:rsid w:val="00385B90"/>
    <w:rsid w:val="003E788D"/>
    <w:rsid w:val="00AF17AA"/>
    <w:rsid w:val="00D22AF0"/>
    <w:rsid w:val="00F651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4144A5E-DE32-4881-85FE-CCAD08350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C56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C560E"/>
    <w:rPr>
      <w:sz w:val="18"/>
      <w:szCs w:val="18"/>
    </w:rPr>
  </w:style>
  <w:style w:type="paragraph" w:styleId="a4">
    <w:name w:val="footer"/>
    <w:basedOn w:val="a"/>
    <w:link w:val="Char0"/>
    <w:uiPriority w:val="99"/>
    <w:unhideWhenUsed/>
    <w:rsid w:val="001C560E"/>
    <w:pPr>
      <w:tabs>
        <w:tab w:val="center" w:pos="4153"/>
        <w:tab w:val="right" w:pos="8306"/>
      </w:tabs>
      <w:snapToGrid w:val="0"/>
      <w:jc w:val="left"/>
    </w:pPr>
    <w:rPr>
      <w:sz w:val="18"/>
      <w:szCs w:val="18"/>
    </w:rPr>
  </w:style>
  <w:style w:type="character" w:customStyle="1" w:styleId="Char0">
    <w:name w:val="页脚 Char"/>
    <w:basedOn w:val="a0"/>
    <w:link w:val="a4"/>
    <w:uiPriority w:val="99"/>
    <w:rsid w:val="001C560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302</Words>
  <Characters>1728</Characters>
  <Application>Microsoft Office Word</Application>
  <DocSecurity>0</DocSecurity>
  <Lines>14</Lines>
  <Paragraphs>4</Paragraphs>
  <ScaleCrop>false</ScaleCrop>
  <Company/>
  <LinksUpToDate>false</LinksUpToDate>
  <CharactersWithSpaces>2026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dc:creator>
  <cp:keywords/>
  <dc:description/>
  <cp:lastModifiedBy>zhang</cp:lastModifiedBy>
  <cp:revision>4</cp:revision>
  <dcterms:created xsi:type="dcterms:W3CDTF">2020-02-18T03:48:00Z</dcterms:created>
  <dcterms:modified xsi:type="dcterms:W3CDTF">2020-04-09T08:15:00Z</dcterms:modified>
</cp:coreProperties>
</file>