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76556A" w14:textId="07CF5BD3" w:rsidR="000051CA" w:rsidRPr="004557D4" w:rsidRDefault="000051CA" w:rsidP="000051CA">
      <w:pPr>
        <w:spacing w:line="480" w:lineRule="auto"/>
        <w:rPr>
          <w:rFonts w:ascii="Times New Roman" w:hAnsi="Times New Roman" w:cs="Times New Roman"/>
          <w:b/>
          <w:sz w:val="20"/>
          <w:szCs w:val="20"/>
        </w:rPr>
      </w:pPr>
      <w:r>
        <w:rPr>
          <w:noProof/>
        </w:rPr>
        <w:drawing>
          <wp:inline distT="0" distB="0" distL="0" distR="0" wp14:anchorId="2CE5CF39" wp14:editId="014EF9AF">
            <wp:extent cx="5274310" cy="7620635"/>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7620635"/>
                    </a:xfrm>
                    <a:prstGeom prst="rect">
                      <a:avLst/>
                    </a:prstGeom>
                    <a:noFill/>
                    <a:ln>
                      <a:noFill/>
                    </a:ln>
                  </pic:spPr>
                </pic:pic>
              </a:graphicData>
            </a:graphic>
          </wp:inline>
        </w:drawing>
      </w:r>
      <w:r>
        <w:rPr>
          <w:noProof/>
        </w:rPr>
        <w:lastRenderedPageBreak/>
        <w:drawing>
          <wp:inline distT="0" distB="0" distL="0" distR="0" wp14:anchorId="3F2C1C8B" wp14:editId="159BF58E">
            <wp:extent cx="5274310" cy="762063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7620635"/>
                    </a:xfrm>
                    <a:prstGeom prst="rect">
                      <a:avLst/>
                    </a:prstGeom>
                    <a:noFill/>
                    <a:ln>
                      <a:noFill/>
                    </a:ln>
                  </pic:spPr>
                </pic:pic>
              </a:graphicData>
            </a:graphic>
          </wp:inline>
        </w:drawing>
      </w:r>
      <w:r>
        <w:rPr>
          <w:noProof/>
        </w:rPr>
        <w:lastRenderedPageBreak/>
        <w:drawing>
          <wp:inline distT="0" distB="0" distL="0" distR="0" wp14:anchorId="726CF2ED" wp14:editId="2ABA2B52">
            <wp:extent cx="5274310" cy="7620635"/>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7620635"/>
                    </a:xfrm>
                    <a:prstGeom prst="rect">
                      <a:avLst/>
                    </a:prstGeom>
                    <a:noFill/>
                    <a:ln>
                      <a:noFill/>
                    </a:ln>
                  </pic:spPr>
                </pic:pic>
              </a:graphicData>
            </a:graphic>
          </wp:inline>
        </w:drawing>
      </w:r>
      <w:r>
        <w:rPr>
          <w:noProof/>
        </w:rPr>
        <w:lastRenderedPageBreak/>
        <w:drawing>
          <wp:inline distT="0" distB="0" distL="0" distR="0" wp14:anchorId="46A78262" wp14:editId="1CB16147">
            <wp:extent cx="5274310" cy="7620635"/>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7620635"/>
                    </a:xfrm>
                    <a:prstGeom prst="rect">
                      <a:avLst/>
                    </a:prstGeom>
                    <a:noFill/>
                    <a:ln>
                      <a:noFill/>
                    </a:ln>
                  </pic:spPr>
                </pic:pic>
              </a:graphicData>
            </a:graphic>
          </wp:inline>
        </w:drawing>
      </w:r>
      <w:r>
        <w:rPr>
          <w:noProof/>
        </w:rPr>
        <w:lastRenderedPageBreak/>
        <w:drawing>
          <wp:inline distT="0" distB="0" distL="0" distR="0" wp14:anchorId="3846C976" wp14:editId="113440C7">
            <wp:extent cx="5274310" cy="7614920"/>
            <wp:effectExtent l="0" t="0" r="2540" b="508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7614920"/>
                    </a:xfrm>
                    <a:prstGeom prst="rect">
                      <a:avLst/>
                    </a:prstGeom>
                    <a:noFill/>
                    <a:ln>
                      <a:noFill/>
                    </a:ln>
                  </pic:spPr>
                </pic:pic>
              </a:graphicData>
            </a:graphic>
          </wp:inline>
        </w:drawing>
      </w:r>
      <w:r>
        <w:rPr>
          <w:noProof/>
        </w:rPr>
        <w:lastRenderedPageBreak/>
        <w:drawing>
          <wp:inline distT="0" distB="0" distL="0" distR="0" wp14:anchorId="75FD7D0C" wp14:editId="0ED00307">
            <wp:extent cx="5274310" cy="7620635"/>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7620635"/>
                    </a:xfrm>
                    <a:prstGeom prst="rect">
                      <a:avLst/>
                    </a:prstGeom>
                    <a:noFill/>
                    <a:ln>
                      <a:noFill/>
                    </a:ln>
                  </pic:spPr>
                </pic:pic>
              </a:graphicData>
            </a:graphic>
          </wp:inline>
        </w:drawing>
      </w:r>
      <w:r>
        <w:rPr>
          <w:noProof/>
        </w:rPr>
        <w:lastRenderedPageBreak/>
        <w:drawing>
          <wp:inline distT="0" distB="0" distL="0" distR="0" wp14:anchorId="487588F9" wp14:editId="60BFF583">
            <wp:extent cx="5274310" cy="7620635"/>
            <wp:effectExtent l="0" t="0" r="254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7620635"/>
                    </a:xfrm>
                    <a:prstGeom prst="rect">
                      <a:avLst/>
                    </a:prstGeom>
                    <a:noFill/>
                    <a:ln>
                      <a:noFill/>
                    </a:ln>
                  </pic:spPr>
                </pic:pic>
              </a:graphicData>
            </a:graphic>
          </wp:inline>
        </w:drawing>
      </w:r>
      <w:r w:rsidRPr="000051CA">
        <w:rPr>
          <w:rFonts w:ascii="Times New Roman" w:hAnsi="Times New Roman" w:cs="Times New Roman"/>
          <w:b/>
          <w:bCs/>
          <w:sz w:val="20"/>
          <w:szCs w:val="20"/>
        </w:rPr>
        <w:t xml:space="preserve"> </w:t>
      </w:r>
      <w:r w:rsidRPr="004557D4">
        <w:rPr>
          <w:rFonts w:ascii="Times New Roman" w:hAnsi="Times New Roman" w:cs="Times New Roman"/>
          <w:b/>
          <w:bCs/>
          <w:sz w:val="20"/>
          <w:szCs w:val="20"/>
        </w:rPr>
        <w:t>Fig. S1</w:t>
      </w:r>
      <w:r w:rsidRPr="004557D4">
        <w:rPr>
          <w:rFonts w:ascii="Times New Roman" w:hAnsi="Times New Roman" w:cs="Times New Roman"/>
          <w:b/>
          <w:sz w:val="20"/>
          <w:szCs w:val="20"/>
        </w:rPr>
        <w:t xml:space="preserve"> C1orf61 drives migration in human liver cells.</w:t>
      </w:r>
    </w:p>
    <w:p w14:paraId="79B7AEF4" w14:textId="3848930A"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(a) The migration rates of hepatocellular carcinoma cell lines were compared using a wounding-healing assay, closure of the wound </w:t>
      </w:r>
      <w:r w:rsidR="00602F3A" w:rsidRPr="004557D4">
        <w:rPr>
          <w:rFonts w:ascii="Times New Roman" w:hAnsi="Times New Roman" w:cs="Times New Roman"/>
          <w:sz w:val="20"/>
          <w:szCs w:val="20"/>
        </w:rPr>
        <w:t>was</w:t>
      </w:r>
      <w:r w:rsidRPr="004557D4">
        <w:rPr>
          <w:rFonts w:ascii="Times New Roman" w:hAnsi="Times New Roman" w:cs="Times New Roman"/>
          <w:sz w:val="20"/>
          <w:szCs w:val="20"/>
        </w:rPr>
        <w:t xml:space="preserve"> monitored over 24 h after the wound were made. Represent</w:t>
      </w:r>
      <w:r w:rsidR="00A679A7">
        <w:rPr>
          <w:rFonts w:ascii="Times New Roman" w:hAnsi="Times New Roman" w:cs="Times New Roman"/>
          <w:sz w:val="20"/>
          <w:szCs w:val="20"/>
        </w:rPr>
        <w:t>at</w:t>
      </w:r>
      <w:r w:rsidRPr="004557D4">
        <w:rPr>
          <w:rFonts w:ascii="Times New Roman" w:hAnsi="Times New Roman" w:cs="Times New Roman"/>
          <w:sz w:val="20"/>
          <w:szCs w:val="20"/>
        </w:rPr>
        <w:t xml:space="preserve">ive images </w:t>
      </w:r>
      <w:r w:rsidRPr="004557D4">
        <w:rPr>
          <w:rFonts w:ascii="Times New Roman" w:hAnsi="Times New Roman" w:cs="Times New Roman"/>
          <w:sz w:val="20"/>
          <w:szCs w:val="20"/>
        </w:rPr>
        <w:lastRenderedPageBreak/>
        <w:t>were shown. The healing area of the cells were measured by ImageJ software, data represent means from at least three independent experiments</w:t>
      </w:r>
      <w:r w:rsidR="00602F3A">
        <w:rPr>
          <w:rFonts w:ascii="Times New Roman" w:hAnsi="Times New Roman" w:cs="Times New Roman"/>
          <w:sz w:val="20"/>
          <w:szCs w:val="20"/>
        </w:rPr>
        <w:t xml:space="preserve"> </w:t>
      </w:r>
      <w:r w:rsidRPr="004557D4">
        <w:rPr>
          <w:rFonts w:ascii="Times New Roman" w:hAnsi="Times New Roman" w:cs="Times New Roman"/>
          <w:sz w:val="20"/>
          <w:szCs w:val="20"/>
        </w:rPr>
        <w:t>±SD;</w:t>
      </w:r>
    </w:p>
    <w:p w14:paraId="16BFB2C4" w14:textId="4F41A5DD"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(b) Cellular migration rates were monitored by </w:t>
      </w:r>
      <w:proofErr w:type="spellStart"/>
      <w:r w:rsidRPr="004557D4">
        <w:rPr>
          <w:rFonts w:ascii="Times New Roman" w:hAnsi="Times New Roman" w:cs="Times New Roman"/>
          <w:sz w:val="20"/>
          <w:szCs w:val="20"/>
        </w:rPr>
        <w:t>transwell</w:t>
      </w:r>
      <w:proofErr w:type="spellEnd"/>
      <w:r w:rsidRPr="004557D4">
        <w:rPr>
          <w:rFonts w:ascii="Times New Roman" w:hAnsi="Times New Roman" w:cs="Times New Roman"/>
          <w:sz w:val="20"/>
          <w:szCs w:val="20"/>
        </w:rPr>
        <w:t xml:space="preserve"> chambers. Cells were cultured for 24 h and stained with 1% crystal violet, then </w:t>
      </w:r>
      <w:r w:rsidR="00602F3A" w:rsidRPr="004557D4">
        <w:rPr>
          <w:rFonts w:ascii="Times New Roman" w:hAnsi="Times New Roman" w:cs="Times New Roman"/>
          <w:sz w:val="20"/>
          <w:szCs w:val="20"/>
        </w:rPr>
        <w:t>photographed (</w:t>
      </w:r>
      <w:r w:rsidRPr="004557D4">
        <w:rPr>
          <w:rFonts w:ascii="Times New Roman" w:hAnsi="Times New Roman" w:cs="Times New Roman"/>
          <w:sz w:val="20"/>
          <w:szCs w:val="20"/>
        </w:rPr>
        <w:t>view ×</w:t>
      </w:r>
      <w:r w:rsidRPr="004557D4">
        <w:rPr>
          <w:rFonts w:ascii="Times New Roman" w:hAnsi="Times New Roman" w:cs="Times New Roman"/>
          <w:kern w:val="0"/>
          <w:sz w:val="20"/>
          <w:szCs w:val="20"/>
        </w:rPr>
        <w:t>200)</w:t>
      </w:r>
      <w:r w:rsidRPr="004557D4">
        <w:rPr>
          <w:rFonts w:ascii="Times New Roman" w:hAnsi="Times New Roman" w:cs="Times New Roman"/>
          <w:sz w:val="20"/>
          <w:szCs w:val="20"/>
        </w:rPr>
        <w:t>;</w:t>
      </w:r>
    </w:p>
    <w:p w14:paraId="5339C0E0" w14:textId="77777777" w:rsidR="000051CA" w:rsidRPr="004557D4" w:rsidRDefault="000051CA" w:rsidP="000051CA">
      <w:pPr>
        <w:spacing w:line="480" w:lineRule="auto"/>
        <w:rPr>
          <w:rFonts w:ascii="Times New Roman" w:eastAsia="宋体" w:hAnsi="Times New Roman" w:cs="Times New Roman"/>
          <w:sz w:val="20"/>
          <w:szCs w:val="20"/>
        </w:rPr>
      </w:pPr>
      <w:r w:rsidRPr="004557D4">
        <w:rPr>
          <w:rFonts w:ascii="Times New Roman" w:hAnsi="Times New Roman" w:cs="Times New Roman"/>
          <w:sz w:val="20"/>
          <w:szCs w:val="20"/>
        </w:rPr>
        <w:t xml:space="preserve">(c) </w:t>
      </w:r>
      <w:r w:rsidRPr="004557D4">
        <w:rPr>
          <w:rFonts w:ascii="Times New Roman" w:eastAsia="宋体" w:hAnsi="Times New Roman" w:cs="Times New Roman"/>
          <w:sz w:val="20"/>
          <w:szCs w:val="20"/>
        </w:rPr>
        <w:t>Over-expression of C1orf61 in BEL7402 and L02 cells, and shC1orf61 in HCCLM9 and Huh7 cells were achieved by lentiviral transduction. Western blot analysis was used to detect the expression of C1orf61. β-actin served as a loading control</w:t>
      </w:r>
      <w:r w:rsidRPr="004557D4">
        <w:rPr>
          <w:rFonts w:ascii="Times New Roman" w:eastAsia="宋体" w:hAnsi="Times New Roman" w:cs="Times New Roman"/>
          <w:sz w:val="20"/>
          <w:szCs w:val="20"/>
        </w:rPr>
        <w:t>；</w:t>
      </w:r>
    </w:p>
    <w:p w14:paraId="69A929A3" w14:textId="1A913B0F"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(d) Cellular migration rates between C1orf61-overexpression and C1orf61-knockdown cells using a wound-healing assay and </w:t>
      </w:r>
      <w:proofErr w:type="spellStart"/>
      <w:r w:rsidRPr="004557D4">
        <w:rPr>
          <w:rFonts w:ascii="Times New Roman" w:hAnsi="Times New Roman" w:cs="Times New Roman"/>
          <w:sz w:val="20"/>
          <w:szCs w:val="20"/>
        </w:rPr>
        <w:t>transwell</w:t>
      </w:r>
      <w:proofErr w:type="spellEnd"/>
      <w:r w:rsidRPr="004557D4">
        <w:rPr>
          <w:rFonts w:ascii="Times New Roman" w:hAnsi="Times New Roman" w:cs="Times New Roman"/>
          <w:sz w:val="20"/>
          <w:szCs w:val="20"/>
        </w:rPr>
        <w:t xml:space="preserve"> assay, closure of the wound </w:t>
      </w:r>
      <w:r w:rsidR="00602F3A" w:rsidRPr="004557D4">
        <w:rPr>
          <w:rFonts w:ascii="Times New Roman" w:hAnsi="Times New Roman" w:cs="Times New Roman"/>
          <w:sz w:val="20"/>
          <w:szCs w:val="20"/>
        </w:rPr>
        <w:t>was</w:t>
      </w:r>
      <w:r w:rsidRPr="004557D4">
        <w:rPr>
          <w:rFonts w:ascii="Times New Roman" w:hAnsi="Times New Roman" w:cs="Times New Roman"/>
          <w:sz w:val="20"/>
          <w:szCs w:val="20"/>
        </w:rPr>
        <w:t xml:space="preserve"> monitored and photographed over 36 h and 24 h after the wound were made, migrated cells were fixed and stained with 1% crystal violet and photographed;</w:t>
      </w:r>
    </w:p>
    <w:p w14:paraId="19AF515F"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(e) Two C1orf61-/- cell lines were established from HCCLM9-WT cells. The deleted sequences in the C1orf61-/- </w:t>
      </w:r>
      <w:r w:rsidRPr="004557D4">
        <w:rPr>
          <w:rFonts w:ascii="Times New Roman" w:eastAsia="宋体" w:hAnsi="Times New Roman" w:cs="Times New Roman"/>
          <w:sz w:val="20"/>
          <w:szCs w:val="20"/>
        </w:rPr>
        <w:t>#</w:t>
      </w:r>
      <w:r w:rsidRPr="004557D4">
        <w:rPr>
          <w:rFonts w:ascii="Times New Roman" w:hAnsi="Times New Roman" w:cs="Times New Roman"/>
          <w:sz w:val="20"/>
          <w:szCs w:val="20"/>
        </w:rPr>
        <w:t xml:space="preserve">1 and C1orf61-/- </w:t>
      </w:r>
      <w:r w:rsidRPr="004557D4">
        <w:rPr>
          <w:rFonts w:ascii="Times New Roman" w:eastAsia="宋体" w:hAnsi="Times New Roman" w:cs="Times New Roman"/>
          <w:sz w:val="20"/>
          <w:szCs w:val="20"/>
        </w:rPr>
        <w:t>#</w:t>
      </w:r>
      <w:r w:rsidRPr="004557D4">
        <w:rPr>
          <w:rFonts w:ascii="Times New Roman" w:hAnsi="Times New Roman" w:cs="Times New Roman"/>
          <w:sz w:val="20"/>
          <w:szCs w:val="20"/>
        </w:rPr>
        <w:t>2 cell lines are presented. The number of sequences analyzed for each cell lines is indicated below the deleted sequences;</w:t>
      </w:r>
    </w:p>
    <w:p w14:paraId="75D1665A"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(f) The migration rates between HCCLM9-WT cells and HCCLM9 C1orf61-/- cells were measured using a wound-healing assay and </w:t>
      </w:r>
      <w:proofErr w:type="spellStart"/>
      <w:r w:rsidRPr="004557D4">
        <w:rPr>
          <w:rFonts w:ascii="Times New Roman" w:hAnsi="Times New Roman" w:cs="Times New Roman"/>
          <w:sz w:val="20"/>
          <w:szCs w:val="20"/>
        </w:rPr>
        <w:t>transwell</w:t>
      </w:r>
      <w:proofErr w:type="spellEnd"/>
      <w:r w:rsidRPr="004557D4">
        <w:rPr>
          <w:rFonts w:ascii="Times New Roman" w:hAnsi="Times New Roman" w:cs="Times New Roman"/>
          <w:sz w:val="20"/>
          <w:szCs w:val="20"/>
        </w:rPr>
        <w:t xml:space="preserve"> assay.</w:t>
      </w:r>
    </w:p>
    <w:p w14:paraId="7D50776A" w14:textId="77777777" w:rsidR="000051CA" w:rsidRPr="004557D4" w:rsidRDefault="000051CA" w:rsidP="000051CA">
      <w:pPr>
        <w:spacing w:line="480" w:lineRule="auto"/>
        <w:rPr>
          <w:rFonts w:ascii="Times New Roman" w:hAnsi="Times New Roman" w:cs="Times New Roman"/>
          <w:b/>
          <w:bCs/>
          <w:sz w:val="20"/>
          <w:szCs w:val="20"/>
        </w:rPr>
      </w:pPr>
      <w:r w:rsidRPr="004557D4">
        <w:rPr>
          <w:rFonts w:ascii="Times New Roman" w:hAnsi="Times New Roman" w:cs="Times New Roman"/>
          <w:b/>
          <w:bCs/>
          <w:sz w:val="20"/>
          <w:szCs w:val="20"/>
        </w:rPr>
        <w:t>Fig. S2 Gene expression patterns associated with cell migration in C1orf61-positive liver cells.</w:t>
      </w:r>
    </w:p>
    <w:p w14:paraId="13020CEE" w14:textId="11D19E7D" w:rsidR="000051CA" w:rsidRPr="004557D4" w:rsidRDefault="000051CA" w:rsidP="000051CA">
      <w:pPr>
        <w:spacing w:line="480" w:lineRule="auto"/>
        <w:rPr>
          <w:rFonts w:ascii="Times New Roman" w:eastAsia="宋体" w:hAnsi="Times New Roman" w:cs="Times New Roman"/>
          <w:bCs/>
          <w:sz w:val="20"/>
          <w:szCs w:val="20"/>
        </w:rPr>
      </w:pPr>
      <w:r w:rsidRPr="004557D4">
        <w:rPr>
          <w:rFonts w:ascii="Times New Roman" w:hAnsi="Times New Roman" w:cs="Times New Roman"/>
          <w:sz w:val="20"/>
          <w:szCs w:val="20"/>
        </w:rPr>
        <w:t>(a) G</w:t>
      </w:r>
      <w:r w:rsidRPr="004557D4">
        <w:rPr>
          <w:rFonts w:ascii="Times New Roman" w:eastAsia="宋体" w:hAnsi="Times New Roman" w:cs="Times New Roman"/>
          <w:bCs/>
          <w:sz w:val="20"/>
          <w:szCs w:val="20"/>
        </w:rPr>
        <w:t xml:space="preserve">ene expression profiles from </w:t>
      </w:r>
      <w:r w:rsidR="00602F3A" w:rsidRPr="004557D4">
        <w:rPr>
          <w:rFonts w:ascii="Times New Roman" w:eastAsia="宋体" w:hAnsi="Times New Roman" w:cs="Times New Roman"/>
          <w:bCs/>
          <w:sz w:val="20"/>
          <w:szCs w:val="20"/>
        </w:rPr>
        <w:t>hepatocellular</w:t>
      </w:r>
      <w:r w:rsidRPr="004557D4">
        <w:rPr>
          <w:rFonts w:ascii="Times New Roman" w:eastAsia="宋体" w:hAnsi="Times New Roman" w:cs="Times New Roman"/>
          <w:bCs/>
          <w:sz w:val="20"/>
          <w:szCs w:val="20"/>
        </w:rPr>
        <w:t xml:space="preserve"> cell lines. It displays that 1548 genes were differentially expressed in L02-PHAGE, L02-C1orf61 and metastatic Huh7 cells. Green, black ,and red shading of the heat map indicates low, intermediate, or high expression</w:t>
      </w:r>
      <w:r w:rsidRPr="004557D4">
        <w:rPr>
          <w:rFonts w:ascii="Times New Roman" w:eastAsia="宋体" w:hAnsi="Times New Roman" w:cs="Times New Roman"/>
          <w:bCs/>
          <w:sz w:val="20"/>
          <w:szCs w:val="20"/>
        </w:rPr>
        <w:t>，</w:t>
      </w:r>
      <w:r w:rsidRPr="004557D4">
        <w:rPr>
          <w:rFonts w:ascii="Times New Roman" w:eastAsia="宋体" w:hAnsi="Times New Roman" w:cs="Times New Roman"/>
          <w:bCs/>
          <w:sz w:val="20"/>
          <w:szCs w:val="20"/>
        </w:rPr>
        <w:t>respectively.</w:t>
      </w:r>
    </w:p>
    <w:p w14:paraId="50B6BDD5" w14:textId="77777777" w:rsidR="000051CA" w:rsidRPr="004557D4" w:rsidRDefault="000051CA" w:rsidP="000051CA">
      <w:pPr>
        <w:spacing w:line="480" w:lineRule="auto"/>
        <w:rPr>
          <w:rFonts w:ascii="Times New Roman" w:eastAsia="宋体" w:hAnsi="Times New Roman" w:cs="Times New Roman"/>
          <w:sz w:val="20"/>
          <w:szCs w:val="20"/>
        </w:rPr>
      </w:pPr>
      <w:r w:rsidRPr="004557D4">
        <w:rPr>
          <w:rFonts w:ascii="Times New Roman" w:eastAsia="宋体" w:hAnsi="Times New Roman" w:cs="Times New Roman"/>
          <w:bCs/>
          <w:sz w:val="20"/>
          <w:szCs w:val="20"/>
        </w:rPr>
        <w:t xml:space="preserve">(b) Expression of EMT markers (E-cadherin, Vimentin) were assessed by immunofluorescence, </w:t>
      </w:r>
      <w:r w:rsidRPr="004557D4">
        <w:rPr>
          <w:rFonts w:ascii="Times New Roman" w:eastAsia="宋体" w:hAnsi="Times New Roman" w:cs="Times New Roman"/>
          <w:sz w:val="20"/>
          <w:szCs w:val="20"/>
        </w:rPr>
        <w:t>DAPI was used for nuclear staining.</w:t>
      </w:r>
      <w:r w:rsidRPr="004557D4">
        <w:rPr>
          <w:rFonts w:ascii="Times New Roman" w:eastAsia="宋体" w:hAnsi="Times New Roman" w:cs="Times New Roman"/>
          <w:kern w:val="0"/>
          <w:sz w:val="20"/>
          <w:szCs w:val="20"/>
        </w:rPr>
        <w:t xml:space="preserve"> Magnification: 400×</w:t>
      </w:r>
    </w:p>
    <w:p w14:paraId="0D9D7723"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bCs/>
          <w:sz w:val="20"/>
          <w:szCs w:val="20"/>
        </w:rPr>
        <w:lastRenderedPageBreak/>
        <w:t>(</w:t>
      </w:r>
      <w:r w:rsidRPr="004557D4">
        <w:rPr>
          <w:rFonts w:ascii="Times New Roman" w:hAnsi="Times New Roman" w:cs="Times New Roman"/>
          <w:sz w:val="20"/>
          <w:szCs w:val="20"/>
        </w:rPr>
        <w:t>c) The morphology of HCCLM9</w:t>
      </w:r>
      <w:r>
        <w:rPr>
          <w:rFonts w:ascii="Times New Roman" w:hAnsi="Times New Roman" w:cs="Times New Roman"/>
          <w:sz w:val="20"/>
          <w:szCs w:val="20"/>
        </w:rPr>
        <w:t xml:space="preserve"> </w:t>
      </w:r>
      <w:r w:rsidRPr="004557D4">
        <w:rPr>
          <w:rFonts w:ascii="Times New Roman" w:hAnsi="Times New Roman" w:cs="Times New Roman"/>
          <w:sz w:val="20"/>
          <w:szCs w:val="20"/>
        </w:rPr>
        <w:t>WT cells and HCCLM9 C1orf61-/- cells were determined using phase-contrast microscopy. Knockout of C1orf61 resulted in a morphological transformation from a spindle-like, fibroblastic morphology to tightly packed colonies;</w:t>
      </w:r>
    </w:p>
    <w:p w14:paraId="6CF03CA0"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(d) The EMT markers were assessed between HCCLM9-WT cells and HCCLM9 C1orf61-/- cells by Western blot. β-actin served as a loading control.</w:t>
      </w:r>
    </w:p>
    <w:p w14:paraId="5752A7D5" w14:textId="77777777" w:rsidR="000051CA" w:rsidRPr="004557D4" w:rsidRDefault="000051CA" w:rsidP="000051CA">
      <w:pPr>
        <w:spacing w:line="480" w:lineRule="auto"/>
        <w:rPr>
          <w:rFonts w:ascii="Times New Roman" w:hAnsi="Times New Roman" w:cs="Times New Roman"/>
          <w:b/>
          <w:bCs/>
          <w:sz w:val="20"/>
          <w:szCs w:val="20"/>
        </w:rPr>
      </w:pPr>
      <w:r w:rsidRPr="004557D4">
        <w:rPr>
          <w:rFonts w:ascii="Times New Roman" w:hAnsi="Times New Roman" w:cs="Times New Roman"/>
          <w:b/>
          <w:bCs/>
          <w:sz w:val="20"/>
          <w:szCs w:val="20"/>
        </w:rPr>
        <w:t>Fig. S3 C1orf61 activates STAT3 and STAT3 activity is essential for cellular EMT and migration.</w:t>
      </w:r>
    </w:p>
    <w:p w14:paraId="18FD6AD3"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eastAsia="宋体" w:hAnsi="Times New Roman" w:cs="Times New Roman"/>
          <w:bCs/>
          <w:sz w:val="20"/>
          <w:szCs w:val="20"/>
        </w:rPr>
        <w:t>(a) Immunostaining of p-STAT3 in L02-PHAGE, L02-C1orf61 cells and HCCLM9</w:t>
      </w:r>
      <w:r>
        <w:rPr>
          <w:rFonts w:ascii="Times New Roman" w:eastAsia="宋体" w:hAnsi="Times New Roman" w:cs="Times New Roman"/>
          <w:bCs/>
          <w:sz w:val="20"/>
          <w:szCs w:val="20"/>
        </w:rPr>
        <w:t xml:space="preserve"> </w:t>
      </w:r>
      <w:r w:rsidRPr="004557D4">
        <w:rPr>
          <w:rFonts w:ascii="Times New Roman" w:eastAsia="宋体" w:hAnsi="Times New Roman" w:cs="Times New Roman"/>
          <w:bCs/>
          <w:sz w:val="20"/>
          <w:szCs w:val="20"/>
        </w:rPr>
        <w:t xml:space="preserve">WT, HCCLM9-shC1orf61 cells. Overexpression of C1orf61 promoted p-STAT3 nuclear translocation. </w:t>
      </w:r>
      <w:r w:rsidRPr="004557D4">
        <w:rPr>
          <w:rFonts w:ascii="Times New Roman" w:eastAsia="宋体" w:hAnsi="Times New Roman" w:cs="Times New Roman"/>
          <w:sz w:val="20"/>
          <w:szCs w:val="20"/>
        </w:rPr>
        <w:t>DAPI was used for nuclear staining.</w:t>
      </w:r>
      <w:r w:rsidRPr="004557D4">
        <w:rPr>
          <w:rFonts w:ascii="Times New Roman" w:eastAsia="宋体" w:hAnsi="Times New Roman" w:cs="Times New Roman"/>
          <w:kern w:val="0"/>
          <w:sz w:val="20"/>
          <w:szCs w:val="20"/>
        </w:rPr>
        <w:t xml:space="preserve"> Magnification: 400×</w:t>
      </w:r>
    </w:p>
    <w:p w14:paraId="4CF7EF54"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(b) Immunostaining of p-STAT3 in L02-PHAGE and L02-C1orf61 cells. Cells were treated with S3I-201 for 36 h, DAPI was used for nuclear staining;</w:t>
      </w:r>
      <w:r w:rsidRPr="004557D4">
        <w:rPr>
          <w:rFonts w:ascii="Times New Roman" w:eastAsia="宋体" w:hAnsi="Times New Roman" w:cs="Times New Roman"/>
          <w:kern w:val="0"/>
          <w:sz w:val="20"/>
          <w:szCs w:val="20"/>
        </w:rPr>
        <w:t xml:space="preserve"> Magnification: 400×</w:t>
      </w:r>
    </w:p>
    <w:p w14:paraId="5EA538B7"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(c) Wound healing assay and </w:t>
      </w:r>
      <w:proofErr w:type="spellStart"/>
      <w:r w:rsidRPr="004557D4">
        <w:rPr>
          <w:rFonts w:ascii="Times New Roman" w:hAnsi="Times New Roman" w:cs="Times New Roman"/>
          <w:sz w:val="20"/>
          <w:szCs w:val="20"/>
        </w:rPr>
        <w:t>transwell</w:t>
      </w:r>
      <w:proofErr w:type="spellEnd"/>
      <w:r w:rsidRPr="004557D4">
        <w:rPr>
          <w:rFonts w:ascii="Times New Roman" w:hAnsi="Times New Roman" w:cs="Times New Roman"/>
          <w:sz w:val="20"/>
          <w:szCs w:val="20"/>
        </w:rPr>
        <w:t xml:space="preserve"> assay were used to explore the influence of S3I-201 (50 </w:t>
      </w:r>
      <w:proofErr w:type="spellStart"/>
      <w:r w:rsidRPr="004557D4">
        <w:rPr>
          <w:rFonts w:ascii="Times New Roman" w:hAnsi="Times New Roman" w:cs="Times New Roman"/>
          <w:bCs/>
          <w:sz w:val="20"/>
          <w:szCs w:val="20"/>
        </w:rPr>
        <w:t>μM</w:t>
      </w:r>
      <w:proofErr w:type="spellEnd"/>
      <w:r w:rsidRPr="004557D4">
        <w:rPr>
          <w:rFonts w:ascii="Times New Roman" w:hAnsi="Times New Roman" w:cs="Times New Roman"/>
          <w:bCs/>
          <w:sz w:val="20"/>
          <w:szCs w:val="20"/>
        </w:rPr>
        <w:t>)</w:t>
      </w:r>
      <w:r w:rsidRPr="004557D4">
        <w:rPr>
          <w:rFonts w:ascii="Times New Roman" w:hAnsi="Times New Roman" w:cs="Times New Roman"/>
          <w:sz w:val="20"/>
          <w:szCs w:val="20"/>
        </w:rPr>
        <w:t xml:space="preserve"> on cellular migration;</w:t>
      </w:r>
    </w:p>
    <w:p w14:paraId="037D9E19"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(d) </w:t>
      </w:r>
      <w:r w:rsidRPr="004557D4">
        <w:rPr>
          <w:rFonts w:ascii="Times New Roman" w:eastAsia="宋体" w:hAnsi="Times New Roman" w:cs="Times New Roman"/>
          <w:bCs/>
          <w:sz w:val="20"/>
          <w:szCs w:val="20"/>
        </w:rPr>
        <w:t xml:space="preserve">Expression of EMT markers (E-cadherin, vimentin) were assessed by immunofluorescence, cells were treated with </w:t>
      </w:r>
      <w:r w:rsidRPr="004557D4">
        <w:rPr>
          <w:rFonts w:ascii="Times New Roman" w:hAnsi="Times New Roman" w:cs="Times New Roman"/>
          <w:sz w:val="20"/>
          <w:szCs w:val="20"/>
        </w:rPr>
        <w:t>S3I-201 for 36 h,</w:t>
      </w:r>
      <w:r w:rsidRPr="004557D4">
        <w:rPr>
          <w:rFonts w:ascii="Times New Roman" w:eastAsia="宋体" w:hAnsi="Times New Roman" w:cs="Times New Roman"/>
          <w:bCs/>
          <w:sz w:val="20"/>
          <w:szCs w:val="20"/>
        </w:rPr>
        <w:t xml:space="preserve"> </w:t>
      </w:r>
      <w:r w:rsidRPr="004557D4">
        <w:rPr>
          <w:rFonts w:ascii="Times New Roman" w:eastAsia="宋体" w:hAnsi="Times New Roman" w:cs="Times New Roman"/>
          <w:sz w:val="20"/>
          <w:szCs w:val="20"/>
        </w:rPr>
        <w:t>DAPI was used for nuclear staining.</w:t>
      </w:r>
    </w:p>
    <w:p w14:paraId="0526E1DA"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(e) Immunostaining of p-STAT3 in L02-PHAGE cells and transfected with STAT3C cells, L02-C1orf61 cells and transfected with STAT3-Y705F cells, DAPI was used for nuclear staining;</w:t>
      </w:r>
      <w:r w:rsidRPr="004557D4">
        <w:rPr>
          <w:rFonts w:ascii="Times New Roman" w:eastAsia="宋体" w:hAnsi="Times New Roman" w:cs="Times New Roman"/>
          <w:kern w:val="0"/>
          <w:sz w:val="20"/>
          <w:szCs w:val="20"/>
        </w:rPr>
        <w:t xml:space="preserve"> Magnification: 400×</w:t>
      </w:r>
    </w:p>
    <w:p w14:paraId="3FB32796"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(f) Wound healing assay and </w:t>
      </w:r>
      <w:proofErr w:type="spellStart"/>
      <w:r w:rsidRPr="004557D4">
        <w:rPr>
          <w:rFonts w:ascii="Times New Roman" w:hAnsi="Times New Roman" w:cs="Times New Roman"/>
          <w:sz w:val="20"/>
          <w:szCs w:val="20"/>
        </w:rPr>
        <w:t>transwell</w:t>
      </w:r>
      <w:proofErr w:type="spellEnd"/>
      <w:r w:rsidRPr="004557D4">
        <w:rPr>
          <w:rFonts w:ascii="Times New Roman" w:hAnsi="Times New Roman" w:cs="Times New Roman"/>
          <w:sz w:val="20"/>
          <w:szCs w:val="20"/>
        </w:rPr>
        <w:t xml:space="preserve"> assay were used to assess the migration ability of L02-PHAGE cells and L02-C1orf61 cells after they were transfected with STAT3C and STAT3-Y705F;</w:t>
      </w:r>
    </w:p>
    <w:p w14:paraId="57027298"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(g) Immunostaining of EMT markers (E-cadherin, </w:t>
      </w:r>
      <w:r>
        <w:rPr>
          <w:rFonts w:ascii="Times New Roman" w:hAnsi="Times New Roman" w:cs="Times New Roman"/>
          <w:sz w:val="20"/>
          <w:szCs w:val="20"/>
        </w:rPr>
        <w:t>Vimentin</w:t>
      </w:r>
      <w:r w:rsidRPr="004557D4">
        <w:rPr>
          <w:rFonts w:ascii="Times New Roman" w:hAnsi="Times New Roman" w:cs="Times New Roman"/>
          <w:sz w:val="20"/>
          <w:szCs w:val="20"/>
        </w:rPr>
        <w:t>) in L02-PHAGE cells and transfected with STAT3C cells, L02-C1orf61 cells and transfected with STAT3-Y705F cells, DAPI was used for nuclear staining;</w:t>
      </w:r>
      <w:r w:rsidRPr="004557D4">
        <w:rPr>
          <w:rFonts w:ascii="Times New Roman" w:eastAsia="宋体" w:hAnsi="Times New Roman" w:cs="Times New Roman"/>
          <w:kern w:val="0"/>
          <w:sz w:val="20"/>
          <w:szCs w:val="20"/>
        </w:rPr>
        <w:t xml:space="preserve"> Magnification: 400×</w:t>
      </w:r>
    </w:p>
    <w:p w14:paraId="13F3078A" w14:textId="77777777" w:rsidR="000051CA" w:rsidRPr="004557D4" w:rsidRDefault="000051CA" w:rsidP="000051CA">
      <w:pPr>
        <w:spacing w:line="480" w:lineRule="auto"/>
        <w:rPr>
          <w:rFonts w:ascii="Times New Roman" w:hAnsi="Times New Roman" w:cs="Times New Roman"/>
          <w:bCs/>
          <w:color w:val="000000"/>
          <w:sz w:val="20"/>
          <w:szCs w:val="20"/>
        </w:rPr>
      </w:pPr>
      <w:r w:rsidRPr="004557D4">
        <w:rPr>
          <w:rFonts w:ascii="Times New Roman" w:hAnsi="Times New Roman" w:cs="Times New Roman"/>
          <w:b/>
          <w:bCs/>
          <w:sz w:val="20"/>
          <w:szCs w:val="20"/>
        </w:rPr>
        <w:lastRenderedPageBreak/>
        <w:t>Fig. S4 p-AKT is also involved in C1orf61-induced cell migration.</w:t>
      </w:r>
    </w:p>
    <w:p w14:paraId="6D74F632" w14:textId="77777777" w:rsidR="000051CA" w:rsidRPr="004557D4" w:rsidRDefault="000051CA" w:rsidP="000051CA">
      <w:pPr>
        <w:spacing w:line="480" w:lineRule="auto"/>
        <w:rPr>
          <w:rFonts w:ascii="Times New Roman" w:hAnsi="Times New Roman" w:cs="Times New Roman"/>
          <w:bCs/>
          <w:sz w:val="20"/>
          <w:szCs w:val="20"/>
        </w:rPr>
      </w:pPr>
      <w:r w:rsidRPr="004557D4">
        <w:rPr>
          <w:rFonts w:ascii="Times New Roman" w:hAnsi="Times New Roman" w:cs="Times New Roman"/>
          <w:bCs/>
          <w:color w:val="000000"/>
          <w:sz w:val="20"/>
          <w:szCs w:val="20"/>
        </w:rPr>
        <w:t xml:space="preserve">(a-b) </w:t>
      </w:r>
      <w:r w:rsidRPr="004557D4">
        <w:rPr>
          <w:rFonts w:ascii="Times New Roman" w:hAnsi="Times New Roman" w:cs="Times New Roman"/>
          <w:sz w:val="20"/>
          <w:szCs w:val="20"/>
        </w:rPr>
        <w:t xml:space="preserve">Wound healing assay and </w:t>
      </w:r>
      <w:proofErr w:type="spellStart"/>
      <w:r w:rsidRPr="004557D4">
        <w:rPr>
          <w:rFonts w:ascii="Times New Roman" w:hAnsi="Times New Roman" w:cs="Times New Roman"/>
          <w:sz w:val="20"/>
          <w:szCs w:val="20"/>
        </w:rPr>
        <w:t>transwell</w:t>
      </w:r>
      <w:proofErr w:type="spellEnd"/>
      <w:r w:rsidRPr="004557D4">
        <w:rPr>
          <w:rFonts w:ascii="Times New Roman" w:hAnsi="Times New Roman" w:cs="Times New Roman"/>
          <w:sz w:val="20"/>
          <w:szCs w:val="20"/>
        </w:rPr>
        <w:t xml:space="preserve"> assay were used to explore the influence of LY294002 (10 </w:t>
      </w:r>
      <w:proofErr w:type="spellStart"/>
      <w:r w:rsidRPr="004557D4">
        <w:rPr>
          <w:rFonts w:ascii="Times New Roman" w:hAnsi="Times New Roman" w:cs="Times New Roman"/>
          <w:bCs/>
          <w:sz w:val="20"/>
          <w:szCs w:val="20"/>
        </w:rPr>
        <w:t>μM</w:t>
      </w:r>
      <w:proofErr w:type="spellEnd"/>
      <w:r w:rsidRPr="004557D4">
        <w:rPr>
          <w:rFonts w:ascii="Times New Roman" w:hAnsi="Times New Roman" w:cs="Times New Roman"/>
          <w:bCs/>
          <w:sz w:val="20"/>
          <w:szCs w:val="20"/>
        </w:rPr>
        <w:t>) on cellular migration;</w:t>
      </w:r>
    </w:p>
    <w:p w14:paraId="3B15DDCA" w14:textId="77777777" w:rsidR="000051CA" w:rsidRPr="004557D4" w:rsidRDefault="000051CA" w:rsidP="000051CA">
      <w:pPr>
        <w:spacing w:line="480" w:lineRule="auto"/>
        <w:rPr>
          <w:rFonts w:ascii="Times New Roman" w:hAnsi="Times New Roman" w:cs="Times New Roman"/>
          <w:sz w:val="20"/>
          <w:szCs w:val="20"/>
        </w:rPr>
      </w:pPr>
      <w:r w:rsidRPr="004557D4">
        <w:rPr>
          <w:rFonts w:ascii="Times New Roman" w:hAnsi="Times New Roman" w:cs="Times New Roman"/>
          <w:sz w:val="20"/>
          <w:szCs w:val="20"/>
        </w:rPr>
        <w:t xml:space="preserve">(c-d) L02-PHAGE cells were transfected with CA-Akt and then the migration rates were measured using wounding healing assay and </w:t>
      </w:r>
      <w:proofErr w:type="spellStart"/>
      <w:r w:rsidRPr="004557D4">
        <w:rPr>
          <w:rFonts w:ascii="Times New Roman" w:hAnsi="Times New Roman" w:cs="Times New Roman"/>
          <w:sz w:val="20"/>
          <w:szCs w:val="20"/>
        </w:rPr>
        <w:t>transwell</w:t>
      </w:r>
      <w:proofErr w:type="spellEnd"/>
      <w:r w:rsidRPr="004557D4">
        <w:rPr>
          <w:rFonts w:ascii="Times New Roman" w:hAnsi="Times New Roman" w:cs="Times New Roman"/>
          <w:sz w:val="20"/>
          <w:szCs w:val="20"/>
        </w:rPr>
        <w:t xml:space="preserve"> assay;</w:t>
      </w:r>
    </w:p>
    <w:p w14:paraId="50EA7183" w14:textId="77777777" w:rsidR="000051CA" w:rsidRPr="004557D4" w:rsidRDefault="000051CA" w:rsidP="000051CA">
      <w:pPr>
        <w:pStyle w:val="a7"/>
        <w:spacing w:before="0" w:beforeAutospacing="0" w:after="0" w:afterAutospacing="0" w:line="480" w:lineRule="auto"/>
        <w:textAlignment w:val="baseline"/>
        <w:rPr>
          <w:rFonts w:ascii="Times New Roman" w:hAnsi="Times New Roman" w:cs="Times New Roman"/>
          <w:b/>
          <w:bCs/>
          <w:sz w:val="20"/>
          <w:szCs w:val="20"/>
        </w:rPr>
      </w:pPr>
      <w:r w:rsidRPr="004557D4">
        <w:rPr>
          <w:rFonts w:ascii="Times New Roman" w:hAnsi="Times New Roman" w:cs="Times New Roman"/>
          <w:b/>
          <w:bCs/>
          <w:sz w:val="20"/>
          <w:szCs w:val="20"/>
        </w:rPr>
        <w:t>Fig. S</w:t>
      </w:r>
      <w:r>
        <w:rPr>
          <w:rFonts w:ascii="Times New Roman" w:hAnsi="Times New Roman" w:cs="Times New Roman"/>
          <w:b/>
          <w:bCs/>
          <w:sz w:val="20"/>
          <w:szCs w:val="20"/>
        </w:rPr>
        <w:t>5</w:t>
      </w:r>
      <w:r w:rsidRPr="004557D4">
        <w:rPr>
          <w:rFonts w:ascii="Times New Roman" w:hAnsi="Times New Roman" w:cs="Times New Roman"/>
          <w:b/>
          <w:bCs/>
          <w:sz w:val="20"/>
          <w:szCs w:val="20"/>
        </w:rPr>
        <w:t xml:space="preserve"> C1orf61 expression is induced by HBV infection and is related to </w:t>
      </w:r>
      <w:proofErr w:type="spellStart"/>
      <w:r w:rsidRPr="004557D4">
        <w:rPr>
          <w:rFonts w:ascii="Times New Roman" w:hAnsi="Times New Roman" w:cs="Times New Roman"/>
          <w:b/>
          <w:bCs/>
          <w:sz w:val="20"/>
          <w:szCs w:val="20"/>
        </w:rPr>
        <w:t>HBe</w:t>
      </w:r>
      <w:proofErr w:type="spellEnd"/>
      <w:r w:rsidRPr="004557D4">
        <w:rPr>
          <w:rFonts w:ascii="Times New Roman" w:hAnsi="Times New Roman" w:cs="Times New Roman"/>
          <w:b/>
          <w:bCs/>
          <w:sz w:val="20"/>
          <w:szCs w:val="20"/>
        </w:rPr>
        <w:t xml:space="preserve"> and HBc.</w:t>
      </w:r>
    </w:p>
    <w:p w14:paraId="4D119458" w14:textId="77777777" w:rsidR="000051CA" w:rsidRPr="004557D4" w:rsidRDefault="000051CA" w:rsidP="000051CA">
      <w:pPr>
        <w:pStyle w:val="a7"/>
        <w:spacing w:before="0" w:beforeAutospacing="0" w:after="0" w:afterAutospacing="0" w:line="480" w:lineRule="auto"/>
        <w:textAlignment w:val="baseline"/>
        <w:rPr>
          <w:rFonts w:ascii="Times New Roman" w:hAnsi="Times New Roman" w:cs="Times New Roman"/>
          <w:bCs/>
          <w:color w:val="000000"/>
          <w:sz w:val="20"/>
          <w:szCs w:val="20"/>
        </w:rPr>
      </w:pPr>
      <w:r w:rsidRPr="004557D4">
        <w:rPr>
          <w:rFonts w:ascii="Times New Roman" w:hAnsi="Times New Roman" w:cs="Times New Roman"/>
          <w:bCs/>
          <w:color w:val="000000"/>
          <w:sz w:val="20"/>
          <w:szCs w:val="20"/>
        </w:rPr>
        <w:t xml:space="preserve">(a) The migration rates were assessed in HepG2, HepG2.2.15 and HepG2.2.15 C1orf61-knockdown cells using </w:t>
      </w:r>
      <w:proofErr w:type="spellStart"/>
      <w:r w:rsidRPr="004557D4">
        <w:rPr>
          <w:rFonts w:ascii="Times New Roman" w:hAnsi="Times New Roman" w:cs="Times New Roman"/>
          <w:bCs/>
          <w:color w:val="000000" w:themeColor="text1"/>
          <w:sz w:val="20"/>
          <w:szCs w:val="20"/>
        </w:rPr>
        <w:t>transwell</w:t>
      </w:r>
      <w:proofErr w:type="spellEnd"/>
      <w:r w:rsidRPr="004557D4">
        <w:rPr>
          <w:rFonts w:ascii="Times New Roman" w:hAnsi="Times New Roman" w:cs="Times New Roman"/>
          <w:bCs/>
          <w:color w:val="000000" w:themeColor="text1"/>
          <w:sz w:val="20"/>
          <w:szCs w:val="20"/>
        </w:rPr>
        <w:t xml:space="preserve"> assay</w:t>
      </w:r>
      <w:r w:rsidRPr="004557D4">
        <w:rPr>
          <w:rFonts w:ascii="Times New Roman" w:hAnsi="Times New Roman" w:cs="Times New Roman"/>
          <w:bCs/>
          <w:color w:val="000000"/>
          <w:sz w:val="20"/>
          <w:szCs w:val="20"/>
        </w:rPr>
        <w:t>;</w:t>
      </w:r>
    </w:p>
    <w:p w14:paraId="3674C112" w14:textId="4461D505" w:rsidR="000051CA" w:rsidRPr="004557D4" w:rsidRDefault="000051CA" w:rsidP="000051CA">
      <w:pPr>
        <w:pStyle w:val="a7"/>
        <w:spacing w:before="0" w:beforeAutospacing="0" w:after="0" w:afterAutospacing="0" w:line="480" w:lineRule="auto"/>
        <w:textAlignment w:val="baseline"/>
        <w:rPr>
          <w:rFonts w:ascii="Times New Roman" w:hAnsi="Times New Roman" w:cs="Times New Roman"/>
          <w:bCs/>
          <w:color w:val="000000"/>
          <w:sz w:val="20"/>
          <w:szCs w:val="20"/>
        </w:rPr>
      </w:pPr>
      <w:r w:rsidRPr="004557D4">
        <w:rPr>
          <w:rFonts w:ascii="Times New Roman" w:hAnsi="Times New Roman" w:cs="Times New Roman"/>
          <w:bCs/>
          <w:color w:val="000000"/>
          <w:sz w:val="20"/>
          <w:szCs w:val="20"/>
        </w:rPr>
        <w:t xml:space="preserve">(b) ELISA assay </w:t>
      </w:r>
      <w:r w:rsidR="00602F3A" w:rsidRPr="004557D4">
        <w:rPr>
          <w:rFonts w:ascii="Times New Roman" w:hAnsi="Times New Roman" w:cs="Times New Roman"/>
          <w:bCs/>
          <w:color w:val="000000"/>
          <w:sz w:val="20"/>
          <w:szCs w:val="20"/>
        </w:rPr>
        <w:t>was</w:t>
      </w:r>
      <w:r w:rsidRPr="004557D4">
        <w:rPr>
          <w:rFonts w:ascii="Times New Roman" w:hAnsi="Times New Roman" w:cs="Times New Roman"/>
          <w:bCs/>
          <w:color w:val="000000"/>
          <w:sz w:val="20"/>
          <w:szCs w:val="20"/>
        </w:rPr>
        <w:t xml:space="preserve"> used to assess the infection ability of HBV after L02-PHAGE cells were transfected with HBV;</w:t>
      </w:r>
    </w:p>
    <w:p w14:paraId="381FA5DB" w14:textId="77777777" w:rsidR="000051CA" w:rsidRPr="004557D4" w:rsidRDefault="000051CA" w:rsidP="000051CA">
      <w:pPr>
        <w:spacing w:line="480" w:lineRule="auto"/>
        <w:rPr>
          <w:rFonts w:ascii="Times New Roman" w:eastAsia="宋体" w:hAnsi="Times New Roman" w:cs="Times New Roman"/>
          <w:sz w:val="20"/>
          <w:szCs w:val="20"/>
        </w:rPr>
      </w:pPr>
      <w:r w:rsidRPr="004557D4">
        <w:rPr>
          <w:rFonts w:ascii="Times New Roman" w:eastAsia="宋体" w:hAnsi="Times New Roman" w:cs="Times New Roman"/>
          <w:sz w:val="20"/>
          <w:szCs w:val="20"/>
        </w:rPr>
        <w:t>(c) The expression level of C1orf61 and EMT markers were determined by Western blot analysis after L02-PHAGE cells were transfected with HBV vector. β-actin was used as a loading control;</w:t>
      </w:r>
    </w:p>
    <w:p w14:paraId="312AA5FD" w14:textId="77777777" w:rsidR="000051CA" w:rsidRPr="004557D4" w:rsidRDefault="000051CA" w:rsidP="000051CA">
      <w:pPr>
        <w:pStyle w:val="a7"/>
        <w:spacing w:before="0" w:beforeAutospacing="0" w:after="0" w:afterAutospacing="0" w:line="480" w:lineRule="auto"/>
        <w:textAlignment w:val="baseline"/>
        <w:rPr>
          <w:rFonts w:ascii="Times New Roman" w:hAnsi="Times New Roman" w:cs="Times New Roman"/>
          <w:sz w:val="20"/>
          <w:szCs w:val="20"/>
        </w:rPr>
      </w:pPr>
      <w:r w:rsidRPr="004557D4">
        <w:rPr>
          <w:rFonts w:ascii="Times New Roman" w:hAnsi="Times New Roman" w:cs="Times New Roman"/>
          <w:bCs/>
          <w:color w:val="000000"/>
          <w:sz w:val="20"/>
          <w:szCs w:val="20"/>
        </w:rPr>
        <w:t xml:space="preserve">(d-e) </w:t>
      </w:r>
      <w:r w:rsidRPr="004557D4">
        <w:rPr>
          <w:rFonts w:ascii="Times New Roman" w:hAnsi="Times New Roman" w:cs="Times New Roman"/>
          <w:sz w:val="20"/>
          <w:szCs w:val="20"/>
        </w:rPr>
        <w:t xml:space="preserve">Wound healing assay and </w:t>
      </w:r>
      <w:proofErr w:type="spellStart"/>
      <w:r w:rsidRPr="004557D4">
        <w:rPr>
          <w:rFonts w:ascii="Times New Roman" w:hAnsi="Times New Roman" w:cs="Times New Roman"/>
          <w:sz w:val="20"/>
          <w:szCs w:val="20"/>
        </w:rPr>
        <w:t>transwell</w:t>
      </w:r>
      <w:proofErr w:type="spellEnd"/>
      <w:r w:rsidRPr="004557D4">
        <w:rPr>
          <w:rFonts w:ascii="Times New Roman" w:hAnsi="Times New Roman" w:cs="Times New Roman"/>
          <w:sz w:val="20"/>
          <w:szCs w:val="20"/>
        </w:rPr>
        <w:t xml:space="preserve"> assay were used to measure the cellular migration ability;</w:t>
      </w:r>
    </w:p>
    <w:p w14:paraId="4C2EB62C" w14:textId="77777777" w:rsidR="000051CA" w:rsidRPr="004557D4" w:rsidRDefault="000051CA" w:rsidP="000051CA">
      <w:pPr>
        <w:spacing w:line="480" w:lineRule="auto"/>
        <w:rPr>
          <w:rFonts w:ascii="Times New Roman" w:hAnsi="Times New Roman" w:cs="Times New Roman"/>
          <w:b/>
          <w:bCs/>
          <w:sz w:val="20"/>
          <w:szCs w:val="20"/>
        </w:rPr>
      </w:pPr>
      <w:r w:rsidRPr="004557D4">
        <w:rPr>
          <w:rFonts w:ascii="Times New Roman" w:hAnsi="Times New Roman" w:cs="Times New Roman"/>
          <w:b/>
          <w:bCs/>
          <w:sz w:val="20"/>
          <w:szCs w:val="20"/>
        </w:rPr>
        <w:t>Fig. S</w:t>
      </w:r>
      <w:r>
        <w:rPr>
          <w:rFonts w:ascii="Times New Roman" w:hAnsi="Times New Roman" w:cs="Times New Roman"/>
          <w:b/>
          <w:bCs/>
          <w:sz w:val="20"/>
          <w:szCs w:val="20"/>
        </w:rPr>
        <w:t>6</w:t>
      </w:r>
      <w:r w:rsidRPr="004557D4">
        <w:rPr>
          <w:rFonts w:ascii="Times New Roman" w:hAnsi="Times New Roman" w:cs="Times New Roman"/>
          <w:b/>
          <w:bCs/>
          <w:sz w:val="20"/>
          <w:szCs w:val="20"/>
        </w:rPr>
        <w:t xml:space="preserve"> Sorafenib efficiently induces cell apoptotic cell death in C1orf61-positive hepatocellular carcinoma cells.</w:t>
      </w:r>
    </w:p>
    <w:p w14:paraId="370F98F7" w14:textId="77777777" w:rsidR="000051CA" w:rsidRPr="004557D4" w:rsidRDefault="000051CA" w:rsidP="000051CA">
      <w:pPr>
        <w:pStyle w:val="a7"/>
        <w:spacing w:before="0" w:beforeAutospacing="0" w:after="0" w:afterAutospacing="0" w:line="480" w:lineRule="auto"/>
        <w:textAlignment w:val="baseline"/>
        <w:rPr>
          <w:rFonts w:ascii="Times New Roman" w:hAnsi="Times New Roman" w:cs="Times New Roman"/>
          <w:sz w:val="20"/>
          <w:szCs w:val="20"/>
        </w:rPr>
      </w:pPr>
      <w:r w:rsidRPr="004557D4">
        <w:rPr>
          <w:rFonts w:ascii="Times New Roman" w:hAnsi="Times New Roman" w:cs="Times New Roman"/>
          <w:sz w:val="20"/>
          <w:szCs w:val="20"/>
        </w:rPr>
        <w:t>(a) Endogenous C1orf61 protein levels were detected by western blot in human liver cells, β-actin served as a loading control;</w:t>
      </w:r>
    </w:p>
    <w:p w14:paraId="6C6C138B" w14:textId="77777777" w:rsidR="000051CA" w:rsidRPr="004557D4" w:rsidRDefault="000051CA" w:rsidP="000051CA">
      <w:pPr>
        <w:spacing w:line="480" w:lineRule="auto"/>
        <w:rPr>
          <w:rFonts w:ascii="Times New Roman" w:eastAsia="宋体" w:hAnsi="Times New Roman" w:cs="Times New Roman"/>
          <w:bCs/>
          <w:sz w:val="20"/>
          <w:szCs w:val="20"/>
        </w:rPr>
      </w:pPr>
      <w:r w:rsidRPr="004557D4">
        <w:rPr>
          <w:rFonts w:ascii="Times New Roman" w:eastAsia="宋体" w:hAnsi="Times New Roman" w:cs="Times New Roman"/>
          <w:bCs/>
          <w:sz w:val="20"/>
          <w:szCs w:val="20"/>
        </w:rPr>
        <w:t xml:space="preserve">(b) FACS analysis were performed for detecting apoptosis after sorafenib (25 </w:t>
      </w:r>
      <w:proofErr w:type="spellStart"/>
      <w:r w:rsidRPr="004557D4">
        <w:rPr>
          <w:rFonts w:ascii="Times New Roman" w:eastAsia="宋体" w:hAnsi="Times New Roman" w:cs="Times New Roman"/>
          <w:bCs/>
          <w:sz w:val="20"/>
          <w:szCs w:val="20"/>
        </w:rPr>
        <w:t>μM</w:t>
      </w:r>
      <w:proofErr w:type="spellEnd"/>
      <w:r w:rsidRPr="004557D4">
        <w:rPr>
          <w:rFonts w:ascii="Times New Roman" w:eastAsia="宋体" w:hAnsi="Times New Roman" w:cs="Times New Roman"/>
          <w:bCs/>
          <w:sz w:val="20"/>
          <w:szCs w:val="20"/>
        </w:rPr>
        <w:t xml:space="preserve">) treatment of BEL7402-PHAGE, BEL7402-C1orf61 cells and HCCLM9 WT, HCCLM9 C1orf61-/- cells for 48 </w:t>
      </w:r>
      <w:proofErr w:type="spellStart"/>
      <w:r w:rsidRPr="004557D4">
        <w:rPr>
          <w:rFonts w:ascii="Times New Roman" w:eastAsia="宋体" w:hAnsi="Times New Roman" w:cs="Times New Roman"/>
          <w:bCs/>
          <w:sz w:val="20"/>
          <w:szCs w:val="20"/>
        </w:rPr>
        <w:t>hr</w:t>
      </w:r>
      <w:proofErr w:type="spellEnd"/>
      <w:r w:rsidRPr="004557D4">
        <w:rPr>
          <w:rFonts w:ascii="Times New Roman" w:eastAsia="宋体" w:hAnsi="Times New Roman" w:cs="Times New Roman"/>
          <w:bCs/>
          <w:sz w:val="20"/>
          <w:szCs w:val="20"/>
        </w:rPr>
        <w:t>;</w:t>
      </w:r>
    </w:p>
    <w:p w14:paraId="731F72F2" w14:textId="2944D219" w:rsidR="002E2207" w:rsidRPr="00B30914" w:rsidRDefault="000051CA" w:rsidP="00B30914">
      <w:pPr>
        <w:pStyle w:val="a7"/>
        <w:spacing w:before="0" w:beforeAutospacing="0" w:after="0" w:afterAutospacing="0" w:line="480" w:lineRule="auto"/>
        <w:textAlignment w:val="baseline"/>
        <w:rPr>
          <w:rFonts w:ascii="Times New Roman" w:hAnsi="Times New Roman" w:cs="Times New Roman"/>
          <w:sz w:val="20"/>
          <w:szCs w:val="20"/>
        </w:rPr>
      </w:pPr>
      <w:r w:rsidRPr="004557D4">
        <w:rPr>
          <w:rFonts w:ascii="Times New Roman" w:hAnsi="Times New Roman" w:cs="Times New Roman"/>
          <w:sz w:val="20"/>
          <w:szCs w:val="20"/>
        </w:rPr>
        <w:t>(c</w:t>
      </w:r>
      <w:r>
        <w:rPr>
          <w:rFonts w:ascii="Times New Roman" w:hAnsi="Times New Roman" w:cs="Times New Roman"/>
          <w:sz w:val="20"/>
          <w:szCs w:val="20"/>
        </w:rPr>
        <w:t>-d</w:t>
      </w:r>
      <w:r w:rsidRPr="004557D4">
        <w:rPr>
          <w:rFonts w:ascii="Times New Roman" w:hAnsi="Times New Roman" w:cs="Times New Roman"/>
          <w:sz w:val="20"/>
          <w:szCs w:val="20"/>
        </w:rPr>
        <w:t xml:space="preserve">) HCCLM9 WT, HCCLM9 C1orf61-/- cells and BEL7402-PHAGE, BEL7402-C1orf61 cells were treated with Sorafenib for 0 or 4 </w:t>
      </w:r>
      <w:proofErr w:type="spellStart"/>
      <w:r w:rsidRPr="004557D4">
        <w:rPr>
          <w:rFonts w:ascii="Times New Roman" w:hAnsi="Times New Roman" w:cs="Times New Roman"/>
          <w:bCs/>
          <w:sz w:val="20"/>
          <w:szCs w:val="20"/>
        </w:rPr>
        <w:t>μM</w:t>
      </w:r>
      <w:proofErr w:type="spellEnd"/>
      <w:r w:rsidRPr="004557D4">
        <w:rPr>
          <w:rFonts w:ascii="Times New Roman" w:hAnsi="Times New Roman" w:cs="Times New Roman"/>
          <w:bCs/>
          <w:sz w:val="20"/>
          <w:szCs w:val="20"/>
        </w:rPr>
        <w:t xml:space="preserve">, and the migration ability were assessed using wound-healing assay and </w:t>
      </w:r>
      <w:proofErr w:type="spellStart"/>
      <w:r w:rsidRPr="004557D4">
        <w:rPr>
          <w:rFonts w:ascii="Times New Roman" w:hAnsi="Times New Roman" w:cs="Times New Roman"/>
          <w:bCs/>
          <w:sz w:val="20"/>
          <w:szCs w:val="20"/>
        </w:rPr>
        <w:t>transwell</w:t>
      </w:r>
      <w:proofErr w:type="spellEnd"/>
      <w:r w:rsidRPr="004557D4">
        <w:rPr>
          <w:rFonts w:ascii="Times New Roman" w:hAnsi="Times New Roman" w:cs="Times New Roman"/>
          <w:bCs/>
          <w:sz w:val="20"/>
          <w:szCs w:val="20"/>
        </w:rPr>
        <w:t xml:space="preserve"> assay.</w:t>
      </w:r>
    </w:p>
    <w:sectPr w:rsidR="002E2207" w:rsidRPr="00B309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A173DF" w14:textId="77777777" w:rsidR="00530B29" w:rsidRDefault="00530B29" w:rsidP="000051CA">
      <w:r>
        <w:separator/>
      </w:r>
    </w:p>
  </w:endnote>
  <w:endnote w:type="continuationSeparator" w:id="0">
    <w:p w14:paraId="022F7061" w14:textId="77777777" w:rsidR="00530B29" w:rsidRDefault="00530B29" w:rsidP="000051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53FFF4" w14:textId="77777777" w:rsidR="00530B29" w:rsidRDefault="00530B29" w:rsidP="000051CA">
      <w:r>
        <w:separator/>
      </w:r>
    </w:p>
  </w:footnote>
  <w:footnote w:type="continuationSeparator" w:id="0">
    <w:p w14:paraId="15168F9A" w14:textId="77777777" w:rsidR="00530B29" w:rsidRDefault="00530B29" w:rsidP="000051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42D"/>
    <w:rsid w:val="000051CA"/>
    <w:rsid w:val="002E2207"/>
    <w:rsid w:val="003742F0"/>
    <w:rsid w:val="004242C4"/>
    <w:rsid w:val="00530B29"/>
    <w:rsid w:val="00602F3A"/>
    <w:rsid w:val="00693D3F"/>
    <w:rsid w:val="0089742D"/>
    <w:rsid w:val="00A679A7"/>
    <w:rsid w:val="00B30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2FD33A"/>
  <w15:chartTrackingRefBased/>
  <w15:docId w15:val="{6C1DB81E-022A-4B8F-AF97-69608F041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51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51C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051CA"/>
    <w:rPr>
      <w:sz w:val="18"/>
      <w:szCs w:val="18"/>
    </w:rPr>
  </w:style>
  <w:style w:type="paragraph" w:styleId="a5">
    <w:name w:val="footer"/>
    <w:basedOn w:val="a"/>
    <w:link w:val="a6"/>
    <w:uiPriority w:val="99"/>
    <w:unhideWhenUsed/>
    <w:rsid w:val="000051CA"/>
    <w:pPr>
      <w:tabs>
        <w:tab w:val="center" w:pos="4153"/>
        <w:tab w:val="right" w:pos="8306"/>
      </w:tabs>
      <w:snapToGrid w:val="0"/>
      <w:jc w:val="left"/>
    </w:pPr>
    <w:rPr>
      <w:sz w:val="18"/>
      <w:szCs w:val="18"/>
    </w:rPr>
  </w:style>
  <w:style w:type="character" w:customStyle="1" w:styleId="a6">
    <w:name w:val="页脚 字符"/>
    <w:basedOn w:val="a0"/>
    <w:link w:val="a5"/>
    <w:uiPriority w:val="99"/>
    <w:rsid w:val="000051CA"/>
    <w:rPr>
      <w:sz w:val="18"/>
      <w:szCs w:val="18"/>
    </w:rPr>
  </w:style>
  <w:style w:type="paragraph" w:styleId="a7">
    <w:name w:val="Normal (Web)"/>
    <w:basedOn w:val="a"/>
    <w:link w:val="a8"/>
    <w:uiPriority w:val="99"/>
    <w:unhideWhenUsed/>
    <w:rsid w:val="000051CA"/>
    <w:pPr>
      <w:widowControl/>
      <w:spacing w:before="100" w:beforeAutospacing="1" w:after="100" w:afterAutospacing="1"/>
      <w:jc w:val="left"/>
    </w:pPr>
    <w:rPr>
      <w:rFonts w:ascii="宋体" w:eastAsia="宋体" w:hAnsi="宋体" w:cs="宋体"/>
      <w:kern w:val="0"/>
      <w:sz w:val="24"/>
      <w:szCs w:val="24"/>
    </w:rPr>
  </w:style>
  <w:style w:type="character" w:customStyle="1" w:styleId="a8">
    <w:name w:val="普通(网站) 字符"/>
    <w:basedOn w:val="a0"/>
    <w:link w:val="a7"/>
    <w:uiPriority w:val="99"/>
    <w:rsid w:val="000051CA"/>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804</Words>
  <Characters>4588</Characters>
  <Application>Microsoft Office Word</Application>
  <DocSecurity>0</DocSecurity>
  <Lines>38</Lines>
  <Paragraphs>10</Paragraphs>
  <ScaleCrop>false</ScaleCrop>
  <Company/>
  <LinksUpToDate>false</LinksUpToDate>
  <CharactersWithSpaces>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6</cp:revision>
  <dcterms:created xsi:type="dcterms:W3CDTF">2020-07-29T12:59:00Z</dcterms:created>
  <dcterms:modified xsi:type="dcterms:W3CDTF">2020-09-18T11:37:00Z</dcterms:modified>
</cp:coreProperties>
</file>