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B6B62" w14:textId="77777777" w:rsidR="000603FF" w:rsidRPr="00C405A1" w:rsidRDefault="000603FF" w:rsidP="00C405A1">
      <w:pPr>
        <w:jc w:val="both"/>
        <w:rPr>
          <w:sz w:val="22"/>
          <w:szCs w:val="22"/>
        </w:rPr>
      </w:pPr>
      <w:bookmarkStart w:id="0" w:name="_Toc475270121"/>
      <w:bookmarkStart w:id="1" w:name="_Toc475270141"/>
      <w:r w:rsidRPr="00C405A1">
        <w:rPr>
          <w:sz w:val="22"/>
          <w:szCs w:val="22"/>
        </w:rPr>
        <w:t>Appendix E1</w:t>
      </w:r>
    </w:p>
    <w:p w14:paraId="46576047" w14:textId="60E37F4B" w:rsidR="000603FF" w:rsidRPr="00C405A1" w:rsidRDefault="000603FF" w:rsidP="00C405A1">
      <w:pPr>
        <w:jc w:val="both"/>
        <w:rPr>
          <w:sz w:val="22"/>
          <w:szCs w:val="22"/>
        </w:rPr>
      </w:pPr>
      <w:r w:rsidRPr="00C405A1">
        <w:rPr>
          <w:sz w:val="22"/>
          <w:szCs w:val="22"/>
        </w:rPr>
        <w:t>The gadoxetic acid-enhanced imaging (Primovist®; Bayer Schering Pharma AG, Berlin, Germany) were acquired using a fat-suppressed T1-weighted 3D gradient recall echo (GRE) volume interpolated breath-hold examination (VIBE) sequence, The acquisition parameters for MRI were: repetition time (TR) of 3 ms; echo time (TE) of 1.9 ms; flip angle of 12°; Matrix size of 352×256; field of view of 400×296 mm; Section thickness of 2 mm. Arterial phase (20-35 s), portal venous phase (60-70 s) and transitional phase (3 min) were obtained. The contrast agent (a dose of 0.025 mmol/kg) was administered intravenously at a rate of 2 ml/s and followed by a 30-ml saline flush immediately.</w:t>
      </w:r>
    </w:p>
    <w:p w14:paraId="21155CE3" w14:textId="77777777" w:rsidR="000603FF" w:rsidRDefault="000603FF" w:rsidP="000603FF"/>
    <w:p w14:paraId="4B9922D1" w14:textId="77777777" w:rsidR="000603FF" w:rsidRDefault="000603FF" w:rsidP="000603FF"/>
    <w:p w14:paraId="4CD98829" w14:textId="77777777" w:rsidR="000603FF" w:rsidRDefault="000603FF" w:rsidP="000603FF"/>
    <w:p w14:paraId="50497DBC" w14:textId="77777777" w:rsidR="000603FF" w:rsidRDefault="000603FF" w:rsidP="00216CF3">
      <w:pPr>
        <w:jc w:val="center"/>
      </w:pPr>
    </w:p>
    <w:p w14:paraId="5C9B55A5" w14:textId="77777777" w:rsidR="000C71C0" w:rsidRPr="00C405A1" w:rsidRDefault="00216CF3" w:rsidP="00C405A1">
      <w:pPr>
        <w:jc w:val="both"/>
        <w:rPr>
          <w:sz w:val="22"/>
          <w:szCs w:val="22"/>
        </w:rPr>
      </w:pPr>
      <w:r w:rsidRPr="00C405A1">
        <w:rPr>
          <w:sz w:val="22"/>
          <w:szCs w:val="22"/>
        </w:rPr>
        <w:t xml:space="preserve">Appendix </w:t>
      </w:r>
      <w:r w:rsidR="000C71C0" w:rsidRPr="00C405A1">
        <w:rPr>
          <w:sz w:val="22"/>
          <w:szCs w:val="22"/>
        </w:rPr>
        <w:t>E2</w:t>
      </w:r>
    </w:p>
    <w:p w14:paraId="485A7C46" w14:textId="5AB30A51" w:rsidR="00216CF3" w:rsidRPr="00C405A1" w:rsidRDefault="00216CF3" w:rsidP="00C405A1">
      <w:pPr>
        <w:jc w:val="both"/>
        <w:rPr>
          <w:sz w:val="22"/>
          <w:szCs w:val="22"/>
        </w:rPr>
      </w:pPr>
      <w:r w:rsidRPr="00C405A1">
        <w:rPr>
          <w:sz w:val="22"/>
          <w:szCs w:val="22"/>
        </w:rPr>
        <w:t>The description of the radiomics features which are involved in the radiomics OS predicting models.</w:t>
      </w:r>
    </w:p>
    <w:p w14:paraId="00A2D1F3" w14:textId="77777777" w:rsidR="00AE61E9" w:rsidRPr="00216CF3" w:rsidRDefault="00AE61E9" w:rsidP="00AE61E9">
      <w:pPr>
        <w:pStyle w:val="1"/>
        <w:numPr>
          <w:ilvl w:val="0"/>
          <w:numId w:val="4"/>
        </w:numPr>
        <w:rPr>
          <w:rFonts w:ascii="Times New Roman" w:hAnsi="Times New Roman" w:cs="Times New Roman"/>
          <w:b/>
          <w:bCs/>
          <w:color w:val="auto"/>
          <w:sz w:val="22"/>
          <w:szCs w:val="22"/>
        </w:rPr>
      </w:pPr>
      <w:r w:rsidRPr="00216CF3">
        <w:rPr>
          <w:rFonts w:ascii="Times New Roman" w:hAnsi="Times New Roman" w:cs="Times New Roman"/>
          <w:b/>
          <w:bCs/>
          <w:color w:val="auto"/>
          <w:sz w:val="22"/>
          <w:szCs w:val="22"/>
        </w:rPr>
        <w:t>Histogram Parameters</w:t>
      </w:r>
      <w:bookmarkStart w:id="2" w:name="_GoBack"/>
      <w:bookmarkEnd w:id="0"/>
      <w:bookmarkEnd w:id="2"/>
    </w:p>
    <w:p w14:paraId="015D0D14" w14:textId="77777777" w:rsidR="00AE61E9" w:rsidRPr="00412BC0" w:rsidRDefault="00AE61E9" w:rsidP="00AE61E9">
      <w:pPr>
        <w:rPr>
          <w:b/>
          <w:sz w:val="22"/>
          <w:szCs w:val="22"/>
        </w:rPr>
      </w:pPr>
    </w:p>
    <w:p w14:paraId="69CB7BC6" w14:textId="79A248FE" w:rsidR="00AE61E9" w:rsidRPr="00412BC0" w:rsidRDefault="00AE61E9" w:rsidP="00216CF3">
      <w:pPr>
        <w:jc w:val="both"/>
        <w:rPr>
          <w:b/>
          <w:sz w:val="22"/>
          <w:szCs w:val="22"/>
        </w:rPr>
      </w:pPr>
      <w:r w:rsidRPr="00412BC0">
        <w:rPr>
          <w:sz w:val="22"/>
          <w:szCs w:val="22"/>
        </w:rPr>
        <w:t>Histogram parameters are concerned with properties of individual pixels.</w:t>
      </w:r>
      <w:r w:rsidRPr="00412BC0">
        <w:rPr>
          <w:b/>
          <w:sz w:val="22"/>
          <w:szCs w:val="22"/>
        </w:rPr>
        <w:t xml:space="preserve"> </w:t>
      </w:r>
      <w:r w:rsidRPr="00412BC0">
        <w:rPr>
          <w:sz w:val="22"/>
          <w:szCs w:val="22"/>
        </w:rPr>
        <w:t>They describe the distribution of voxel intensities within the image</w:t>
      </w:r>
      <w:r w:rsidR="00187180">
        <w:rPr>
          <w:sz w:val="22"/>
          <w:szCs w:val="22"/>
        </w:rPr>
        <w:t>s</w:t>
      </w:r>
      <w:r w:rsidRPr="00412BC0">
        <w:rPr>
          <w:sz w:val="22"/>
          <w:szCs w:val="22"/>
        </w:rPr>
        <w:t xml:space="preserve"> through commonly used and basic metrics. Let </w:t>
      </w:r>
      <m:oMath>
        <m:r>
          <w:rPr>
            <w:rFonts w:ascii="Cambria Math" w:hAnsi="Cambria Math"/>
            <w:sz w:val="22"/>
            <w:szCs w:val="22"/>
          </w:rPr>
          <m:t>X</m:t>
        </m:r>
      </m:oMath>
      <w:r w:rsidRPr="00412BC0">
        <w:rPr>
          <w:sz w:val="22"/>
          <w:szCs w:val="22"/>
        </w:rPr>
        <w:t xml:space="preserve"> denote the three dimensional image matrix with </w:t>
      </w:r>
      <m:oMath>
        <m:r>
          <w:rPr>
            <w:rFonts w:ascii="Cambria Math" w:hAnsi="Cambria Math"/>
            <w:sz w:val="22"/>
            <w:szCs w:val="22"/>
          </w:rPr>
          <m:t>N</m:t>
        </m:r>
      </m:oMath>
      <w:r w:rsidRPr="00412BC0">
        <w:rPr>
          <w:sz w:val="22"/>
          <w:szCs w:val="22"/>
        </w:rPr>
        <w:t xml:space="preserve"> voxels and </w:t>
      </w:r>
      <m:oMath>
        <m:r>
          <w:rPr>
            <w:rFonts w:ascii="Cambria Math" w:hAnsi="Cambria Math"/>
            <w:sz w:val="22"/>
            <w:szCs w:val="22"/>
          </w:rPr>
          <m:t>P</m:t>
        </m:r>
      </m:oMath>
      <w:r w:rsidRPr="00412BC0">
        <w:rPr>
          <w:sz w:val="22"/>
          <w:szCs w:val="22"/>
        </w:rPr>
        <w:t xml:space="preserve"> the first order histogram divided by </w:t>
      </w:r>
      <m:oMath>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l</m:t>
            </m:r>
          </m:sub>
        </m:sSub>
      </m:oMath>
      <w:r w:rsidRPr="00412BC0">
        <w:rPr>
          <w:sz w:val="22"/>
          <w:szCs w:val="22"/>
        </w:rPr>
        <w:t xml:space="preserve"> discrete intensity levels. The following first order statistics were extracted:</w:t>
      </w:r>
    </w:p>
    <w:p w14:paraId="3B608388" w14:textId="77777777" w:rsidR="00AE61E9" w:rsidRPr="00412BC0" w:rsidRDefault="00AE61E9" w:rsidP="00F84655">
      <w:pPr>
        <w:spacing w:after="200" w:line="276" w:lineRule="auto"/>
        <w:ind w:left="720" w:hanging="360"/>
        <w:contextualSpacing/>
        <w:jc w:val="both"/>
        <w:rPr>
          <w:sz w:val="22"/>
          <w:szCs w:val="22"/>
        </w:rPr>
      </w:pPr>
    </w:p>
    <w:p w14:paraId="2C2E2DE5" w14:textId="77777777" w:rsidR="00F84655" w:rsidRPr="00B05597" w:rsidRDefault="00F84655" w:rsidP="00F84655">
      <w:pPr>
        <w:numPr>
          <w:ilvl w:val="1"/>
          <w:numId w:val="1"/>
        </w:numPr>
        <w:spacing w:after="200" w:line="276" w:lineRule="auto"/>
        <w:contextualSpacing/>
        <w:jc w:val="both"/>
        <w:rPr>
          <w:sz w:val="22"/>
          <w:szCs w:val="22"/>
        </w:rPr>
      </w:pPr>
      <w:r w:rsidRPr="00B05597">
        <w:rPr>
          <w:sz w:val="22"/>
          <w:szCs w:val="22"/>
        </w:rPr>
        <w:t>Kurtosis</w:t>
      </w:r>
      <w:bookmarkEnd w:id="1"/>
    </w:p>
    <w:p w14:paraId="02A3774C" w14:textId="77777777" w:rsidR="00F84655" w:rsidRPr="00B05597" w:rsidRDefault="00F84655" w:rsidP="00F84655">
      <w:pPr>
        <w:jc w:val="both"/>
        <w:rPr>
          <w:sz w:val="22"/>
          <w:szCs w:val="22"/>
        </w:rPr>
      </w:pPr>
    </w:p>
    <w:p w14:paraId="54244E90" w14:textId="39E31B02" w:rsidR="00F84655" w:rsidRPr="00B05597" w:rsidRDefault="00F84655" w:rsidP="00F84655">
      <w:pPr>
        <w:jc w:val="both"/>
        <w:rPr>
          <w:sz w:val="22"/>
          <w:szCs w:val="22"/>
        </w:rPr>
      </w:pPr>
      <w:r w:rsidRPr="00B05597">
        <w:rPr>
          <w:sz w:val="22"/>
          <w:szCs w:val="22"/>
        </w:rPr>
        <w:t xml:space="preserve">Kurtosis is a measure of whether the data are heavy-tailed or light-tailed relative to a normal distribution. That is, data sets with high kurtosis tend to have heavy tails, or outliers. Data sets with low kurtosis tend to have light tails, or lack of outliers. A uniform distribution would be the extreme case.  </w:t>
      </w:r>
    </w:p>
    <w:p w14:paraId="6D94CB49" w14:textId="11902991" w:rsidR="00F84655" w:rsidRPr="00B05597" w:rsidRDefault="00F84655" w:rsidP="00F84655">
      <w:pPr>
        <w:jc w:val="both"/>
        <w:rPr>
          <w:sz w:val="22"/>
          <w:szCs w:val="22"/>
          <w:shd w:val="clear" w:color="auto" w:fill="FFFFFF"/>
        </w:rPr>
      </w:pPr>
      <w:r w:rsidRPr="00B05597">
        <w:rPr>
          <w:sz w:val="22"/>
          <w:szCs w:val="22"/>
          <w:shd w:val="clear" w:color="auto" w:fill="FFFFFF"/>
        </w:rPr>
        <w:t>When Kurtosis have small values, it shows more concentration, in contrast when the Kurtosis is bigger is more dispersed. Usually the size of positive and negative kurtosis is compared with the normal distribution curve. Positive Kurtosis indicates that the normal distribution curve is more smooth, on the other hand, the negative Kurtosis indicates that the normal distribution is more precipitous.</w:t>
      </w:r>
    </w:p>
    <w:p w14:paraId="00479A26" w14:textId="77777777" w:rsidR="00F84655" w:rsidRPr="00B05597" w:rsidRDefault="00F84655" w:rsidP="00F84655">
      <w:pPr>
        <w:spacing w:after="200" w:line="360" w:lineRule="auto"/>
        <w:ind w:left="720"/>
        <w:contextualSpacing/>
        <w:jc w:val="both"/>
        <w:rPr>
          <w:rFonts w:eastAsia="Calibri"/>
          <w:sz w:val="22"/>
          <w:szCs w:val="22"/>
        </w:rPr>
      </w:pPr>
    </w:p>
    <w:p w14:paraId="55F14333" w14:textId="77777777" w:rsidR="00F84655" w:rsidRPr="00B05597" w:rsidRDefault="00F84655" w:rsidP="00F84655">
      <w:pPr>
        <w:spacing w:after="200" w:line="360" w:lineRule="auto"/>
        <w:ind w:left="720"/>
        <w:contextualSpacing/>
        <w:jc w:val="both"/>
        <w:rPr>
          <w:rFonts w:eastAsia="Calibri"/>
          <w:sz w:val="22"/>
          <w:szCs w:val="22"/>
        </w:rPr>
      </w:pPr>
      <w:r w:rsidRPr="00B05597">
        <w:rPr>
          <w:rFonts w:eastAsia="Calibri"/>
          <w:sz w:val="22"/>
          <w:szCs w:val="22"/>
        </w:rPr>
        <w:t>Formula:</w:t>
      </w:r>
    </w:p>
    <w:p w14:paraId="23ABD97E" w14:textId="77777777" w:rsidR="00F84655" w:rsidRPr="00B05597" w:rsidRDefault="00F84655" w:rsidP="00F84655">
      <w:pPr>
        <w:spacing w:after="200" w:line="360" w:lineRule="auto"/>
        <w:ind w:left="720"/>
        <w:contextualSpacing/>
        <w:jc w:val="both"/>
        <w:rPr>
          <w:sz w:val="22"/>
          <w:szCs w:val="22"/>
        </w:rPr>
      </w:pPr>
      <m:oMathPara>
        <m:oMath>
          <m:r>
            <w:rPr>
              <w:rFonts w:ascii="Cambria Math" w:eastAsia="Calibri" w:hAnsi="Cambria Math"/>
              <w:sz w:val="22"/>
              <w:szCs w:val="22"/>
            </w:rPr>
            <m:t>kurtosis=</m:t>
          </m:r>
          <m:f>
            <m:fPr>
              <m:ctrlPr>
                <w:rPr>
                  <w:rFonts w:ascii="Cambria Math" w:eastAsia="Calibri" w:hAnsi="Cambria Math"/>
                  <w:i/>
                  <w:sz w:val="22"/>
                  <w:szCs w:val="22"/>
                </w:rPr>
              </m:ctrlPr>
            </m:fPr>
            <m:num>
              <m:f>
                <m:fPr>
                  <m:ctrlPr>
                    <w:rPr>
                      <w:rFonts w:ascii="Cambria Math" w:eastAsia="Calibri" w:hAnsi="Cambria Math"/>
                      <w:i/>
                      <w:sz w:val="22"/>
                      <w:szCs w:val="22"/>
                    </w:rPr>
                  </m:ctrlPr>
                </m:fPr>
                <m:num>
                  <m:r>
                    <w:rPr>
                      <w:rFonts w:ascii="Cambria Math" w:eastAsia="Calibri" w:hAnsi="Cambria Math"/>
                      <w:sz w:val="22"/>
                      <w:szCs w:val="22"/>
                    </w:rPr>
                    <m:t>1</m:t>
                  </m:r>
                </m:num>
                <m:den>
                  <m:r>
                    <w:rPr>
                      <w:rFonts w:ascii="Cambria Math" w:eastAsia="Calibri" w:hAnsi="Cambria Math"/>
                      <w:sz w:val="22"/>
                      <w:szCs w:val="22"/>
                    </w:rPr>
                    <m:t>N</m:t>
                  </m:r>
                </m:den>
              </m:f>
              <m:nary>
                <m:naryPr>
                  <m:chr m:val="∑"/>
                  <m:limLoc m:val="undOvr"/>
                  <m:ctrlPr>
                    <w:rPr>
                      <w:rFonts w:ascii="Cambria Math" w:eastAsia="Calibri" w:hAnsi="Cambria Math"/>
                      <w:i/>
                      <w:sz w:val="22"/>
                      <w:szCs w:val="22"/>
                    </w:rPr>
                  </m:ctrlPr>
                </m:naryPr>
                <m:sub>
                  <m:r>
                    <w:rPr>
                      <w:rFonts w:ascii="Cambria Math" w:eastAsia="Calibri" w:hAnsi="Cambria Math"/>
                      <w:sz w:val="22"/>
                      <w:szCs w:val="22"/>
                    </w:rPr>
                    <m:t>i=1</m:t>
                  </m:r>
                </m:sub>
                <m:sup>
                  <m:r>
                    <w:rPr>
                      <w:rFonts w:ascii="Cambria Math" w:eastAsia="Calibri" w:hAnsi="Cambria Math"/>
                      <w:sz w:val="22"/>
                      <w:szCs w:val="22"/>
                    </w:rPr>
                    <m:t>N</m:t>
                  </m:r>
                </m:sup>
                <m:e>
                  <m:sSup>
                    <m:sSupPr>
                      <m:ctrlPr>
                        <w:rPr>
                          <w:rFonts w:ascii="Cambria Math" w:eastAsia="Calibri" w:hAnsi="Cambria Math"/>
                          <w:i/>
                          <w:sz w:val="22"/>
                          <w:szCs w:val="22"/>
                        </w:rPr>
                      </m:ctrlPr>
                    </m:sSupPr>
                    <m:e>
                      <m:r>
                        <w:rPr>
                          <w:rFonts w:ascii="Cambria Math" w:eastAsia="Calibri" w:hAnsi="Cambria Math"/>
                          <w:sz w:val="22"/>
                          <w:szCs w:val="22"/>
                        </w:rPr>
                        <m:t>(X</m:t>
                      </m:r>
                      <m:d>
                        <m:dPr>
                          <m:ctrlPr>
                            <w:rPr>
                              <w:rFonts w:ascii="Cambria Math" w:eastAsia="Calibri" w:hAnsi="Cambria Math"/>
                              <w:i/>
                              <w:sz w:val="22"/>
                              <w:szCs w:val="22"/>
                            </w:rPr>
                          </m:ctrlPr>
                        </m:dPr>
                        <m:e>
                          <m:r>
                            <w:rPr>
                              <w:rFonts w:ascii="Cambria Math" w:eastAsia="Calibri" w:hAnsi="Cambria Math"/>
                              <w:sz w:val="22"/>
                              <w:szCs w:val="22"/>
                            </w:rPr>
                            <m:t>i</m:t>
                          </m:r>
                        </m:e>
                      </m:d>
                      <m:r>
                        <w:rPr>
                          <w:rFonts w:ascii="Cambria Math" w:eastAsia="Calibri" w:hAnsi="Cambria Math"/>
                          <w:sz w:val="22"/>
                          <w:szCs w:val="22"/>
                        </w:rPr>
                        <m:t>-</m:t>
                      </m:r>
                      <m:acc>
                        <m:accPr>
                          <m:chr m:val="̅"/>
                          <m:ctrlPr>
                            <w:rPr>
                              <w:rFonts w:ascii="Cambria Math" w:eastAsia="Calibri" w:hAnsi="Cambria Math"/>
                              <w:i/>
                              <w:sz w:val="22"/>
                              <w:szCs w:val="22"/>
                            </w:rPr>
                          </m:ctrlPr>
                        </m:accPr>
                        <m:e>
                          <m:r>
                            <w:rPr>
                              <w:rFonts w:ascii="Cambria Math" w:eastAsia="Calibri" w:hAnsi="Cambria Math"/>
                              <w:sz w:val="22"/>
                              <w:szCs w:val="22"/>
                            </w:rPr>
                            <m:t>X</m:t>
                          </m:r>
                        </m:e>
                      </m:acc>
                      <m:r>
                        <w:rPr>
                          <w:rFonts w:ascii="Cambria Math" w:eastAsia="Calibri" w:hAnsi="Cambria Math"/>
                          <w:sz w:val="22"/>
                          <w:szCs w:val="22"/>
                        </w:rPr>
                        <m:t>)</m:t>
                      </m:r>
                    </m:e>
                    <m:sup>
                      <m:r>
                        <w:rPr>
                          <w:rFonts w:ascii="Cambria Math" w:eastAsia="Calibri" w:hAnsi="Cambria Math"/>
                          <w:sz w:val="22"/>
                          <w:szCs w:val="22"/>
                        </w:rPr>
                        <m:t>4</m:t>
                      </m:r>
                    </m:sup>
                  </m:sSup>
                </m:e>
              </m:nary>
            </m:num>
            <m:den>
              <m:sSup>
                <m:sSupPr>
                  <m:ctrlPr>
                    <w:rPr>
                      <w:rFonts w:ascii="Cambria Math" w:eastAsia="Calibri" w:hAnsi="Cambria Math"/>
                      <w:i/>
                      <w:sz w:val="22"/>
                      <w:szCs w:val="22"/>
                    </w:rPr>
                  </m:ctrlPr>
                </m:sSupPr>
                <m:e>
                  <m:d>
                    <m:dPr>
                      <m:ctrlPr>
                        <w:rPr>
                          <w:rFonts w:ascii="Cambria Math" w:eastAsia="Calibri" w:hAnsi="Cambria Math"/>
                          <w:i/>
                          <w:sz w:val="22"/>
                          <w:szCs w:val="22"/>
                        </w:rPr>
                      </m:ctrlPr>
                    </m:dPr>
                    <m:e>
                      <m:rad>
                        <m:radPr>
                          <m:degHide m:val="1"/>
                          <m:ctrlPr>
                            <w:rPr>
                              <w:rFonts w:ascii="Cambria Math" w:eastAsia="Calibri" w:hAnsi="Cambria Math"/>
                              <w:i/>
                              <w:sz w:val="22"/>
                              <w:szCs w:val="22"/>
                            </w:rPr>
                          </m:ctrlPr>
                        </m:radPr>
                        <m:deg/>
                        <m:e>
                          <m:f>
                            <m:fPr>
                              <m:ctrlPr>
                                <w:rPr>
                                  <w:rFonts w:ascii="Cambria Math" w:eastAsia="Calibri" w:hAnsi="Cambria Math"/>
                                  <w:i/>
                                  <w:sz w:val="22"/>
                                  <w:szCs w:val="22"/>
                                </w:rPr>
                              </m:ctrlPr>
                            </m:fPr>
                            <m:num>
                              <m:r>
                                <w:rPr>
                                  <w:rFonts w:ascii="Cambria Math" w:eastAsia="Calibri" w:hAnsi="Cambria Math"/>
                                  <w:sz w:val="22"/>
                                  <w:szCs w:val="22"/>
                                </w:rPr>
                                <m:t>1</m:t>
                              </m:r>
                            </m:num>
                            <m:den>
                              <m:r>
                                <w:rPr>
                                  <w:rFonts w:ascii="Cambria Math" w:eastAsia="Calibri" w:hAnsi="Cambria Math"/>
                                  <w:sz w:val="22"/>
                                  <w:szCs w:val="22"/>
                                </w:rPr>
                                <m:t>N</m:t>
                              </m:r>
                            </m:den>
                          </m:f>
                          <m:nary>
                            <m:naryPr>
                              <m:chr m:val="∑"/>
                              <m:limLoc m:val="undOvr"/>
                              <m:ctrlPr>
                                <w:rPr>
                                  <w:rFonts w:ascii="Cambria Math" w:eastAsia="Calibri" w:hAnsi="Cambria Math"/>
                                  <w:i/>
                                  <w:sz w:val="22"/>
                                  <w:szCs w:val="22"/>
                                </w:rPr>
                              </m:ctrlPr>
                            </m:naryPr>
                            <m:sub>
                              <m:r>
                                <w:rPr>
                                  <w:rFonts w:ascii="Cambria Math" w:eastAsia="Calibri" w:hAnsi="Cambria Math"/>
                                  <w:sz w:val="22"/>
                                  <w:szCs w:val="22"/>
                                </w:rPr>
                                <m:t>i=1</m:t>
                              </m:r>
                            </m:sub>
                            <m:sup>
                              <m:r>
                                <w:rPr>
                                  <w:rFonts w:ascii="Cambria Math" w:eastAsia="Calibri" w:hAnsi="Cambria Math"/>
                                  <w:sz w:val="22"/>
                                  <w:szCs w:val="22"/>
                                </w:rPr>
                                <m:t>N</m:t>
                              </m:r>
                            </m:sup>
                            <m:e>
                              <m:sSup>
                                <m:sSupPr>
                                  <m:ctrlPr>
                                    <w:rPr>
                                      <w:rFonts w:ascii="Cambria Math" w:eastAsia="Calibri" w:hAnsi="Cambria Math"/>
                                      <w:i/>
                                      <w:sz w:val="22"/>
                                      <w:szCs w:val="22"/>
                                    </w:rPr>
                                  </m:ctrlPr>
                                </m:sSupPr>
                                <m:e>
                                  <m:d>
                                    <m:dPr>
                                      <m:ctrlPr>
                                        <w:rPr>
                                          <w:rFonts w:ascii="Cambria Math" w:eastAsia="Calibri" w:hAnsi="Cambria Math"/>
                                          <w:i/>
                                          <w:sz w:val="22"/>
                                          <w:szCs w:val="22"/>
                                        </w:rPr>
                                      </m:ctrlPr>
                                    </m:dPr>
                                    <m:e>
                                      <m:r>
                                        <w:rPr>
                                          <w:rFonts w:ascii="Cambria Math" w:eastAsia="Calibri" w:hAnsi="Cambria Math"/>
                                          <w:sz w:val="22"/>
                                          <w:szCs w:val="22"/>
                                        </w:rPr>
                                        <m:t>X</m:t>
                                      </m:r>
                                      <m:d>
                                        <m:dPr>
                                          <m:ctrlPr>
                                            <w:rPr>
                                              <w:rFonts w:ascii="Cambria Math" w:eastAsia="Calibri" w:hAnsi="Cambria Math"/>
                                              <w:i/>
                                              <w:sz w:val="22"/>
                                              <w:szCs w:val="22"/>
                                            </w:rPr>
                                          </m:ctrlPr>
                                        </m:dPr>
                                        <m:e>
                                          <m:r>
                                            <w:rPr>
                                              <w:rFonts w:ascii="Cambria Math" w:eastAsia="Calibri" w:hAnsi="Cambria Math"/>
                                              <w:sz w:val="22"/>
                                              <w:szCs w:val="22"/>
                                            </w:rPr>
                                            <m:t>i</m:t>
                                          </m:r>
                                        </m:e>
                                      </m:d>
                                      <m:r>
                                        <w:rPr>
                                          <w:rFonts w:ascii="Cambria Math" w:eastAsia="Calibri" w:hAnsi="Cambria Math"/>
                                          <w:sz w:val="22"/>
                                          <w:szCs w:val="22"/>
                                        </w:rPr>
                                        <m:t>-</m:t>
                                      </m:r>
                                      <m:acc>
                                        <m:accPr>
                                          <m:chr m:val="̅"/>
                                          <m:ctrlPr>
                                            <w:rPr>
                                              <w:rFonts w:ascii="Cambria Math" w:eastAsia="Calibri" w:hAnsi="Cambria Math"/>
                                              <w:i/>
                                              <w:sz w:val="22"/>
                                              <w:szCs w:val="22"/>
                                            </w:rPr>
                                          </m:ctrlPr>
                                        </m:accPr>
                                        <m:e>
                                          <m:r>
                                            <w:rPr>
                                              <w:rFonts w:ascii="Cambria Math" w:eastAsia="Calibri" w:hAnsi="Cambria Math"/>
                                              <w:sz w:val="22"/>
                                              <w:szCs w:val="22"/>
                                            </w:rPr>
                                            <m:t>X</m:t>
                                          </m:r>
                                        </m:e>
                                      </m:acc>
                                    </m:e>
                                  </m:d>
                                </m:e>
                                <m:sup>
                                  <m:r>
                                    <w:rPr>
                                      <w:rFonts w:ascii="Cambria Math" w:eastAsia="Calibri" w:hAnsi="Cambria Math"/>
                                      <w:sz w:val="22"/>
                                      <w:szCs w:val="22"/>
                                    </w:rPr>
                                    <m:t>2</m:t>
                                  </m:r>
                                </m:sup>
                              </m:sSup>
                            </m:e>
                          </m:nary>
                        </m:e>
                      </m:rad>
                    </m:e>
                  </m:d>
                </m:e>
                <m:sup>
                  <m:r>
                    <w:rPr>
                      <w:rFonts w:ascii="Cambria Math" w:eastAsia="Calibri" w:hAnsi="Cambria Math"/>
                      <w:sz w:val="22"/>
                      <w:szCs w:val="22"/>
                    </w:rPr>
                    <m:t>2</m:t>
                  </m:r>
                </m:sup>
              </m:sSup>
            </m:den>
          </m:f>
          <m:r>
            <m:rPr>
              <m:sty m:val="p"/>
            </m:rPr>
            <w:rPr>
              <w:rFonts w:ascii="Cambria Math" w:hAnsi="Cambria Math"/>
              <w:sz w:val="22"/>
              <w:szCs w:val="22"/>
            </w:rPr>
            <w:br/>
          </m:r>
        </m:oMath>
      </m:oMathPara>
      <w:r w:rsidRPr="00B05597">
        <w:rPr>
          <w:sz w:val="22"/>
          <w:szCs w:val="22"/>
        </w:rPr>
        <w:t xml:space="preserve">where </w:t>
      </w:r>
      <m:oMath>
        <m:acc>
          <m:accPr>
            <m:chr m:val="̅"/>
            <m:ctrlPr>
              <w:rPr>
                <w:rFonts w:ascii="Cambria Math" w:hAnsi="Cambria Math"/>
                <w:i/>
                <w:sz w:val="22"/>
                <w:szCs w:val="22"/>
              </w:rPr>
            </m:ctrlPr>
          </m:accPr>
          <m:e>
            <m:r>
              <w:rPr>
                <w:rFonts w:ascii="Cambria Math" w:hAnsi="Cambria Math"/>
                <w:sz w:val="22"/>
                <w:szCs w:val="22"/>
              </w:rPr>
              <m:t>X</m:t>
            </m:r>
          </m:e>
        </m:acc>
      </m:oMath>
      <w:r w:rsidRPr="00B05597">
        <w:rPr>
          <w:sz w:val="22"/>
          <w:szCs w:val="22"/>
        </w:rPr>
        <w:t xml:space="preserve"> is the mean of </w:t>
      </w:r>
      <m:oMath>
        <m:r>
          <w:rPr>
            <w:rFonts w:ascii="Cambria Math" w:hAnsi="Cambria Math"/>
            <w:sz w:val="22"/>
            <w:szCs w:val="22"/>
          </w:rPr>
          <m:t>X</m:t>
        </m:r>
      </m:oMath>
      <w:r w:rsidRPr="00B05597">
        <w:rPr>
          <w:sz w:val="22"/>
          <w:szCs w:val="22"/>
        </w:rPr>
        <w:t>.</w:t>
      </w:r>
    </w:p>
    <w:p w14:paraId="69D335E1" w14:textId="5932B518" w:rsidR="00AE61E9" w:rsidRPr="00216CF3" w:rsidRDefault="00AE61E9" w:rsidP="00216CF3">
      <w:pPr>
        <w:pStyle w:val="1"/>
        <w:numPr>
          <w:ilvl w:val="0"/>
          <w:numId w:val="1"/>
        </w:numPr>
        <w:ind w:left="360"/>
        <w:rPr>
          <w:rFonts w:ascii="Times New Roman" w:hAnsi="Times New Roman" w:cs="Times New Roman"/>
          <w:b/>
          <w:bCs/>
          <w:color w:val="auto"/>
          <w:sz w:val="22"/>
          <w:szCs w:val="22"/>
        </w:rPr>
      </w:pPr>
      <w:bookmarkStart w:id="3" w:name="_Toc475270161"/>
      <w:bookmarkStart w:id="4" w:name="_Toc475270166"/>
      <w:bookmarkStart w:id="5" w:name="_Toc460253024"/>
      <w:bookmarkStart w:id="6" w:name="_Toc460257382"/>
      <w:bookmarkStart w:id="7" w:name="_Toc460257486"/>
      <w:bookmarkStart w:id="8" w:name="_Toc460258005"/>
      <w:r w:rsidRPr="00216CF3">
        <w:rPr>
          <w:rFonts w:ascii="Times New Roman" w:hAnsi="Times New Roman" w:cs="Times New Roman"/>
          <w:b/>
          <w:bCs/>
          <w:color w:val="auto"/>
          <w:sz w:val="22"/>
          <w:szCs w:val="22"/>
        </w:rPr>
        <w:t>GLCM Parameters</w:t>
      </w:r>
      <w:bookmarkEnd w:id="3"/>
    </w:p>
    <w:p w14:paraId="66C6EB14" w14:textId="77777777" w:rsidR="00AE61E9" w:rsidRPr="00412BC0" w:rsidRDefault="00AE61E9" w:rsidP="00AE61E9">
      <w:pPr>
        <w:rPr>
          <w:sz w:val="22"/>
          <w:szCs w:val="22"/>
        </w:rPr>
      </w:pPr>
    </w:p>
    <w:p w14:paraId="78353F25" w14:textId="77777777" w:rsidR="00AE61E9" w:rsidRPr="00412BC0" w:rsidRDefault="00AE61E9" w:rsidP="00216CF3">
      <w:pPr>
        <w:jc w:val="both"/>
        <w:rPr>
          <w:sz w:val="22"/>
          <w:szCs w:val="22"/>
        </w:rPr>
      </w:pPr>
      <w:r w:rsidRPr="00412BC0">
        <w:rPr>
          <w:sz w:val="22"/>
          <w:szCs w:val="22"/>
        </w:rPr>
        <w:t xml:space="preserve">The Grey level co-occurrence matrix (GLCM) </w:t>
      </w:r>
      <m:oMath>
        <m:r>
          <m:rPr>
            <m:sty m:val="b"/>
          </m:rPr>
          <w:rPr>
            <w:rFonts w:ascii="Cambria Math" w:hAnsi="Cambria Math"/>
            <w:sz w:val="22"/>
            <w:szCs w:val="22"/>
          </w:rPr>
          <m:t>P (i, j|θ, d)</m:t>
        </m:r>
      </m:oMath>
      <w:r w:rsidRPr="00412BC0">
        <w:rPr>
          <w:sz w:val="22"/>
          <w:szCs w:val="22"/>
        </w:rPr>
        <w:t xml:space="preserve"> represents the joint probability of certain sets of pixels having certain grey-level values. It calculates how many times a pixel with grey-level </w:t>
      </w:r>
      <w:r w:rsidRPr="00412BC0">
        <w:rPr>
          <w:b/>
          <w:sz w:val="22"/>
          <w:szCs w:val="22"/>
        </w:rPr>
        <w:t xml:space="preserve">i </w:t>
      </w:r>
      <w:r w:rsidRPr="00412BC0">
        <w:rPr>
          <w:sz w:val="22"/>
          <w:szCs w:val="22"/>
        </w:rPr>
        <w:t xml:space="preserve">occurs jointly with another pixel having a grey value </w:t>
      </w:r>
      <w:r w:rsidRPr="00412BC0">
        <w:rPr>
          <w:b/>
          <w:sz w:val="22"/>
          <w:szCs w:val="22"/>
        </w:rPr>
        <w:t>j</w:t>
      </w:r>
      <w:r w:rsidRPr="00412BC0">
        <w:rPr>
          <w:sz w:val="22"/>
          <w:szCs w:val="22"/>
        </w:rPr>
        <w:t xml:space="preserve">. By varying the displacement vector </w:t>
      </w:r>
      <w:r w:rsidRPr="00412BC0">
        <w:rPr>
          <w:b/>
          <w:sz w:val="22"/>
          <w:szCs w:val="22"/>
        </w:rPr>
        <w:t>d</w:t>
      </w:r>
      <w:r w:rsidRPr="00412BC0">
        <w:rPr>
          <w:sz w:val="22"/>
          <w:szCs w:val="22"/>
        </w:rPr>
        <w:t xml:space="preserve"> between each pair of pixels. </w:t>
      </w:r>
    </w:p>
    <w:p w14:paraId="2DC46953" w14:textId="77777777" w:rsidR="00AE61E9" w:rsidRPr="00412BC0" w:rsidRDefault="00AE61E9" w:rsidP="00216CF3">
      <w:pPr>
        <w:jc w:val="both"/>
        <w:rPr>
          <w:sz w:val="22"/>
          <w:szCs w:val="22"/>
        </w:rPr>
      </w:pPr>
    </w:p>
    <w:p w14:paraId="63096ACB" w14:textId="77777777" w:rsidR="00AE61E9" w:rsidRPr="00412BC0" w:rsidRDefault="00AE61E9" w:rsidP="00216CF3">
      <w:pPr>
        <w:jc w:val="both"/>
        <w:rPr>
          <w:sz w:val="22"/>
          <w:szCs w:val="22"/>
        </w:rPr>
      </w:pPr>
      <w:r w:rsidRPr="00412BC0">
        <w:rPr>
          <w:sz w:val="22"/>
          <w:szCs w:val="22"/>
        </w:rPr>
        <w:t>The advantage of the co-occurrence matrix calculations is that the co-occurring pairs of pixels can be spatially related in various orientations with reference to distance and angular spatial relationships, as on considering the relationship between two pixels at a time. As a result, the combination of grey levels and their positions are exhibited apparently. Therefore, it is defined as “A two dimensional histogram of gray levels for pair of pixels, which are separated by a fixed spatial relationship”. However, the matrix is sensitive to rotation. With the change of different offsets define pixel relationships by varying directions.</w:t>
      </w:r>
    </w:p>
    <w:p w14:paraId="7B52DF2F" w14:textId="77777777" w:rsidR="00AE61E9" w:rsidRPr="00412BC0" w:rsidRDefault="00AE61E9" w:rsidP="00216CF3">
      <w:pPr>
        <w:pStyle w:val="a4"/>
        <w:jc w:val="both"/>
        <w:rPr>
          <w:sz w:val="22"/>
          <w:szCs w:val="22"/>
        </w:rPr>
      </w:pPr>
      <w:r w:rsidRPr="00412BC0">
        <w:rPr>
          <w:sz w:val="22"/>
          <w:szCs w:val="22"/>
        </w:rPr>
        <w:t xml:space="preserve">The rotation angle of an offset: </w:t>
      </w:r>
      <m:oMath>
        <m:r>
          <w:rPr>
            <w:rFonts w:ascii="Cambria Math" w:hAnsi="Cambria Math"/>
            <w:sz w:val="22"/>
            <w:szCs w:val="22"/>
          </w:rPr>
          <m:t xml:space="preserve">0°,45°,90°,135° </m:t>
        </m:r>
      </m:oMath>
      <w:r w:rsidRPr="00412BC0">
        <w:rPr>
          <w:sz w:val="22"/>
          <w:szCs w:val="22"/>
        </w:rPr>
        <w:t xml:space="preserve">and displacement vectors (distance to the neighbor pixel: 1, 2, 3 ...), different co-occurrence distributions from the same image of reference. GLCM of an image is computed using displacement vector d defined by its radius, (distance or count to the next adjacent neighbor preferably is equal to one) and rotational angles. </w:t>
      </w:r>
    </w:p>
    <w:p w14:paraId="27830E95" w14:textId="77777777" w:rsidR="00AE61E9" w:rsidRPr="00412BC0" w:rsidRDefault="00AE61E9" w:rsidP="00AE61E9">
      <w:pPr>
        <w:pStyle w:val="2"/>
        <w:jc w:val="both"/>
        <w:rPr>
          <w:rFonts w:ascii="Times New Roman" w:hAnsi="Times New Roman" w:cs="Times New Roman"/>
          <w:color w:val="auto"/>
          <w:sz w:val="22"/>
          <w:szCs w:val="22"/>
        </w:rPr>
      </w:pPr>
    </w:p>
    <w:p w14:paraId="1E96BBA0" w14:textId="708B3527" w:rsidR="00F84655" w:rsidRPr="00216CF3" w:rsidRDefault="00F84655" w:rsidP="00F84655">
      <w:pPr>
        <w:pStyle w:val="2"/>
        <w:numPr>
          <w:ilvl w:val="1"/>
          <w:numId w:val="1"/>
        </w:numPr>
        <w:jc w:val="both"/>
        <w:rPr>
          <w:rFonts w:ascii="Times New Roman" w:hAnsi="Times New Roman" w:cs="Times New Roman"/>
          <w:b/>
          <w:bCs/>
          <w:color w:val="auto"/>
          <w:sz w:val="22"/>
          <w:szCs w:val="22"/>
        </w:rPr>
      </w:pPr>
      <w:r w:rsidRPr="00216CF3">
        <w:rPr>
          <w:rFonts w:ascii="Times New Roman" w:hAnsi="Times New Roman" w:cs="Times New Roman"/>
          <w:b/>
          <w:bCs/>
          <w:color w:val="auto"/>
          <w:sz w:val="22"/>
          <w:szCs w:val="22"/>
        </w:rPr>
        <w:t>Correlation</w:t>
      </w:r>
      <w:bookmarkEnd w:id="4"/>
    </w:p>
    <w:p w14:paraId="17A8B45B" w14:textId="77777777" w:rsidR="00F84655" w:rsidRPr="00412BC0" w:rsidRDefault="00F84655" w:rsidP="00F84655">
      <w:pPr>
        <w:widowControl w:val="0"/>
        <w:autoSpaceDE w:val="0"/>
        <w:autoSpaceDN w:val="0"/>
        <w:adjustRightInd w:val="0"/>
        <w:jc w:val="both"/>
        <w:rPr>
          <w:rFonts w:eastAsia="Heiti SC"/>
          <w:sz w:val="22"/>
          <w:szCs w:val="22"/>
        </w:rPr>
      </w:pPr>
    </w:p>
    <w:p w14:paraId="3E1BC89F" w14:textId="77777777" w:rsidR="00F84655" w:rsidRPr="00412BC0" w:rsidRDefault="00F84655" w:rsidP="00F84655">
      <w:pPr>
        <w:widowControl w:val="0"/>
        <w:autoSpaceDE w:val="0"/>
        <w:autoSpaceDN w:val="0"/>
        <w:adjustRightInd w:val="0"/>
        <w:jc w:val="both"/>
        <w:rPr>
          <w:rFonts w:eastAsia="Heiti SC"/>
          <w:sz w:val="22"/>
          <w:szCs w:val="22"/>
        </w:rPr>
      </w:pPr>
      <w:r w:rsidRPr="00412BC0">
        <w:rPr>
          <w:rFonts w:eastAsia="Heiti SC"/>
          <w:sz w:val="22"/>
          <w:szCs w:val="22"/>
        </w:rPr>
        <w:t xml:space="preserve">Image-based Correlation measures the similarity of the grey levels in neighboring pixels, tells how correlated a pixel is to its neighbor over the whole image.  </w:t>
      </w:r>
    </w:p>
    <w:p w14:paraId="4AEC5321" w14:textId="77777777" w:rsidR="00F84655" w:rsidRPr="00412BC0" w:rsidRDefault="00F84655" w:rsidP="00F84655">
      <w:pPr>
        <w:widowControl w:val="0"/>
        <w:autoSpaceDE w:val="0"/>
        <w:autoSpaceDN w:val="0"/>
        <w:adjustRightInd w:val="0"/>
        <w:jc w:val="both"/>
        <w:rPr>
          <w:rFonts w:eastAsia="Heiti SC"/>
          <w:sz w:val="22"/>
          <w:szCs w:val="22"/>
        </w:rPr>
      </w:pPr>
      <w:r w:rsidRPr="00412BC0">
        <w:rPr>
          <w:rFonts w:eastAsia="Heiti SC"/>
          <w:sz w:val="22"/>
          <w:szCs w:val="22"/>
        </w:rPr>
        <w:t xml:space="preserve">Range = [-1 1]. Correlation is 1 or -1 for a perfectly positively or negatively correlated image. </w:t>
      </w:r>
    </w:p>
    <w:p w14:paraId="673DEAE2" w14:textId="77777777" w:rsidR="00F84655" w:rsidRPr="00412BC0" w:rsidRDefault="00F84655" w:rsidP="00F84655">
      <w:pPr>
        <w:jc w:val="both"/>
        <w:rPr>
          <w:sz w:val="22"/>
          <w:szCs w:val="22"/>
        </w:rPr>
      </w:pPr>
    </w:p>
    <w:p w14:paraId="4D68CE65" w14:textId="77777777" w:rsidR="00F84655" w:rsidRPr="00412BC0" w:rsidRDefault="00F84655" w:rsidP="00F84655">
      <w:pPr>
        <w:jc w:val="both"/>
        <w:rPr>
          <w:b/>
          <w:sz w:val="22"/>
          <w:szCs w:val="22"/>
        </w:rPr>
      </w:pPr>
      <w:r w:rsidRPr="00412BC0">
        <w:rPr>
          <w:sz w:val="22"/>
          <w:szCs w:val="22"/>
        </w:rPr>
        <w:t>(</w:t>
      </w:r>
      <w:r w:rsidRPr="00412BC0">
        <w:rPr>
          <w:b/>
          <w:sz w:val="22"/>
          <w:szCs w:val="22"/>
        </w:rPr>
        <w:t>Correlation_AllDirection_offset1, Correlation _AllDirection_offset1_SD,</w:t>
      </w:r>
    </w:p>
    <w:p w14:paraId="48C2E0EB" w14:textId="77777777" w:rsidR="00F84655" w:rsidRPr="00412BC0" w:rsidRDefault="00F84655" w:rsidP="00F84655">
      <w:pPr>
        <w:jc w:val="both"/>
        <w:rPr>
          <w:b/>
          <w:sz w:val="22"/>
          <w:szCs w:val="22"/>
        </w:rPr>
      </w:pPr>
      <w:r w:rsidRPr="00412BC0">
        <w:rPr>
          <w:b/>
          <w:sz w:val="22"/>
          <w:szCs w:val="22"/>
        </w:rPr>
        <w:t xml:space="preserve"> Correlation _angle0_offset1, Correlation _angle45_offset1, </w:t>
      </w:r>
    </w:p>
    <w:p w14:paraId="773B643F" w14:textId="77777777" w:rsidR="00F84655" w:rsidRPr="00412BC0" w:rsidRDefault="00F84655" w:rsidP="00F84655">
      <w:pPr>
        <w:jc w:val="both"/>
        <w:rPr>
          <w:b/>
          <w:sz w:val="22"/>
          <w:szCs w:val="22"/>
        </w:rPr>
      </w:pPr>
      <w:r w:rsidRPr="00412BC0">
        <w:rPr>
          <w:b/>
          <w:sz w:val="22"/>
          <w:szCs w:val="22"/>
        </w:rPr>
        <w:t xml:space="preserve">Correlation _angle90_offset1, Correlation _angle135_offset1, </w:t>
      </w:r>
    </w:p>
    <w:p w14:paraId="3C81ACAA" w14:textId="77777777" w:rsidR="00F84655" w:rsidRPr="00412BC0" w:rsidRDefault="00F84655" w:rsidP="00F84655">
      <w:pPr>
        <w:jc w:val="both"/>
        <w:rPr>
          <w:b/>
          <w:sz w:val="22"/>
          <w:szCs w:val="22"/>
        </w:rPr>
      </w:pPr>
      <w:r w:rsidRPr="00412BC0">
        <w:rPr>
          <w:b/>
          <w:sz w:val="22"/>
          <w:szCs w:val="22"/>
        </w:rPr>
        <w:t xml:space="preserve">Correlation _AllDirection_offset4, Correlation _AllDirection_offset4_SD, </w:t>
      </w:r>
    </w:p>
    <w:p w14:paraId="55C9BF43" w14:textId="77777777" w:rsidR="00F84655" w:rsidRPr="00412BC0" w:rsidRDefault="00F84655" w:rsidP="00F84655">
      <w:pPr>
        <w:jc w:val="both"/>
        <w:rPr>
          <w:b/>
          <w:sz w:val="22"/>
          <w:szCs w:val="22"/>
        </w:rPr>
      </w:pPr>
      <w:r w:rsidRPr="00412BC0">
        <w:rPr>
          <w:b/>
          <w:sz w:val="22"/>
          <w:szCs w:val="22"/>
        </w:rPr>
        <w:t xml:space="preserve">Correlation _angle0_offset4, Correlation _angle45_offset4, </w:t>
      </w:r>
    </w:p>
    <w:p w14:paraId="37BB4E73" w14:textId="77777777" w:rsidR="00F84655" w:rsidRPr="00412BC0" w:rsidRDefault="00F84655" w:rsidP="00F84655">
      <w:pPr>
        <w:jc w:val="both"/>
        <w:rPr>
          <w:b/>
          <w:sz w:val="22"/>
          <w:szCs w:val="22"/>
        </w:rPr>
      </w:pPr>
      <w:r w:rsidRPr="00412BC0">
        <w:rPr>
          <w:b/>
          <w:sz w:val="22"/>
          <w:szCs w:val="22"/>
        </w:rPr>
        <w:t>Correlation _angle90_offset4, Correlation _angle135_offset4,</w:t>
      </w:r>
    </w:p>
    <w:p w14:paraId="27BD54D7" w14:textId="77777777" w:rsidR="00F84655" w:rsidRPr="00412BC0" w:rsidRDefault="00F84655" w:rsidP="00F84655">
      <w:pPr>
        <w:jc w:val="both"/>
        <w:rPr>
          <w:b/>
          <w:sz w:val="22"/>
          <w:szCs w:val="22"/>
        </w:rPr>
      </w:pPr>
      <w:r w:rsidRPr="00412BC0">
        <w:rPr>
          <w:b/>
          <w:sz w:val="22"/>
          <w:szCs w:val="22"/>
        </w:rPr>
        <w:t xml:space="preserve">Correlation _AllDirection_offset7, Correlation _AllDirection_offset7_SD, </w:t>
      </w:r>
    </w:p>
    <w:p w14:paraId="256C8563" w14:textId="77777777" w:rsidR="00F84655" w:rsidRPr="00412BC0" w:rsidRDefault="00F84655" w:rsidP="00F84655">
      <w:pPr>
        <w:jc w:val="both"/>
        <w:rPr>
          <w:b/>
          <w:sz w:val="22"/>
          <w:szCs w:val="22"/>
        </w:rPr>
      </w:pPr>
      <w:r w:rsidRPr="00412BC0">
        <w:rPr>
          <w:b/>
          <w:sz w:val="22"/>
          <w:szCs w:val="22"/>
        </w:rPr>
        <w:t xml:space="preserve">Correlation _angle0_offset7, Correlation _angle45_offset7, </w:t>
      </w:r>
    </w:p>
    <w:p w14:paraId="4F45F32B" w14:textId="77777777" w:rsidR="00F84655" w:rsidRPr="00412BC0" w:rsidRDefault="00F84655" w:rsidP="00F84655">
      <w:pPr>
        <w:jc w:val="both"/>
        <w:rPr>
          <w:b/>
          <w:sz w:val="22"/>
          <w:szCs w:val="22"/>
        </w:rPr>
      </w:pPr>
      <w:r w:rsidRPr="00412BC0">
        <w:rPr>
          <w:b/>
          <w:sz w:val="22"/>
          <w:szCs w:val="22"/>
        </w:rPr>
        <w:t>Correlation _angle90_offset7, Correlation _angle135_offset7)</w:t>
      </w:r>
    </w:p>
    <w:p w14:paraId="498E880B" w14:textId="77777777" w:rsidR="00F84655" w:rsidRPr="00412BC0" w:rsidRDefault="00F84655" w:rsidP="00F84655">
      <w:pPr>
        <w:jc w:val="both"/>
        <w:rPr>
          <w:sz w:val="22"/>
          <w:szCs w:val="22"/>
        </w:rPr>
      </w:pPr>
    </w:p>
    <w:p w14:paraId="7C05FC83" w14:textId="77777777" w:rsidR="00F84655" w:rsidRPr="00412BC0" w:rsidRDefault="00F84655" w:rsidP="00F84655">
      <w:pPr>
        <w:jc w:val="both"/>
        <w:rPr>
          <w:sz w:val="22"/>
          <w:szCs w:val="22"/>
        </w:rPr>
      </w:pPr>
    </w:p>
    <w:p w14:paraId="0CB52AB9" w14:textId="77777777" w:rsidR="00F84655" w:rsidRPr="00412BC0" w:rsidRDefault="00F84655" w:rsidP="00F84655">
      <w:pPr>
        <w:jc w:val="both"/>
        <w:rPr>
          <w:sz w:val="22"/>
          <w:szCs w:val="22"/>
        </w:rPr>
      </w:pPr>
    </w:p>
    <w:bookmarkEnd w:id="5"/>
    <w:bookmarkEnd w:id="6"/>
    <w:bookmarkEnd w:id="7"/>
    <w:bookmarkEnd w:id="8"/>
    <w:p w14:paraId="1D34BBDF" w14:textId="77777777" w:rsidR="00F84655" w:rsidRPr="00412BC0" w:rsidRDefault="00F84655" w:rsidP="00216CF3">
      <w:pPr>
        <w:ind w:left="720" w:firstLine="720"/>
        <w:jc w:val="both"/>
        <w:rPr>
          <w:sz w:val="22"/>
          <w:szCs w:val="22"/>
        </w:rPr>
      </w:pPr>
      <w:r w:rsidRPr="00412BC0">
        <w:rPr>
          <w:sz w:val="22"/>
          <w:szCs w:val="22"/>
        </w:rPr>
        <w:t>Formula</w:t>
      </w:r>
    </w:p>
    <w:p w14:paraId="0B182A7D" w14:textId="6F4BC47F" w:rsidR="00F84655" w:rsidRDefault="00F84655" w:rsidP="00216CF3">
      <w:pPr>
        <w:jc w:val="center"/>
        <w:rPr>
          <w:sz w:val="22"/>
          <w:szCs w:val="22"/>
        </w:rPr>
      </w:pPr>
      <w:r w:rsidRPr="00412BC0">
        <w:rPr>
          <w:position w:val="-30"/>
          <w:sz w:val="22"/>
          <w:szCs w:val="22"/>
        </w:rPr>
        <w:object w:dxaOrig="2439" w:dyaOrig="680" w14:anchorId="3771AA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4pt;height:33.6pt" o:ole="">
            <v:imagedata r:id="rId7" o:title=""/>
          </v:shape>
          <o:OLEObject Type="Embed" ProgID="Equation.DSMT4" ShapeID="_x0000_i1025" DrawAspect="Content" ObjectID="_1661463591" r:id="rId8"/>
        </w:object>
      </w:r>
    </w:p>
    <w:p w14:paraId="48BE3A3E" w14:textId="4E1908FB" w:rsidR="00767A53" w:rsidRPr="00767A53" w:rsidRDefault="00F70C12" w:rsidP="00216CF3">
      <w:pPr>
        <w:ind w:left="720" w:firstLine="720"/>
      </w:pPr>
      <w:r>
        <w:t>*</w:t>
      </w:r>
      <w:r w:rsidR="00767A53" w:rsidRPr="002846B7">
        <w:t>g is a GLCM</w:t>
      </w:r>
      <w:r w:rsidR="00767A53">
        <w:t>, w</w:t>
      </w:r>
      <w:r w:rsidR="00767A53" w:rsidRPr="002846B7">
        <w:t>here i,j are the spatial coordinates of g (i,j).</w:t>
      </w:r>
    </w:p>
    <w:p w14:paraId="3922B409" w14:textId="77777777" w:rsidR="00F84655" w:rsidRPr="00412BC0" w:rsidRDefault="00F84655" w:rsidP="00F84655">
      <w:pPr>
        <w:jc w:val="both"/>
        <w:rPr>
          <w:sz w:val="22"/>
          <w:szCs w:val="22"/>
        </w:rPr>
      </w:pPr>
    </w:p>
    <w:p w14:paraId="0A55B6B4" w14:textId="0126054A" w:rsidR="00AE61E9" w:rsidRPr="00216CF3" w:rsidRDefault="00AE61E9" w:rsidP="00216CF3">
      <w:pPr>
        <w:pStyle w:val="3"/>
        <w:widowControl w:val="0"/>
        <w:numPr>
          <w:ilvl w:val="0"/>
          <w:numId w:val="1"/>
        </w:numPr>
        <w:spacing w:before="260" w:after="260" w:line="415" w:lineRule="auto"/>
        <w:ind w:left="360"/>
        <w:jc w:val="both"/>
        <w:rPr>
          <w:rFonts w:ascii="Times New Roman" w:hAnsi="Times New Roman"/>
          <w:b/>
          <w:bCs/>
          <w:color w:val="auto"/>
          <w:sz w:val="22"/>
          <w:szCs w:val="22"/>
        </w:rPr>
      </w:pPr>
      <w:bookmarkStart w:id="9" w:name="_Toc475270169"/>
      <w:bookmarkStart w:id="10" w:name="_Toc475268482"/>
      <w:bookmarkStart w:id="11" w:name="_Toc475270171"/>
      <w:r w:rsidRPr="00216CF3">
        <w:rPr>
          <w:rFonts w:ascii="Times New Roman" w:hAnsi="Times New Roman" w:cs="Times New Roman"/>
          <w:b/>
          <w:bCs/>
          <w:color w:val="auto"/>
          <w:sz w:val="22"/>
          <w:szCs w:val="22"/>
        </w:rPr>
        <w:t>Haralick features</w:t>
      </w:r>
      <w:bookmarkEnd w:id="9"/>
      <w:r w:rsidRPr="00216CF3">
        <w:rPr>
          <w:rFonts w:ascii="Times New Roman" w:hAnsi="Times New Roman" w:cs="Times New Roman"/>
          <w:b/>
          <w:bCs/>
          <w:color w:val="auto"/>
          <w:sz w:val="22"/>
          <w:szCs w:val="22"/>
        </w:rPr>
        <w:t xml:space="preserve"> </w:t>
      </w:r>
    </w:p>
    <w:p w14:paraId="03425544" w14:textId="78CD2B11" w:rsidR="006A250D" w:rsidRDefault="00C405A1" w:rsidP="00AE61E9">
      <w:pPr>
        <w:rPr>
          <w:rFonts w:eastAsiaTheme="majorEastAsia"/>
          <w:sz w:val="22"/>
          <w:szCs w:val="22"/>
        </w:rPr>
      </w:pPr>
      <m:oMath>
        <m:sSub>
          <m:sSubPr>
            <m:ctrlPr>
              <w:rPr>
                <w:rFonts w:ascii="Cambria Math" w:hAnsi="Cambria Math"/>
                <w:b/>
                <w:i/>
                <w:sz w:val="22"/>
                <w:szCs w:val="22"/>
              </w:rPr>
            </m:ctrlPr>
          </m:sSubPr>
          <m:e>
            <m:r>
              <m:rPr>
                <m:sty m:val="bi"/>
              </m:rPr>
              <w:rPr>
                <w:rFonts w:ascii="Cambria Math" w:hAnsi="Cambria Math"/>
                <w:sz w:val="22"/>
                <w:szCs w:val="22"/>
              </w:rPr>
              <m:t>P</m:t>
            </m:r>
          </m:e>
          <m:sub>
            <m:r>
              <m:rPr>
                <m:sty m:val="bi"/>
              </m:rPr>
              <w:rPr>
                <w:rFonts w:ascii="Cambria Math" w:hAnsi="Cambria Math"/>
                <w:sz w:val="22"/>
                <w:szCs w:val="22"/>
              </w:rPr>
              <m:t>ij</m:t>
            </m:r>
          </m:sub>
        </m:sSub>
        <m:r>
          <m:rPr>
            <m:sty m:val="bi"/>
          </m:rPr>
          <w:rPr>
            <w:rFonts w:ascii="Cambria Math" w:hAnsi="Cambria Math"/>
            <w:sz w:val="22"/>
            <w:szCs w:val="22"/>
          </w:rPr>
          <m:t>=P(i,j)</m:t>
        </m:r>
      </m:oMath>
      <w:r w:rsidR="006A250D">
        <w:rPr>
          <w:b/>
          <w:sz w:val="22"/>
          <w:szCs w:val="22"/>
        </w:rPr>
        <w:t xml:space="preserve"> </w:t>
      </w:r>
      <w:r w:rsidR="006A250D" w:rsidRPr="006A250D">
        <w:rPr>
          <w:rFonts w:eastAsiaTheme="majorEastAsia"/>
          <w:sz w:val="22"/>
          <w:szCs w:val="22"/>
        </w:rPr>
        <w:t>Matrix of relative</w:t>
      </w:r>
      <w:r w:rsidR="006A250D">
        <w:rPr>
          <w:rFonts w:eastAsiaTheme="majorEastAsia"/>
          <w:sz w:val="22"/>
          <w:szCs w:val="22"/>
        </w:rPr>
        <w:t xml:space="preserve"> frequencies with which two neighboring resolution cells separated by distance d occur on the image.</w:t>
      </w:r>
    </w:p>
    <w:p w14:paraId="71FA2D40" w14:textId="77777777" w:rsidR="006B2CFC" w:rsidRDefault="006B2CFC" w:rsidP="00AE61E9">
      <w:pPr>
        <w:rPr>
          <w:b/>
          <w:sz w:val="22"/>
          <w:szCs w:val="22"/>
        </w:rPr>
      </w:pPr>
    </w:p>
    <w:p w14:paraId="65B100D7" w14:textId="25A6D6AE" w:rsidR="006A250D" w:rsidRDefault="00C405A1" w:rsidP="006A250D">
      <w:pPr>
        <w:rPr>
          <w:rFonts w:eastAsiaTheme="majorEastAsia"/>
          <w:sz w:val="22"/>
          <w:szCs w:val="22"/>
        </w:rPr>
      </w:pPr>
      <m:oMath>
        <m:sSub>
          <m:sSubPr>
            <m:ctrlPr>
              <w:rPr>
                <w:rFonts w:ascii="Cambria Math" w:hAnsi="Cambria Math"/>
                <w:b/>
                <w:i/>
                <w:sz w:val="22"/>
                <w:szCs w:val="22"/>
              </w:rPr>
            </m:ctrlPr>
          </m:sSubPr>
          <m:e>
            <m:r>
              <m:rPr>
                <m:sty m:val="bi"/>
              </m:rPr>
              <w:rPr>
                <w:rFonts w:ascii="Cambria Math" w:hAnsi="Cambria Math"/>
                <w:sz w:val="22"/>
                <w:szCs w:val="22"/>
              </w:rPr>
              <m:t>p</m:t>
            </m:r>
          </m:e>
          <m:sub>
            <m:r>
              <m:rPr>
                <m:sty m:val="bi"/>
              </m:rPr>
              <w:rPr>
                <w:rFonts w:ascii="Cambria Math" w:hAnsi="Cambria Math"/>
                <w:sz w:val="22"/>
                <w:szCs w:val="22"/>
              </w:rPr>
              <m:t>ij</m:t>
            </m:r>
          </m:sub>
        </m:sSub>
        <m:r>
          <m:rPr>
            <m:sty m:val="bi"/>
          </m:rPr>
          <w:rPr>
            <w:rFonts w:ascii="Cambria Math" w:hAnsi="Cambria Math"/>
            <w:sz w:val="22"/>
            <w:szCs w:val="22"/>
          </w:rPr>
          <m:t>=P(i,j)/R</m:t>
        </m:r>
      </m:oMath>
      <w:r w:rsidR="006A250D">
        <w:rPr>
          <w:rFonts w:eastAsiaTheme="majorEastAsia"/>
          <w:sz w:val="22"/>
          <w:szCs w:val="22"/>
        </w:rPr>
        <w:t xml:space="preserve"> co-occurrence probability matrix</w:t>
      </w:r>
    </w:p>
    <w:p w14:paraId="0C869061" w14:textId="77777777" w:rsidR="006B2CFC" w:rsidRPr="006A250D" w:rsidRDefault="006B2CFC" w:rsidP="006A250D">
      <w:pPr>
        <w:rPr>
          <w:b/>
          <w:sz w:val="22"/>
          <w:szCs w:val="22"/>
        </w:rPr>
      </w:pPr>
    </w:p>
    <w:p w14:paraId="63E2E390" w14:textId="406A33BC" w:rsidR="006A250D" w:rsidRPr="006A250D" w:rsidRDefault="006A250D" w:rsidP="00AE61E9">
      <w:pPr>
        <w:rPr>
          <w:rFonts w:eastAsiaTheme="majorEastAsia"/>
          <w:sz w:val="22"/>
          <w:szCs w:val="22"/>
        </w:rPr>
      </w:pPr>
      <m:oMathPara>
        <m:oMathParaPr>
          <m:jc m:val="left"/>
        </m:oMathParaPr>
        <m:oMath>
          <m:r>
            <m:rPr>
              <m:sty m:val="bi"/>
            </m:rPr>
            <w:rPr>
              <w:rFonts w:ascii="Cambria Math" w:hAnsi="Cambria Math"/>
              <w:sz w:val="22"/>
              <w:szCs w:val="22"/>
            </w:rPr>
            <m:t>R=</m:t>
          </m:r>
          <m:nary>
            <m:naryPr>
              <m:chr m:val="∑"/>
              <m:limLoc m:val="subSup"/>
              <m:ctrlPr>
                <w:rPr>
                  <w:rFonts w:ascii="Cambria Math" w:hAnsi="Cambria Math"/>
                  <w:b/>
                  <w:i/>
                  <w:sz w:val="22"/>
                  <w:szCs w:val="22"/>
                </w:rPr>
              </m:ctrlPr>
            </m:naryPr>
            <m:sub>
              <m:r>
                <m:rPr>
                  <m:sty m:val="bi"/>
                </m:rPr>
                <w:rPr>
                  <w:rFonts w:ascii="Cambria Math" w:hAnsi="Cambria Math"/>
                  <w:sz w:val="22"/>
                  <w:szCs w:val="22"/>
                </w:rPr>
                <m:t>i=1</m:t>
              </m:r>
            </m:sub>
            <m:sup>
              <m:r>
                <m:rPr>
                  <m:sty m:val="bi"/>
                </m:rPr>
                <w:rPr>
                  <w:rFonts w:ascii="Cambria Math" w:hAnsi="Cambria Math"/>
                  <w:sz w:val="22"/>
                  <w:szCs w:val="22"/>
                </w:rPr>
                <m:t>Ng</m:t>
              </m:r>
            </m:sup>
            <m:e>
              <m:nary>
                <m:naryPr>
                  <m:chr m:val="∑"/>
                  <m:limLoc m:val="subSup"/>
                  <m:ctrlPr>
                    <w:rPr>
                      <w:rFonts w:ascii="Cambria Math" w:hAnsi="Cambria Math"/>
                      <w:b/>
                      <w:i/>
                      <w:sz w:val="22"/>
                      <w:szCs w:val="22"/>
                    </w:rPr>
                  </m:ctrlPr>
                </m:naryPr>
                <m:sub>
                  <m:r>
                    <m:rPr>
                      <m:sty m:val="bi"/>
                    </m:rPr>
                    <w:rPr>
                      <w:rFonts w:ascii="Cambria Math" w:hAnsi="Cambria Math"/>
                      <w:sz w:val="22"/>
                      <w:szCs w:val="22"/>
                    </w:rPr>
                    <m:t>j=1</m:t>
                  </m:r>
                </m:sub>
                <m:sup>
                  <m:r>
                    <m:rPr>
                      <m:sty m:val="bi"/>
                    </m:rPr>
                    <w:rPr>
                      <w:rFonts w:ascii="Cambria Math" w:hAnsi="Cambria Math"/>
                      <w:sz w:val="22"/>
                      <w:szCs w:val="22"/>
                    </w:rPr>
                    <m:t>Ng</m:t>
                  </m:r>
                </m:sup>
                <m:e>
                  <m:r>
                    <m:rPr>
                      <m:sty m:val="bi"/>
                    </m:rPr>
                    <w:rPr>
                      <w:rFonts w:ascii="Cambria Math" w:hAnsi="Cambria Math"/>
                      <w:sz w:val="22"/>
                      <w:szCs w:val="22"/>
                    </w:rPr>
                    <m:t>P(i,j)</m:t>
                  </m:r>
                </m:e>
              </m:nary>
            </m:e>
          </m:nary>
        </m:oMath>
      </m:oMathPara>
    </w:p>
    <w:p w14:paraId="1F981A47" w14:textId="5381848A" w:rsidR="006A250D" w:rsidRDefault="006A250D" w:rsidP="00AE61E9">
      <w:pPr>
        <w:rPr>
          <w:rFonts w:eastAsiaTheme="majorEastAsia"/>
          <w:sz w:val="22"/>
          <w:szCs w:val="22"/>
        </w:rPr>
      </w:pPr>
      <w:r w:rsidRPr="006A250D">
        <w:rPr>
          <w:rFonts w:eastAsiaTheme="majorEastAsia"/>
          <w:i/>
          <w:iCs/>
          <w:sz w:val="22"/>
          <w:szCs w:val="22"/>
        </w:rPr>
        <w:lastRenderedPageBreak/>
        <w:t>R</w:t>
      </w:r>
      <w:r>
        <w:rPr>
          <w:rFonts w:eastAsiaTheme="majorEastAsia"/>
          <w:sz w:val="22"/>
          <w:szCs w:val="22"/>
        </w:rPr>
        <w:t>=sum of all elements of co-occurrence frequency matrix</w:t>
      </w:r>
    </w:p>
    <w:p w14:paraId="0568E060" w14:textId="215D9170" w:rsidR="00AE61E9" w:rsidRPr="006B2CFC" w:rsidRDefault="006A250D" w:rsidP="006B2CFC">
      <w:pPr>
        <w:rPr>
          <w:rFonts w:eastAsiaTheme="majorEastAsia"/>
          <w:sz w:val="22"/>
          <w:szCs w:val="22"/>
        </w:rPr>
      </w:pPr>
      <w:r w:rsidRPr="006A250D">
        <w:rPr>
          <w:rFonts w:eastAsiaTheme="majorEastAsia"/>
          <w:i/>
          <w:iCs/>
          <w:sz w:val="22"/>
          <w:szCs w:val="22"/>
        </w:rPr>
        <w:t>Ng</w:t>
      </w:r>
      <w:r>
        <w:rPr>
          <w:rFonts w:eastAsiaTheme="majorEastAsia"/>
          <w:sz w:val="22"/>
          <w:szCs w:val="22"/>
        </w:rPr>
        <w:t xml:space="preserve"> = number of distinct gray levels in the quantized image</w:t>
      </w:r>
    </w:p>
    <w:p w14:paraId="44B79D89" w14:textId="78EAD6DF" w:rsidR="00F84655" w:rsidRPr="00216CF3" w:rsidRDefault="00F84655" w:rsidP="00AE61E9">
      <w:pPr>
        <w:pStyle w:val="3"/>
        <w:widowControl w:val="0"/>
        <w:numPr>
          <w:ilvl w:val="1"/>
          <w:numId w:val="1"/>
        </w:numPr>
        <w:spacing w:before="260" w:after="260" w:line="416" w:lineRule="auto"/>
        <w:jc w:val="both"/>
        <w:rPr>
          <w:rFonts w:ascii="Times New Roman" w:hAnsi="Times New Roman"/>
          <w:b/>
          <w:bCs/>
          <w:color w:val="auto"/>
          <w:sz w:val="22"/>
          <w:szCs w:val="22"/>
        </w:rPr>
      </w:pPr>
      <w:r w:rsidRPr="00216CF3">
        <w:rPr>
          <w:rFonts w:ascii="Times New Roman" w:hAnsi="Times New Roman"/>
          <w:b/>
          <w:bCs/>
          <w:color w:val="auto"/>
          <w:sz w:val="22"/>
          <w:szCs w:val="22"/>
        </w:rPr>
        <w:t>Haralick Correlation</w:t>
      </w:r>
      <w:bookmarkEnd w:id="10"/>
      <w:bookmarkEnd w:id="11"/>
    </w:p>
    <w:p w14:paraId="53236A15" w14:textId="1DA796EF" w:rsidR="00F84655" w:rsidRPr="00412BC0" w:rsidRDefault="00F84655" w:rsidP="00F84655">
      <w:pPr>
        <w:widowControl w:val="0"/>
        <w:autoSpaceDE w:val="0"/>
        <w:autoSpaceDN w:val="0"/>
        <w:adjustRightInd w:val="0"/>
        <w:jc w:val="both"/>
        <w:rPr>
          <w:rFonts w:eastAsia="Heiti SC"/>
          <w:sz w:val="22"/>
          <w:szCs w:val="22"/>
        </w:rPr>
      </w:pPr>
      <w:r w:rsidRPr="00412BC0">
        <w:rPr>
          <w:rFonts w:eastAsia="Heiti SC"/>
          <w:sz w:val="22"/>
          <w:szCs w:val="22"/>
        </w:rPr>
        <w:t>Measures the degree of similarity of the gray level of the image in the row or column direction. Represents the local grey level correlation, the greater its value, the greater the correlation</w:t>
      </w:r>
      <w:r w:rsidR="00216CF3">
        <w:rPr>
          <w:rFonts w:eastAsia="Heiti SC"/>
          <w:sz w:val="22"/>
          <w:szCs w:val="22"/>
        </w:rPr>
        <w:t>.</w:t>
      </w:r>
    </w:p>
    <w:p w14:paraId="19F2283C" w14:textId="77777777" w:rsidR="00F84655" w:rsidRPr="00412BC0" w:rsidRDefault="00F84655" w:rsidP="00F84655">
      <w:pPr>
        <w:widowControl w:val="0"/>
        <w:autoSpaceDE w:val="0"/>
        <w:autoSpaceDN w:val="0"/>
        <w:adjustRightInd w:val="0"/>
        <w:jc w:val="both"/>
        <w:rPr>
          <w:rFonts w:eastAsia="Heiti SC"/>
          <w:sz w:val="22"/>
          <w:szCs w:val="22"/>
        </w:rPr>
      </w:pPr>
    </w:p>
    <w:p w14:paraId="10A99541" w14:textId="77777777" w:rsidR="00F84655" w:rsidRPr="00412BC0" w:rsidRDefault="00F84655" w:rsidP="00F84655">
      <w:pPr>
        <w:rPr>
          <w:b/>
          <w:sz w:val="22"/>
          <w:szCs w:val="22"/>
        </w:rPr>
      </w:pPr>
      <w:r w:rsidRPr="00412BC0">
        <w:rPr>
          <w:sz w:val="22"/>
          <w:szCs w:val="22"/>
        </w:rPr>
        <w:t>(</w:t>
      </w:r>
      <w:r w:rsidRPr="00412BC0">
        <w:rPr>
          <w:b/>
          <w:sz w:val="22"/>
          <w:szCs w:val="22"/>
        </w:rPr>
        <w:t>HaralickCorrelation_AllDirection_offset1, HaralickCorrelation_AllDirection_offset1_SD,</w:t>
      </w:r>
    </w:p>
    <w:p w14:paraId="54CF881F" w14:textId="77777777" w:rsidR="00F84655" w:rsidRPr="00412BC0" w:rsidRDefault="00F84655" w:rsidP="00F84655">
      <w:pPr>
        <w:rPr>
          <w:b/>
          <w:sz w:val="22"/>
          <w:szCs w:val="22"/>
        </w:rPr>
      </w:pPr>
      <w:r w:rsidRPr="00412BC0">
        <w:rPr>
          <w:b/>
          <w:sz w:val="22"/>
          <w:szCs w:val="22"/>
        </w:rPr>
        <w:t xml:space="preserve">HaralickCorrelation_angle0_offset1, </w:t>
      </w:r>
    </w:p>
    <w:p w14:paraId="38A5FF3A" w14:textId="77777777" w:rsidR="00F84655" w:rsidRPr="00412BC0" w:rsidRDefault="00F84655" w:rsidP="00F84655">
      <w:pPr>
        <w:rPr>
          <w:b/>
          <w:sz w:val="22"/>
          <w:szCs w:val="22"/>
        </w:rPr>
      </w:pPr>
      <w:r w:rsidRPr="00412BC0">
        <w:rPr>
          <w:b/>
          <w:sz w:val="22"/>
          <w:szCs w:val="22"/>
        </w:rPr>
        <w:t xml:space="preserve">HaralickCorrelation_angle45_offset1, </w:t>
      </w:r>
    </w:p>
    <w:p w14:paraId="533D3879" w14:textId="77777777" w:rsidR="00F84655" w:rsidRPr="00412BC0" w:rsidRDefault="00F84655" w:rsidP="00F84655">
      <w:pPr>
        <w:rPr>
          <w:b/>
          <w:sz w:val="22"/>
          <w:szCs w:val="22"/>
        </w:rPr>
      </w:pPr>
      <w:r w:rsidRPr="00412BC0">
        <w:rPr>
          <w:b/>
          <w:sz w:val="22"/>
          <w:szCs w:val="22"/>
        </w:rPr>
        <w:t xml:space="preserve">HaralickCorrelation_angle90_offset1, </w:t>
      </w:r>
    </w:p>
    <w:p w14:paraId="6EAC6314" w14:textId="77777777" w:rsidR="00F84655" w:rsidRPr="00412BC0" w:rsidRDefault="00F84655" w:rsidP="00F84655">
      <w:pPr>
        <w:rPr>
          <w:b/>
          <w:sz w:val="22"/>
          <w:szCs w:val="22"/>
        </w:rPr>
      </w:pPr>
      <w:r w:rsidRPr="00412BC0">
        <w:rPr>
          <w:b/>
          <w:sz w:val="22"/>
          <w:szCs w:val="22"/>
        </w:rPr>
        <w:t xml:space="preserve">HaralickCorrelation_angle135_offset1, </w:t>
      </w:r>
    </w:p>
    <w:p w14:paraId="6661F066" w14:textId="77777777" w:rsidR="00F84655" w:rsidRPr="00412BC0" w:rsidRDefault="00F84655" w:rsidP="00F84655">
      <w:pPr>
        <w:rPr>
          <w:b/>
          <w:sz w:val="22"/>
          <w:szCs w:val="22"/>
        </w:rPr>
      </w:pPr>
      <w:r w:rsidRPr="00412BC0">
        <w:rPr>
          <w:b/>
          <w:sz w:val="22"/>
          <w:szCs w:val="22"/>
        </w:rPr>
        <w:t xml:space="preserve">HaralickCorrelation_AllDirection_offset4, </w:t>
      </w:r>
    </w:p>
    <w:p w14:paraId="565055E4" w14:textId="77777777" w:rsidR="00F84655" w:rsidRPr="00412BC0" w:rsidRDefault="00F84655" w:rsidP="00F84655">
      <w:pPr>
        <w:rPr>
          <w:b/>
          <w:sz w:val="22"/>
          <w:szCs w:val="22"/>
        </w:rPr>
      </w:pPr>
      <w:r w:rsidRPr="00412BC0">
        <w:rPr>
          <w:b/>
          <w:sz w:val="22"/>
          <w:szCs w:val="22"/>
        </w:rPr>
        <w:t xml:space="preserve">HaralickCorrelation_AllDirection_offset4_SD, </w:t>
      </w:r>
    </w:p>
    <w:p w14:paraId="62FBE7B0" w14:textId="77777777" w:rsidR="00F84655" w:rsidRPr="00412BC0" w:rsidRDefault="00F84655" w:rsidP="00F84655">
      <w:pPr>
        <w:rPr>
          <w:b/>
          <w:sz w:val="22"/>
          <w:szCs w:val="22"/>
        </w:rPr>
      </w:pPr>
      <w:r w:rsidRPr="00412BC0">
        <w:rPr>
          <w:b/>
          <w:sz w:val="22"/>
          <w:szCs w:val="22"/>
        </w:rPr>
        <w:t>HaralickCorrelation_angle0_offset4,</w:t>
      </w:r>
    </w:p>
    <w:p w14:paraId="74F43F4C" w14:textId="77777777" w:rsidR="00F84655" w:rsidRPr="00412BC0" w:rsidRDefault="00F84655" w:rsidP="00F84655">
      <w:pPr>
        <w:rPr>
          <w:b/>
          <w:sz w:val="22"/>
          <w:szCs w:val="22"/>
        </w:rPr>
      </w:pPr>
      <w:r w:rsidRPr="00412BC0">
        <w:rPr>
          <w:b/>
          <w:sz w:val="22"/>
          <w:szCs w:val="22"/>
        </w:rPr>
        <w:t xml:space="preserve">HaralickCorrelation_angle45_offset4, </w:t>
      </w:r>
    </w:p>
    <w:p w14:paraId="592D4A2F" w14:textId="77777777" w:rsidR="00F84655" w:rsidRPr="00412BC0" w:rsidRDefault="00F84655" w:rsidP="00F84655">
      <w:pPr>
        <w:rPr>
          <w:b/>
          <w:sz w:val="22"/>
          <w:szCs w:val="22"/>
        </w:rPr>
      </w:pPr>
      <w:r w:rsidRPr="00412BC0">
        <w:rPr>
          <w:b/>
          <w:sz w:val="22"/>
          <w:szCs w:val="22"/>
        </w:rPr>
        <w:t xml:space="preserve">HaralickCorrelation_angle90_offset4, </w:t>
      </w:r>
    </w:p>
    <w:p w14:paraId="3983C56A" w14:textId="77777777" w:rsidR="00F84655" w:rsidRPr="00412BC0" w:rsidRDefault="00F84655" w:rsidP="00F84655">
      <w:pPr>
        <w:rPr>
          <w:b/>
          <w:sz w:val="22"/>
          <w:szCs w:val="22"/>
        </w:rPr>
      </w:pPr>
      <w:r w:rsidRPr="00412BC0">
        <w:rPr>
          <w:b/>
          <w:sz w:val="22"/>
          <w:szCs w:val="22"/>
        </w:rPr>
        <w:t>HaralickCorrelation_angle135_offset4,</w:t>
      </w:r>
    </w:p>
    <w:p w14:paraId="0F395345" w14:textId="77777777" w:rsidR="00F84655" w:rsidRPr="00412BC0" w:rsidRDefault="00F84655" w:rsidP="00F84655">
      <w:pPr>
        <w:rPr>
          <w:b/>
          <w:sz w:val="22"/>
          <w:szCs w:val="22"/>
        </w:rPr>
      </w:pPr>
      <w:r w:rsidRPr="00412BC0">
        <w:rPr>
          <w:b/>
          <w:sz w:val="22"/>
          <w:szCs w:val="22"/>
        </w:rPr>
        <w:t>HaralickCorrelation_AllDirection_offset7,</w:t>
      </w:r>
    </w:p>
    <w:p w14:paraId="253C36CA" w14:textId="77777777" w:rsidR="00F84655" w:rsidRPr="00412BC0" w:rsidRDefault="00F84655" w:rsidP="00F84655">
      <w:pPr>
        <w:rPr>
          <w:b/>
          <w:sz w:val="22"/>
          <w:szCs w:val="22"/>
        </w:rPr>
      </w:pPr>
      <w:r w:rsidRPr="00412BC0">
        <w:rPr>
          <w:b/>
          <w:sz w:val="22"/>
          <w:szCs w:val="22"/>
        </w:rPr>
        <w:t xml:space="preserve">HaralickCorrelation_AllDirection_offset7_SD, </w:t>
      </w:r>
    </w:p>
    <w:p w14:paraId="120EAA1E" w14:textId="77777777" w:rsidR="00F84655" w:rsidRPr="00412BC0" w:rsidRDefault="00F84655" w:rsidP="00F84655">
      <w:pPr>
        <w:rPr>
          <w:b/>
          <w:sz w:val="22"/>
          <w:szCs w:val="22"/>
        </w:rPr>
      </w:pPr>
      <w:r w:rsidRPr="00412BC0">
        <w:rPr>
          <w:b/>
          <w:sz w:val="22"/>
          <w:szCs w:val="22"/>
        </w:rPr>
        <w:t>HaralickCorrelation_angle0_offset7,</w:t>
      </w:r>
    </w:p>
    <w:p w14:paraId="57A1065B" w14:textId="77777777" w:rsidR="00F84655" w:rsidRPr="00412BC0" w:rsidRDefault="00F84655" w:rsidP="00F84655">
      <w:pPr>
        <w:rPr>
          <w:b/>
          <w:sz w:val="22"/>
          <w:szCs w:val="22"/>
        </w:rPr>
      </w:pPr>
      <w:r w:rsidRPr="00412BC0">
        <w:rPr>
          <w:b/>
          <w:sz w:val="22"/>
          <w:szCs w:val="22"/>
        </w:rPr>
        <w:t xml:space="preserve">HaralickCorrelation_angle45_offset7, </w:t>
      </w:r>
    </w:p>
    <w:p w14:paraId="577DB982" w14:textId="77777777" w:rsidR="00F84655" w:rsidRPr="00412BC0" w:rsidRDefault="00F84655" w:rsidP="00F84655">
      <w:pPr>
        <w:rPr>
          <w:b/>
          <w:sz w:val="22"/>
          <w:szCs w:val="22"/>
        </w:rPr>
      </w:pPr>
      <w:r w:rsidRPr="00412BC0">
        <w:rPr>
          <w:b/>
          <w:sz w:val="22"/>
          <w:szCs w:val="22"/>
        </w:rPr>
        <w:t xml:space="preserve">HaralickCorrelation_angle90_offset7, </w:t>
      </w:r>
    </w:p>
    <w:p w14:paraId="0D429203" w14:textId="77777777" w:rsidR="00F84655" w:rsidRPr="00412BC0" w:rsidRDefault="00F84655" w:rsidP="00F84655">
      <w:pPr>
        <w:rPr>
          <w:b/>
          <w:sz w:val="22"/>
          <w:szCs w:val="22"/>
        </w:rPr>
      </w:pPr>
      <w:r w:rsidRPr="00412BC0">
        <w:rPr>
          <w:b/>
          <w:sz w:val="22"/>
          <w:szCs w:val="22"/>
        </w:rPr>
        <w:t>HaralickCorrelation_angle135_offset7)</w:t>
      </w:r>
    </w:p>
    <w:p w14:paraId="4DE83223" w14:textId="77777777" w:rsidR="00F84655" w:rsidRPr="00412BC0" w:rsidRDefault="00F84655" w:rsidP="00F84655">
      <w:pPr>
        <w:rPr>
          <w:sz w:val="22"/>
          <w:szCs w:val="22"/>
        </w:rPr>
      </w:pPr>
    </w:p>
    <w:p w14:paraId="5FD859A1" w14:textId="77777777" w:rsidR="00F84655" w:rsidRPr="00412BC0" w:rsidRDefault="00F84655" w:rsidP="00216CF3">
      <w:pPr>
        <w:ind w:left="720" w:firstLine="720"/>
        <w:rPr>
          <w:sz w:val="22"/>
          <w:szCs w:val="22"/>
        </w:rPr>
      </w:pPr>
      <w:r w:rsidRPr="00412BC0">
        <w:rPr>
          <w:sz w:val="22"/>
          <w:szCs w:val="22"/>
        </w:rPr>
        <w:t>Formula</w:t>
      </w:r>
    </w:p>
    <w:p w14:paraId="243FF6D4" w14:textId="11176AD7" w:rsidR="00F84655" w:rsidRPr="00412BC0" w:rsidRDefault="00F84655" w:rsidP="00216CF3">
      <w:pPr>
        <w:jc w:val="center"/>
        <w:rPr>
          <w:sz w:val="22"/>
          <w:szCs w:val="22"/>
        </w:rPr>
      </w:pPr>
      <w:r w:rsidRPr="00412BC0">
        <w:rPr>
          <w:position w:val="-30"/>
          <w:sz w:val="22"/>
          <w:szCs w:val="22"/>
        </w:rPr>
        <w:object w:dxaOrig="2060" w:dyaOrig="720" w14:anchorId="42D7A875">
          <v:shape id="_x0000_i1026" type="#_x0000_t75" style="width:103.6pt;height:36pt" o:ole="">
            <v:imagedata r:id="rId9" o:title=""/>
          </v:shape>
          <o:OLEObject Type="Embed" ProgID="Equation.DSMT4" ShapeID="_x0000_i1026" DrawAspect="Content" ObjectID="_1661463592" r:id="rId10"/>
        </w:object>
      </w:r>
    </w:p>
    <w:p w14:paraId="44ECE447" w14:textId="77777777" w:rsidR="00F84655" w:rsidRPr="00412BC0" w:rsidRDefault="00F84655" w:rsidP="00F84655">
      <w:pPr>
        <w:rPr>
          <w:sz w:val="22"/>
          <w:szCs w:val="22"/>
        </w:rPr>
      </w:pPr>
      <w:r w:rsidRPr="00412BC0">
        <w:rPr>
          <w:sz w:val="22"/>
          <w:szCs w:val="22"/>
        </w:rPr>
        <w:t xml:space="preserve">* where </w:t>
      </w:r>
      <w:r w:rsidRPr="00412BC0">
        <w:rPr>
          <w:sz w:val="22"/>
          <w:szCs w:val="22"/>
        </w:rPr>
        <w:object w:dxaOrig="260" w:dyaOrig="360" w14:anchorId="6666743B">
          <v:shape id="_x0000_i1027" type="#_x0000_t75" style="width:13.2pt;height:17.6pt" o:ole="">
            <v:imagedata r:id="rId11" o:title=""/>
          </v:shape>
          <o:OLEObject Type="Embed" ProgID="Equation.DSMT4" ShapeID="_x0000_i1027" DrawAspect="Content" ObjectID="_1661463593" r:id="rId12"/>
        </w:object>
      </w:r>
      <w:r w:rsidRPr="00412BC0">
        <w:rPr>
          <w:sz w:val="22"/>
          <w:szCs w:val="22"/>
        </w:rPr>
        <w:t xml:space="preserve">and </w:t>
      </w:r>
      <w:r w:rsidRPr="00412BC0">
        <w:rPr>
          <w:sz w:val="22"/>
          <w:szCs w:val="22"/>
        </w:rPr>
        <w:object w:dxaOrig="279" w:dyaOrig="360" w14:anchorId="0385F293">
          <v:shape id="_x0000_i1028" type="#_x0000_t75" style="width:13.6pt;height:17.6pt" o:ole="">
            <v:imagedata r:id="rId13" o:title=""/>
          </v:shape>
          <o:OLEObject Type="Embed" ProgID="Equation.DSMT4" ShapeID="_x0000_i1028" DrawAspect="Content" ObjectID="_1661463594" r:id="rId14"/>
        </w:object>
      </w:r>
      <w:r w:rsidRPr="00412BC0">
        <w:rPr>
          <w:sz w:val="22"/>
          <w:szCs w:val="22"/>
        </w:rPr>
        <w:t>are the mean and standard deviation of the row (or column, due to symmetry) sums.</w:t>
      </w:r>
    </w:p>
    <w:p w14:paraId="4EFE59A6" w14:textId="77777777" w:rsidR="00F84655" w:rsidRPr="00412BC0" w:rsidRDefault="00F84655" w:rsidP="00F84655">
      <w:pPr>
        <w:rPr>
          <w:sz w:val="22"/>
          <w:szCs w:val="22"/>
        </w:rPr>
      </w:pPr>
    </w:p>
    <w:p w14:paraId="12C37019" w14:textId="77777777" w:rsidR="00F84655" w:rsidRPr="00B05597" w:rsidRDefault="00F84655" w:rsidP="00F84655">
      <w:pPr>
        <w:jc w:val="both"/>
        <w:rPr>
          <w:b/>
          <w:sz w:val="22"/>
          <w:szCs w:val="22"/>
        </w:rPr>
      </w:pPr>
      <w:r w:rsidRPr="00B05597">
        <w:rPr>
          <w:b/>
          <w:sz w:val="22"/>
          <w:szCs w:val="22"/>
        </w:rPr>
        <w:br w:type="page"/>
      </w:r>
    </w:p>
    <w:p w14:paraId="4E62B981" w14:textId="47D78693" w:rsidR="00AE61E9" w:rsidRPr="00216CF3" w:rsidRDefault="004E1FC1" w:rsidP="00AE61E9">
      <w:pPr>
        <w:pStyle w:val="3"/>
        <w:widowControl w:val="0"/>
        <w:numPr>
          <w:ilvl w:val="1"/>
          <w:numId w:val="1"/>
        </w:numPr>
        <w:spacing w:before="260" w:after="260" w:line="416" w:lineRule="auto"/>
        <w:jc w:val="both"/>
        <w:rPr>
          <w:rFonts w:ascii="Times New Roman" w:hAnsi="Times New Roman"/>
          <w:b/>
          <w:bCs/>
          <w:color w:val="auto"/>
          <w:sz w:val="22"/>
          <w:szCs w:val="22"/>
        </w:rPr>
      </w:pPr>
      <w:bookmarkStart w:id="12" w:name="_Toc475270181"/>
      <w:r w:rsidRPr="00216CF3">
        <w:rPr>
          <w:rFonts w:ascii="Times New Roman" w:hAnsi="Times New Roman"/>
          <w:b/>
          <w:bCs/>
          <w:color w:val="auto"/>
          <w:sz w:val="22"/>
          <w:szCs w:val="22"/>
        </w:rPr>
        <w:lastRenderedPageBreak/>
        <w:t>I</w:t>
      </w:r>
      <w:r w:rsidR="00AE61E9" w:rsidRPr="00216CF3">
        <w:rPr>
          <w:rFonts w:ascii="Times New Roman" w:hAnsi="Times New Roman"/>
          <w:b/>
          <w:bCs/>
          <w:color w:val="auto"/>
          <w:sz w:val="22"/>
          <w:szCs w:val="22"/>
        </w:rPr>
        <w:t>nverse</w:t>
      </w:r>
      <w:r w:rsidRPr="00216CF3">
        <w:rPr>
          <w:rFonts w:ascii="Times New Roman" w:hAnsi="Times New Roman"/>
          <w:b/>
          <w:bCs/>
          <w:color w:val="auto"/>
          <w:sz w:val="22"/>
          <w:szCs w:val="22"/>
        </w:rPr>
        <w:t xml:space="preserve"> </w:t>
      </w:r>
      <w:r w:rsidR="00AE61E9" w:rsidRPr="00216CF3">
        <w:rPr>
          <w:rFonts w:ascii="Times New Roman" w:hAnsi="Times New Roman"/>
          <w:b/>
          <w:bCs/>
          <w:color w:val="auto"/>
          <w:sz w:val="22"/>
          <w:szCs w:val="22"/>
        </w:rPr>
        <w:t>Difference</w:t>
      </w:r>
      <w:r w:rsidRPr="00216CF3">
        <w:rPr>
          <w:rFonts w:ascii="Times New Roman" w:hAnsi="Times New Roman"/>
          <w:b/>
          <w:bCs/>
          <w:color w:val="auto"/>
          <w:sz w:val="22"/>
          <w:szCs w:val="22"/>
        </w:rPr>
        <w:t xml:space="preserve"> </w:t>
      </w:r>
      <w:r w:rsidR="00AE61E9" w:rsidRPr="00216CF3">
        <w:rPr>
          <w:rFonts w:ascii="Times New Roman" w:hAnsi="Times New Roman"/>
          <w:b/>
          <w:bCs/>
          <w:color w:val="auto"/>
          <w:sz w:val="22"/>
          <w:szCs w:val="22"/>
        </w:rPr>
        <w:t>Moment</w:t>
      </w:r>
      <w:bookmarkEnd w:id="12"/>
    </w:p>
    <w:p w14:paraId="3C73753C" w14:textId="1BDCF871" w:rsidR="00AE61E9" w:rsidRPr="00412BC0" w:rsidRDefault="004E1FC1" w:rsidP="00216CF3">
      <w:pPr>
        <w:ind w:firstLine="360"/>
        <w:rPr>
          <w:sz w:val="22"/>
          <w:szCs w:val="22"/>
        </w:rPr>
      </w:pPr>
      <w:r>
        <w:rPr>
          <w:b/>
          <w:bCs/>
          <w:color w:val="000000"/>
          <w:position w:val="-30"/>
          <w:sz w:val="22"/>
          <w:szCs w:val="21"/>
        </w:rPr>
        <w:object w:dxaOrig="2715" w:dyaOrig="735" w14:anchorId="0B461D41">
          <v:shape id="_x0000_i1029" type="#_x0000_t75" style="width:135.6pt;height:36.4pt" o:ole="">
            <v:imagedata r:id="rId15" o:title=""/>
          </v:shape>
          <o:OLEObject Type="Embed" ProgID="Equation.DSMT4" ShapeID="_x0000_i1029" DrawAspect="Content" ObjectID="_1661463595" r:id="rId16"/>
        </w:object>
      </w:r>
    </w:p>
    <w:p w14:paraId="1C9E04ED" w14:textId="5AB4646C" w:rsidR="00AE61E9" w:rsidRPr="00216CF3" w:rsidRDefault="00AE61E9" w:rsidP="00216CF3">
      <w:pPr>
        <w:pStyle w:val="1"/>
        <w:numPr>
          <w:ilvl w:val="0"/>
          <w:numId w:val="1"/>
        </w:numPr>
        <w:ind w:left="360"/>
        <w:rPr>
          <w:rFonts w:ascii="Times New Roman" w:hAnsi="Times New Roman" w:cs="Times New Roman"/>
          <w:b/>
          <w:bCs/>
          <w:color w:val="auto"/>
          <w:sz w:val="22"/>
          <w:szCs w:val="22"/>
        </w:rPr>
      </w:pPr>
      <w:bookmarkStart w:id="13" w:name="_Toc475270182"/>
      <w:r w:rsidRPr="00216CF3">
        <w:rPr>
          <w:rFonts w:ascii="Times New Roman" w:hAnsi="Times New Roman" w:cs="Times New Roman"/>
          <w:b/>
          <w:bCs/>
          <w:color w:val="auto"/>
          <w:sz w:val="22"/>
          <w:szCs w:val="22"/>
        </w:rPr>
        <w:t>RLM Parameters</w:t>
      </w:r>
      <w:bookmarkEnd w:id="13"/>
    </w:p>
    <w:p w14:paraId="752FADD1" w14:textId="77777777" w:rsidR="00AE61E9" w:rsidRPr="00412BC0" w:rsidRDefault="00AE61E9" w:rsidP="00AE61E9">
      <w:pPr>
        <w:rPr>
          <w:sz w:val="22"/>
          <w:szCs w:val="22"/>
        </w:rPr>
      </w:pPr>
    </w:p>
    <w:p w14:paraId="412C3432" w14:textId="4155FE7B" w:rsidR="00AE61E9" w:rsidRDefault="00AE61E9" w:rsidP="00216CF3">
      <w:pPr>
        <w:pStyle w:val="3"/>
        <w:spacing w:before="0"/>
        <w:jc w:val="both"/>
        <w:rPr>
          <w:rFonts w:ascii="Times New Roman" w:hAnsi="Times New Roman"/>
          <w:color w:val="auto"/>
          <w:sz w:val="22"/>
          <w:szCs w:val="22"/>
        </w:rPr>
      </w:pPr>
      <w:bookmarkStart w:id="14" w:name="_Toc475268484"/>
      <w:bookmarkStart w:id="15" w:name="_Toc475270183"/>
      <w:r w:rsidRPr="00412BC0">
        <w:rPr>
          <w:rFonts w:ascii="Times New Roman" w:hAnsi="Times New Roman"/>
          <w:color w:val="auto"/>
          <w:sz w:val="22"/>
          <w:szCs w:val="22"/>
        </w:rPr>
        <w:t xml:space="preserve">The grey level run-length matrix (RLM) </w:t>
      </w:r>
      <m:oMath>
        <m:sSub>
          <m:sSubPr>
            <m:ctrlPr>
              <w:rPr>
                <w:rFonts w:ascii="Cambria Math" w:hAnsi="Cambria Math"/>
                <w:iCs/>
                <w:color w:val="auto"/>
                <w:sz w:val="22"/>
                <w:szCs w:val="22"/>
              </w:rPr>
            </m:ctrlPr>
          </m:sSubPr>
          <m:e>
            <m:r>
              <m:rPr>
                <m:sty m:val="b"/>
              </m:rPr>
              <w:rPr>
                <w:rFonts w:ascii="Cambria Math" w:hAnsi="Cambria Math"/>
                <w:color w:val="auto"/>
                <w:sz w:val="22"/>
                <w:szCs w:val="22"/>
              </w:rPr>
              <m:t>P</m:t>
            </m:r>
          </m:e>
          <m:sub>
            <m:r>
              <m:rPr>
                <m:sty m:val="b"/>
              </m:rPr>
              <w:rPr>
                <w:rFonts w:ascii="Cambria Math" w:hAnsi="Cambria Math"/>
                <w:color w:val="auto"/>
                <w:sz w:val="22"/>
                <w:szCs w:val="22"/>
              </w:rPr>
              <m:t>r</m:t>
            </m:r>
          </m:sub>
        </m:sSub>
        <m:r>
          <m:rPr>
            <m:sty m:val="b"/>
          </m:rPr>
          <w:rPr>
            <w:rFonts w:ascii="Cambria Math" w:hAnsi="Cambria Math"/>
            <w:color w:val="auto"/>
            <w:sz w:val="22"/>
            <w:szCs w:val="22"/>
          </w:rPr>
          <m:t>(i, j | θ )</m:t>
        </m:r>
      </m:oMath>
      <w:r w:rsidRPr="00412BC0">
        <w:rPr>
          <w:rFonts w:ascii="Times New Roman" w:hAnsi="Times New Roman"/>
          <w:color w:val="auto"/>
          <w:sz w:val="22"/>
          <w:szCs w:val="22"/>
        </w:rPr>
        <w:t xml:space="preserve"> </w:t>
      </w:r>
      <w:r w:rsidRPr="006B2CFC">
        <w:rPr>
          <w:rFonts w:ascii="Times New Roman" w:hAnsi="Times New Roman"/>
          <w:color w:val="auto"/>
          <w:sz w:val="22"/>
          <w:szCs w:val="22"/>
        </w:rPr>
        <w:t xml:space="preserve">is defined as the numbers of runs with pixels of gray level </w:t>
      </w:r>
      <w:r w:rsidRPr="006B2CFC">
        <w:rPr>
          <w:rFonts w:ascii="Times New Roman" w:hAnsi="Times New Roman"/>
          <w:i/>
          <w:iCs/>
          <w:color w:val="auto"/>
          <w:sz w:val="22"/>
          <w:szCs w:val="22"/>
        </w:rPr>
        <w:t xml:space="preserve">i </w:t>
      </w:r>
      <w:r w:rsidRPr="006B2CFC">
        <w:rPr>
          <w:rFonts w:ascii="Times New Roman" w:hAnsi="Times New Roman"/>
          <w:color w:val="auto"/>
          <w:sz w:val="22"/>
          <w:szCs w:val="22"/>
        </w:rPr>
        <w:t xml:space="preserve">and run length </w:t>
      </w:r>
      <w:r w:rsidRPr="006B2CFC">
        <w:rPr>
          <w:rFonts w:ascii="Times New Roman" w:hAnsi="Times New Roman"/>
          <w:i/>
          <w:iCs/>
          <w:color w:val="auto"/>
          <w:sz w:val="22"/>
          <w:szCs w:val="22"/>
        </w:rPr>
        <w:t xml:space="preserve">j </w:t>
      </w:r>
      <w:r w:rsidRPr="006B2CFC">
        <w:rPr>
          <w:rFonts w:ascii="Times New Roman" w:hAnsi="Times New Roman"/>
          <w:color w:val="auto"/>
          <w:sz w:val="22"/>
          <w:szCs w:val="22"/>
        </w:rPr>
        <w:t>for a given direction θ.</w:t>
      </w:r>
      <w:r w:rsidRPr="00412BC0">
        <w:rPr>
          <w:rFonts w:ascii="Times New Roman" w:hAnsi="Times New Roman"/>
          <w:color w:val="auto"/>
          <w:sz w:val="22"/>
          <w:szCs w:val="22"/>
        </w:rPr>
        <w:t xml:space="preserve"> RLMs is generated for each sample image segment having directions (0°,45°,90° &amp;135°), then the following ten statistical features were derived: short run emphasis, long run emphasis, grey level non-uniformity, run length non-uniformity, Low Grey Level Run Emphasis, High Grey Level Run Emphasis, Short Run Low Grey Level Emphasis, Short Run High Grey Level Emphasis, Long Run Low Grey Level Emphasis and Long Run High Grey Level Emphasis.</w:t>
      </w:r>
      <w:bookmarkEnd w:id="14"/>
      <w:bookmarkEnd w:id="15"/>
    </w:p>
    <w:p w14:paraId="1B107C3E" w14:textId="77777777" w:rsidR="00216CF3" w:rsidRPr="00216CF3" w:rsidRDefault="00216CF3" w:rsidP="00216CF3"/>
    <w:p w14:paraId="3A067FA8" w14:textId="1C90C10D" w:rsidR="00DB751D" w:rsidRPr="00412BC0" w:rsidRDefault="00DB751D" w:rsidP="00DB751D">
      <w:pPr>
        <w:pStyle w:val="2"/>
        <w:numPr>
          <w:ilvl w:val="1"/>
          <w:numId w:val="1"/>
        </w:numPr>
        <w:rPr>
          <w:rFonts w:ascii="Times New Roman" w:hAnsi="Times New Roman" w:cs="Times New Roman"/>
          <w:color w:val="auto"/>
          <w:sz w:val="22"/>
          <w:szCs w:val="22"/>
        </w:rPr>
      </w:pPr>
      <w:bookmarkStart w:id="16" w:name="_Toc460253040"/>
      <w:bookmarkStart w:id="17" w:name="_Toc460257390"/>
      <w:bookmarkStart w:id="18" w:name="_Toc460257494"/>
      <w:bookmarkStart w:id="19" w:name="_Toc460258012"/>
      <w:bookmarkStart w:id="20" w:name="_Toc475268487"/>
      <w:bookmarkStart w:id="21" w:name="_Toc475270186"/>
      <w:r w:rsidRPr="00216CF3">
        <w:rPr>
          <w:rFonts w:ascii="Times New Roman" w:hAnsi="Times New Roman" w:cs="Times New Roman"/>
          <w:b/>
          <w:bCs/>
          <w:color w:val="auto"/>
          <w:sz w:val="22"/>
          <w:szCs w:val="22"/>
        </w:rPr>
        <w:t xml:space="preserve">Grey Level </w:t>
      </w:r>
      <w:bookmarkEnd w:id="16"/>
      <w:bookmarkEnd w:id="17"/>
      <w:bookmarkEnd w:id="18"/>
      <w:bookmarkEnd w:id="19"/>
      <w:r w:rsidRPr="00216CF3">
        <w:rPr>
          <w:rFonts w:ascii="Times New Roman" w:hAnsi="Times New Roman" w:cs="Times New Roman"/>
          <w:b/>
          <w:bCs/>
          <w:color w:val="auto"/>
          <w:sz w:val="22"/>
          <w:szCs w:val="22"/>
        </w:rPr>
        <w:t>Non-uniformity</w:t>
      </w:r>
      <w:bookmarkEnd w:id="20"/>
      <w:bookmarkEnd w:id="21"/>
      <w:r w:rsidR="004E1FC1" w:rsidRPr="00216CF3">
        <w:rPr>
          <w:rFonts w:ascii="Times New Roman" w:hAnsi="Times New Roman" w:cs="Times New Roman"/>
          <w:b/>
          <w:bCs/>
          <w:color w:val="auto"/>
          <w:sz w:val="22"/>
          <w:szCs w:val="22"/>
        </w:rPr>
        <w:t>(GLN):</w:t>
      </w:r>
      <w:r w:rsidR="004E1FC1">
        <w:rPr>
          <w:rFonts w:ascii="Times New Roman" w:hAnsi="Times New Roman" w:cs="Times New Roman"/>
          <w:color w:val="auto"/>
          <w:sz w:val="22"/>
          <w:szCs w:val="22"/>
        </w:rPr>
        <w:t xml:space="preserve"> </w:t>
      </w:r>
      <w:r w:rsidR="004E1FC1" w:rsidRPr="004E1FC1">
        <w:rPr>
          <w:rFonts w:ascii="Times New Roman" w:hAnsi="Times New Roman" w:cs="Times New Roman"/>
          <w:color w:val="auto"/>
          <w:sz w:val="22"/>
          <w:szCs w:val="22"/>
        </w:rPr>
        <w:t>Measures the similarity of gray-level intensity values in the image, where a lower GLN value correlates with a greater similarity in intensity values.</w:t>
      </w:r>
    </w:p>
    <w:p w14:paraId="67450F7D" w14:textId="6BAA42AE" w:rsidR="00F84655" w:rsidRPr="00412BC0" w:rsidRDefault="00DB751D" w:rsidP="00216CF3">
      <w:pPr>
        <w:jc w:val="center"/>
        <w:rPr>
          <w:sz w:val="22"/>
          <w:szCs w:val="22"/>
        </w:rPr>
      </w:pPr>
      <w:r w:rsidRPr="00412BC0">
        <w:rPr>
          <w:position w:val="-30"/>
          <w:sz w:val="22"/>
          <w:szCs w:val="22"/>
        </w:rPr>
        <w:object w:dxaOrig="3019" w:dyaOrig="700" w14:anchorId="74C80F79">
          <v:shape id="_x0000_i1030" type="#_x0000_t75" style="width:150.8pt;height:35.6pt" o:ole="">
            <v:imagedata r:id="rId17" o:title=""/>
          </v:shape>
          <o:OLEObject Type="Embed" ProgID="Equation.DSMT4" ShapeID="_x0000_i1030" DrawAspect="Content" ObjectID="_1661463596" r:id="rId18"/>
        </w:object>
      </w:r>
    </w:p>
    <w:p w14:paraId="1EDC00D6" w14:textId="506B075E" w:rsidR="00412BC0" w:rsidRPr="00412BC0" w:rsidRDefault="00412BC0" w:rsidP="00412BC0">
      <w:pPr>
        <w:pStyle w:val="2"/>
        <w:numPr>
          <w:ilvl w:val="1"/>
          <w:numId w:val="1"/>
        </w:numPr>
        <w:rPr>
          <w:rFonts w:ascii="Times New Roman" w:hAnsi="Times New Roman" w:cs="Times New Roman"/>
          <w:color w:val="auto"/>
          <w:sz w:val="22"/>
          <w:szCs w:val="22"/>
        </w:rPr>
      </w:pPr>
      <w:bookmarkStart w:id="22" w:name="_Toc460253045"/>
      <w:bookmarkStart w:id="23" w:name="_Toc460257395"/>
      <w:bookmarkStart w:id="24" w:name="_Toc460257499"/>
      <w:bookmarkStart w:id="25" w:name="_Toc460258017"/>
      <w:bookmarkStart w:id="26" w:name="_Toc475268492"/>
      <w:bookmarkStart w:id="27" w:name="_Toc475270191"/>
      <w:r w:rsidRPr="00216CF3">
        <w:rPr>
          <w:rFonts w:ascii="Times New Roman" w:hAnsi="Times New Roman" w:cs="Times New Roman"/>
          <w:b/>
          <w:bCs/>
          <w:color w:val="auto"/>
          <w:sz w:val="22"/>
          <w:szCs w:val="22"/>
        </w:rPr>
        <w:t>Short Run High Grey Level Emphasis</w:t>
      </w:r>
      <w:bookmarkEnd w:id="22"/>
      <w:bookmarkEnd w:id="23"/>
      <w:bookmarkEnd w:id="24"/>
      <w:bookmarkEnd w:id="25"/>
      <w:r w:rsidRPr="00216CF3">
        <w:rPr>
          <w:rFonts w:ascii="Times New Roman" w:hAnsi="Times New Roman" w:cs="Times New Roman"/>
          <w:b/>
          <w:bCs/>
          <w:color w:val="auto"/>
          <w:sz w:val="22"/>
          <w:szCs w:val="22"/>
        </w:rPr>
        <w:t>(</w:t>
      </w:r>
      <w:r w:rsidR="004E1FC1" w:rsidRPr="00216CF3">
        <w:rPr>
          <w:rFonts w:ascii="Times New Roman" w:hAnsi="Times New Roman" w:cs="Times New Roman"/>
          <w:b/>
          <w:bCs/>
          <w:color w:val="000000"/>
          <w:sz w:val="22"/>
          <w:szCs w:val="21"/>
        </w:rPr>
        <w:t>SRHGE</w:t>
      </w:r>
      <w:r w:rsidRPr="00216CF3">
        <w:rPr>
          <w:rFonts w:ascii="Times New Roman" w:hAnsi="Times New Roman" w:cs="Times New Roman"/>
          <w:b/>
          <w:bCs/>
          <w:color w:val="auto"/>
          <w:sz w:val="22"/>
          <w:szCs w:val="22"/>
        </w:rPr>
        <w:t>)</w:t>
      </w:r>
      <w:bookmarkEnd w:id="26"/>
      <w:bookmarkEnd w:id="27"/>
      <w:r w:rsidR="004E1FC1" w:rsidRPr="00216CF3">
        <w:rPr>
          <w:rFonts w:ascii="Times New Roman" w:hAnsi="Times New Roman" w:cs="Times New Roman"/>
          <w:b/>
          <w:bCs/>
          <w:color w:val="auto"/>
          <w:sz w:val="22"/>
          <w:szCs w:val="22"/>
        </w:rPr>
        <w:t>:</w:t>
      </w:r>
      <w:r w:rsidR="004E1FC1">
        <w:rPr>
          <w:rFonts w:ascii="Times New Roman" w:hAnsi="Times New Roman" w:cs="Times New Roman"/>
          <w:color w:val="auto"/>
          <w:sz w:val="22"/>
          <w:szCs w:val="22"/>
        </w:rPr>
        <w:t xml:space="preserve"> </w:t>
      </w:r>
      <w:r w:rsidR="004E1FC1" w:rsidRPr="004E1FC1">
        <w:rPr>
          <w:rFonts w:ascii="Times New Roman" w:hAnsi="Times New Roman" w:cs="Times New Roman"/>
          <w:color w:val="auto"/>
          <w:sz w:val="22"/>
          <w:szCs w:val="22"/>
        </w:rPr>
        <w:t>Measures the joint distribution of shorter run lengths with higher gray-level values.</w:t>
      </w:r>
    </w:p>
    <w:p w14:paraId="7DCD053E" w14:textId="7918DC38" w:rsidR="00412BC0" w:rsidRPr="00412BC0" w:rsidRDefault="00412BC0" w:rsidP="00216CF3">
      <w:pPr>
        <w:jc w:val="center"/>
        <w:rPr>
          <w:sz w:val="22"/>
          <w:szCs w:val="22"/>
        </w:rPr>
      </w:pPr>
      <w:r w:rsidRPr="00412BC0">
        <w:rPr>
          <w:position w:val="-30"/>
          <w:sz w:val="22"/>
          <w:szCs w:val="22"/>
        </w:rPr>
        <w:object w:dxaOrig="3280" w:dyaOrig="720" w14:anchorId="3D4F1B6D">
          <v:shape id="_x0000_i1031" type="#_x0000_t75" style="width:164pt;height:36pt" o:ole="">
            <v:imagedata r:id="rId19" o:title=""/>
          </v:shape>
          <o:OLEObject Type="Embed" ProgID="Equation.DSMT4" ShapeID="_x0000_i1031" DrawAspect="Content" ObjectID="_1661463597" r:id="rId20"/>
        </w:object>
      </w:r>
    </w:p>
    <w:p w14:paraId="20FE4541" w14:textId="309E84A5" w:rsidR="00DB751D" w:rsidRPr="00412BC0" w:rsidRDefault="00DB751D" w:rsidP="00412BC0">
      <w:pPr>
        <w:pStyle w:val="2"/>
        <w:numPr>
          <w:ilvl w:val="1"/>
          <w:numId w:val="1"/>
        </w:numPr>
        <w:rPr>
          <w:rFonts w:ascii="Times New Roman" w:hAnsi="Times New Roman" w:cs="Times New Roman"/>
          <w:color w:val="auto"/>
          <w:sz w:val="22"/>
          <w:szCs w:val="22"/>
        </w:rPr>
      </w:pPr>
      <w:bookmarkStart w:id="28" w:name="_Toc460253043"/>
      <w:bookmarkStart w:id="29" w:name="_Toc460257393"/>
      <w:bookmarkStart w:id="30" w:name="_Toc460257497"/>
      <w:bookmarkStart w:id="31" w:name="_Toc460258015"/>
      <w:bookmarkStart w:id="32" w:name="_Toc475268490"/>
      <w:bookmarkStart w:id="33" w:name="_Toc475270189"/>
      <w:bookmarkStart w:id="34" w:name="OLE_LINK20"/>
      <w:bookmarkStart w:id="35" w:name="OLE_LINK21"/>
      <w:r w:rsidRPr="00216CF3">
        <w:rPr>
          <w:rFonts w:ascii="Times New Roman" w:hAnsi="Times New Roman" w:cs="Times New Roman"/>
          <w:b/>
          <w:bCs/>
          <w:color w:val="auto"/>
          <w:sz w:val="22"/>
          <w:szCs w:val="22"/>
        </w:rPr>
        <w:t>High Grey Level Run Emphasis</w:t>
      </w:r>
      <w:bookmarkEnd w:id="28"/>
      <w:bookmarkEnd w:id="29"/>
      <w:bookmarkEnd w:id="30"/>
      <w:bookmarkEnd w:id="31"/>
      <w:r w:rsidRPr="00216CF3">
        <w:rPr>
          <w:rFonts w:ascii="Times New Roman" w:hAnsi="Times New Roman" w:cs="Times New Roman"/>
          <w:b/>
          <w:bCs/>
          <w:color w:val="auto"/>
          <w:sz w:val="22"/>
          <w:szCs w:val="22"/>
        </w:rPr>
        <w:t>(</w:t>
      </w:r>
      <w:r w:rsidR="004E1FC1" w:rsidRPr="00216CF3">
        <w:rPr>
          <w:rFonts w:ascii="Times New Roman" w:hAnsi="Times New Roman" w:cs="Times New Roman"/>
          <w:b/>
          <w:bCs/>
          <w:color w:val="000000"/>
          <w:sz w:val="22"/>
          <w:szCs w:val="21"/>
        </w:rPr>
        <w:t>HGRE</w:t>
      </w:r>
      <w:r w:rsidRPr="00216CF3">
        <w:rPr>
          <w:rFonts w:ascii="Times New Roman" w:hAnsi="Times New Roman" w:cs="Times New Roman"/>
          <w:b/>
          <w:bCs/>
          <w:color w:val="auto"/>
          <w:sz w:val="22"/>
          <w:szCs w:val="22"/>
        </w:rPr>
        <w:t>)</w:t>
      </w:r>
      <w:bookmarkEnd w:id="32"/>
      <w:bookmarkEnd w:id="33"/>
      <w:r w:rsidR="004E1FC1" w:rsidRPr="00216CF3">
        <w:rPr>
          <w:rFonts w:ascii="Times New Roman" w:hAnsi="Times New Roman" w:cs="Times New Roman"/>
          <w:b/>
          <w:bCs/>
          <w:color w:val="auto"/>
          <w:sz w:val="22"/>
          <w:szCs w:val="22"/>
        </w:rPr>
        <w:t>:</w:t>
      </w:r>
      <w:r w:rsidR="004E1FC1" w:rsidRPr="004E1FC1">
        <w:t xml:space="preserve"> </w:t>
      </w:r>
      <w:r w:rsidR="004E1FC1" w:rsidRPr="004E1FC1">
        <w:rPr>
          <w:rFonts w:ascii="Times New Roman" w:hAnsi="Times New Roman" w:cs="Times New Roman"/>
          <w:color w:val="auto"/>
          <w:sz w:val="22"/>
          <w:szCs w:val="22"/>
        </w:rPr>
        <w:t>Measures the distribution of the higher gray-level values, with a higher value indicating a greater concentration of high gray-level values in the image.</w:t>
      </w:r>
    </w:p>
    <w:bookmarkEnd w:id="34"/>
    <w:bookmarkEnd w:id="35"/>
    <w:p w14:paraId="55B39AF7" w14:textId="0399CA3F" w:rsidR="00DB751D" w:rsidRPr="00412BC0" w:rsidRDefault="00DB751D" w:rsidP="00216CF3">
      <w:pPr>
        <w:jc w:val="center"/>
        <w:rPr>
          <w:sz w:val="22"/>
          <w:szCs w:val="22"/>
        </w:rPr>
      </w:pPr>
      <w:r w:rsidRPr="00412BC0">
        <w:rPr>
          <w:position w:val="-30"/>
          <w:sz w:val="22"/>
          <w:szCs w:val="22"/>
        </w:rPr>
        <w:object w:dxaOrig="3120" w:dyaOrig="700" w14:anchorId="7C248B3B">
          <v:shape id="_x0000_i1032" type="#_x0000_t75" style="width:155.6pt;height:35.6pt" o:ole="">
            <v:imagedata r:id="rId21" o:title=""/>
          </v:shape>
          <o:OLEObject Type="Embed" ProgID="Equation.DSMT4" ShapeID="_x0000_i1032" DrawAspect="Content" ObjectID="_1661463598" r:id="rId22"/>
        </w:object>
      </w:r>
    </w:p>
    <w:p w14:paraId="3789D05F" w14:textId="004211C3" w:rsidR="00DB751D" w:rsidRPr="00216CF3" w:rsidRDefault="00DB751D" w:rsidP="00216CF3">
      <w:pPr>
        <w:pStyle w:val="1"/>
        <w:numPr>
          <w:ilvl w:val="0"/>
          <w:numId w:val="1"/>
        </w:numPr>
        <w:ind w:left="360"/>
        <w:rPr>
          <w:rFonts w:ascii="Times New Roman" w:hAnsi="Times New Roman" w:cs="Times New Roman"/>
          <w:b/>
          <w:bCs/>
          <w:color w:val="auto"/>
          <w:sz w:val="22"/>
          <w:szCs w:val="22"/>
        </w:rPr>
      </w:pPr>
      <w:bookmarkStart w:id="36" w:name="_Toc475270150"/>
      <w:r w:rsidRPr="00216CF3">
        <w:rPr>
          <w:rFonts w:ascii="Times New Roman" w:hAnsi="Times New Roman" w:cs="Times New Roman"/>
          <w:b/>
          <w:bCs/>
          <w:color w:val="auto"/>
          <w:sz w:val="22"/>
          <w:szCs w:val="22"/>
        </w:rPr>
        <w:t>Form Factor Parameters</w:t>
      </w:r>
      <w:bookmarkEnd w:id="36"/>
      <w:r w:rsidRPr="00216CF3">
        <w:rPr>
          <w:rFonts w:ascii="Times New Roman" w:hAnsi="Times New Roman" w:cs="Times New Roman"/>
          <w:b/>
          <w:bCs/>
          <w:color w:val="auto"/>
          <w:sz w:val="22"/>
          <w:szCs w:val="22"/>
        </w:rPr>
        <w:t xml:space="preserve"> </w:t>
      </w:r>
    </w:p>
    <w:p w14:paraId="3D0BA0D8" w14:textId="77777777" w:rsidR="00DB751D" w:rsidRPr="00412BC0" w:rsidRDefault="00DB751D" w:rsidP="00DB751D">
      <w:pPr>
        <w:rPr>
          <w:sz w:val="22"/>
          <w:szCs w:val="22"/>
        </w:rPr>
      </w:pPr>
    </w:p>
    <w:p w14:paraId="13B7C4A4" w14:textId="28073BC5" w:rsidR="00DB751D" w:rsidRDefault="00DB751D" w:rsidP="00216CF3">
      <w:pPr>
        <w:rPr>
          <w:sz w:val="22"/>
          <w:szCs w:val="22"/>
        </w:rPr>
      </w:pPr>
      <w:r w:rsidRPr="00412BC0">
        <w:rPr>
          <w:sz w:val="22"/>
          <w:szCs w:val="22"/>
        </w:rPr>
        <w:t xml:space="preserve">These group of features includes descriptors of the three-dimensional size and shape of the tumor region. Let in the following definitions </w:t>
      </w:r>
      <m:oMath>
        <m:r>
          <w:rPr>
            <w:rFonts w:ascii="Cambria Math" w:hAnsi="Cambria Math"/>
            <w:sz w:val="22"/>
            <w:szCs w:val="22"/>
          </w:rPr>
          <m:t xml:space="preserve">V </m:t>
        </m:r>
      </m:oMath>
      <w:r w:rsidRPr="00412BC0">
        <w:rPr>
          <w:sz w:val="22"/>
          <w:szCs w:val="22"/>
        </w:rPr>
        <w:t xml:space="preserve">denote the volume and </w:t>
      </w:r>
      <m:oMath>
        <m:r>
          <w:rPr>
            <w:rFonts w:ascii="Cambria Math" w:hAnsi="Cambria Math"/>
            <w:sz w:val="22"/>
            <w:szCs w:val="22"/>
          </w:rPr>
          <m:t>A</m:t>
        </m:r>
      </m:oMath>
      <w:r w:rsidRPr="00412BC0">
        <w:rPr>
          <w:sz w:val="22"/>
          <w:szCs w:val="22"/>
        </w:rPr>
        <w:t xml:space="preserve"> the surface area of the volume of interest. We determined the following shape and size based features:</w:t>
      </w:r>
    </w:p>
    <w:p w14:paraId="388CAF89" w14:textId="77777777" w:rsidR="00216CF3" w:rsidRPr="00216CF3" w:rsidRDefault="00216CF3" w:rsidP="00216CF3">
      <w:pPr>
        <w:rPr>
          <w:sz w:val="22"/>
          <w:szCs w:val="22"/>
        </w:rPr>
      </w:pPr>
    </w:p>
    <w:p w14:paraId="19331B24" w14:textId="627648DF" w:rsidR="00DB751D" w:rsidRPr="00216CF3" w:rsidRDefault="00DB751D" w:rsidP="00412BC0">
      <w:pPr>
        <w:pStyle w:val="2"/>
        <w:numPr>
          <w:ilvl w:val="1"/>
          <w:numId w:val="1"/>
        </w:numPr>
        <w:rPr>
          <w:rFonts w:ascii="Times New Roman" w:hAnsi="Times New Roman" w:cs="Times New Roman"/>
          <w:b/>
          <w:bCs/>
          <w:color w:val="auto"/>
          <w:sz w:val="22"/>
          <w:szCs w:val="22"/>
        </w:rPr>
      </w:pPr>
      <w:bookmarkStart w:id="37" w:name="_Toc475270156"/>
      <w:r w:rsidRPr="00216CF3">
        <w:rPr>
          <w:rFonts w:ascii="Times New Roman" w:hAnsi="Times New Roman" w:cs="Times New Roman"/>
          <w:b/>
          <w:bCs/>
          <w:color w:val="auto"/>
          <w:sz w:val="22"/>
          <w:szCs w:val="22"/>
        </w:rPr>
        <w:t>Maximum 3D diameter (MajorAxisLength):</w:t>
      </w:r>
      <w:bookmarkEnd w:id="37"/>
    </w:p>
    <w:p w14:paraId="781B4274" w14:textId="087A0D95" w:rsidR="00DB751D" w:rsidRDefault="00DB751D" w:rsidP="00216CF3">
      <w:pPr>
        <w:pStyle w:val="a5"/>
        <w:spacing w:line="360" w:lineRule="auto"/>
        <w:rPr>
          <w:rFonts w:ascii="Times New Roman" w:hAnsi="Times New Roman"/>
          <w:lang w:val="en-US"/>
        </w:rPr>
      </w:pPr>
      <w:r w:rsidRPr="00412BC0">
        <w:rPr>
          <w:rFonts w:ascii="Times New Roman" w:hAnsi="Times New Roman"/>
          <w:lang w:val="en-US"/>
        </w:rPr>
        <w:t>The maximum three-dimensional tumor diameter is measured as the largest pairwise Euclidean distance, between voxels on the surface of the tumor volume.</w:t>
      </w:r>
    </w:p>
    <w:p w14:paraId="4D67BDD5" w14:textId="77777777" w:rsidR="00216CF3" w:rsidRPr="00216CF3" w:rsidRDefault="00216CF3" w:rsidP="00216CF3">
      <w:pPr>
        <w:pStyle w:val="a5"/>
        <w:spacing w:line="360" w:lineRule="auto"/>
        <w:rPr>
          <w:rFonts w:ascii="Times New Roman" w:hAnsi="Times New Roman"/>
          <w:b/>
          <w:lang w:val="en-US"/>
        </w:rPr>
      </w:pPr>
    </w:p>
    <w:p w14:paraId="494FC7B2" w14:textId="14ACC1D9" w:rsidR="00DB751D" w:rsidRPr="00216CF3" w:rsidRDefault="00DB751D" w:rsidP="00412BC0">
      <w:pPr>
        <w:pStyle w:val="a5"/>
        <w:numPr>
          <w:ilvl w:val="1"/>
          <w:numId w:val="1"/>
        </w:numPr>
        <w:spacing w:line="360" w:lineRule="auto"/>
        <w:rPr>
          <w:rStyle w:val="2Char"/>
          <w:rFonts w:ascii="Times New Roman" w:eastAsia="Calibri" w:hAnsi="Times New Roman" w:cs="Times New Roman"/>
          <w:b/>
          <w:bCs/>
          <w:color w:val="auto"/>
          <w:sz w:val="22"/>
          <w:szCs w:val="22"/>
          <w:lang w:val="en-US"/>
        </w:rPr>
      </w:pPr>
      <w:bookmarkStart w:id="38" w:name="_Toc475270158"/>
      <w:r w:rsidRPr="00216CF3">
        <w:rPr>
          <w:rStyle w:val="2Char"/>
          <w:rFonts w:ascii="Times New Roman" w:hAnsi="Times New Roman"/>
          <w:b/>
          <w:bCs/>
          <w:color w:val="auto"/>
          <w:sz w:val="22"/>
          <w:szCs w:val="22"/>
          <w:lang w:val="en-US"/>
        </w:rPr>
        <w:t>Surface to volume ratio:</w:t>
      </w:r>
      <w:bookmarkEnd w:id="38"/>
    </w:p>
    <w:p w14:paraId="48D15ED1" w14:textId="5F7C943D" w:rsidR="00DB751D" w:rsidRPr="00412BC0" w:rsidRDefault="00DB751D" w:rsidP="00DB751D">
      <w:pPr>
        <w:pStyle w:val="a5"/>
        <w:spacing w:line="360" w:lineRule="auto"/>
        <w:rPr>
          <w:rFonts w:ascii="Times New Roman" w:hAnsi="Times New Roman"/>
          <w:b/>
          <w:lang w:val="en-US"/>
        </w:rPr>
      </w:pPr>
      <w:r w:rsidRPr="00412BC0">
        <w:rPr>
          <w:rFonts w:ascii="Times New Roman" w:hAnsi="Times New Roman"/>
          <w:lang w:val="en-US"/>
        </w:rPr>
        <w:br/>
      </w:r>
      <m:oMathPara>
        <m:oMath>
          <m:r>
            <w:rPr>
              <w:rFonts w:ascii="Cambria Math" w:hAnsi="Cambria Math"/>
              <w:lang w:val="en-US"/>
            </w:rPr>
            <w:lastRenderedPageBreak/>
            <m:t>surface to volume ratio=</m:t>
          </m:r>
          <m:f>
            <m:fPr>
              <m:ctrlPr>
                <w:rPr>
                  <w:rFonts w:ascii="Cambria Math" w:hAnsi="Cambria Math"/>
                  <w:i/>
                  <w:lang w:val="en-US"/>
                </w:rPr>
              </m:ctrlPr>
            </m:fPr>
            <m:num>
              <m:r>
                <w:rPr>
                  <w:rFonts w:ascii="Cambria Math" w:hAnsi="Cambria Math"/>
                  <w:lang w:val="en-US"/>
                </w:rPr>
                <m:t>A</m:t>
              </m:r>
            </m:num>
            <m:den>
              <m:r>
                <w:rPr>
                  <w:rFonts w:ascii="Cambria Math" w:hAnsi="Cambria Math"/>
                  <w:lang w:val="en-US"/>
                </w:rPr>
                <m:t>V</m:t>
              </m:r>
            </m:den>
          </m:f>
        </m:oMath>
      </m:oMathPara>
    </w:p>
    <w:p w14:paraId="3DF09619" w14:textId="77777777" w:rsidR="00DB751D" w:rsidRPr="00412BC0" w:rsidRDefault="00DB751D" w:rsidP="00DB751D">
      <w:pPr>
        <w:rPr>
          <w:sz w:val="22"/>
          <w:szCs w:val="22"/>
        </w:rPr>
      </w:pPr>
    </w:p>
    <w:p w14:paraId="5AB314BC" w14:textId="474A60EB" w:rsidR="00412BC0" w:rsidRDefault="00412BC0" w:rsidP="00412BC0">
      <w:pPr>
        <w:pStyle w:val="1"/>
        <w:rPr>
          <w:rFonts w:ascii="Times New Roman" w:hAnsi="Times New Roman" w:cs="Times New Roman"/>
          <w:color w:val="auto"/>
          <w:sz w:val="22"/>
          <w:szCs w:val="22"/>
        </w:rPr>
      </w:pPr>
      <w:bookmarkStart w:id="39" w:name="_Toc475270194"/>
      <w:bookmarkStart w:id="40" w:name="_Toc460253028"/>
      <w:bookmarkStart w:id="41" w:name="_Toc460257385"/>
      <w:bookmarkStart w:id="42" w:name="_Toc460257489"/>
      <w:bookmarkStart w:id="43" w:name="_Toc460258008"/>
      <w:r w:rsidRPr="00412BC0">
        <w:rPr>
          <w:rFonts w:ascii="Times New Roman" w:hAnsi="Times New Roman" w:cs="Times New Roman"/>
          <w:color w:val="auto"/>
          <w:sz w:val="22"/>
          <w:szCs w:val="22"/>
        </w:rPr>
        <w:t>Reference:</w:t>
      </w:r>
      <w:bookmarkEnd w:id="39"/>
    </w:p>
    <w:p w14:paraId="0B74FD94" w14:textId="77777777" w:rsidR="00412BC0" w:rsidRPr="00412BC0" w:rsidRDefault="00412BC0" w:rsidP="00412BC0"/>
    <w:p w14:paraId="6983A3A4" w14:textId="494C3754" w:rsidR="00412BC0" w:rsidRPr="00412BC0" w:rsidRDefault="00412BC0" w:rsidP="0017413F">
      <w:pPr>
        <w:jc w:val="both"/>
        <w:rPr>
          <w:sz w:val="22"/>
          <w:szCs w:val="22"/>
        </w:rPr>
      </w:pPr>
      <w:r w:rsidRPr="00412BC0">
        <w:rPr>
          <w:sz w:val="22"/>
          <w:szCs w:val="22"/>
        </w:rPr>
        <w:t>[1] CT-based radiomic signature predicts distant metastasis in lung adenocarcinoma</w:t>
      </w:r>
      <w:r w:rsidR="0017413F">
        <w:rPr>
          <w:sz w:val="22"/>
          <w:szCs w:val="22"/>
        </w:rPr>
        <w:t xml:space="preserve"> </w:t>
      </w:r>
      <w:r w:rsidRPr="00412BC0">
        <w:rPr>
          <w:sz w:val="22"/>
          <w:szCs w:val="22"/>
        </w:rPr>
        <w:t>Coroller, Thibaud P. et al. Radiotherapy and Oncology, Volume 114, Issue 3, 345 – 350</w:t>
      </w:r>
    </w:p>
    <w:p w14:paraId="7A29C0E3" w14:textId="77777777" w:rsidR="00412BC0" w:rsidRPr="00412BC0" w:rsidRDefault="00412BC0" w:rsidP="0017413F">
      <w:pPr>
        <w:jc w:val="both"/>
        <w:rPr>
          <w:sz w:val="22"/>
          <w:szCs w:val="22"/>
        </w:rPr>
      </w:pPr>
    </w:p>
    <w:p w14:paraId="2ED9BD67" w14:textId="77777777" w:rsidR="00412BC0" w:rsidRPr="00412BC0" w:rsidRDefault="00412BC0" w:rsidP="0017413F">
      <w:pPr>
        <w:jc w:val="both"/>
        <w:rPr>
          <w:sz w:val="22"/>
          <w:szCs w:val="22"/>
        </w:rPr>
      </w:pPr>
      <w:r w:rsidRPr="00412BC0">
        <w:rPr>
          <w:sz w:val="22"/>
          <w:szCs w:val="22"/>
        </w:rPr>
        <w:t xml:space="preserve">[2] P. Mohanaiah, P. Sathyanarayana and L. GuruKumar, </w:t>
      </w:r>
      <w:r w:rsidRPr="00412BC0">
        <w:rPr>
          <w:i/>
          <w:sz w:val="22"/>
          <w:szCs w:val="22"/>
        </w:rPr>
        <w:t>Image Texture Feature Extraction Using GLCM Approach</w:t>
      </w:r>
      <w:r w:rsidRPr="00412BC0">
        <w:rPr>
          <w:sz w:val="22"/>
          <w:szCs w:val="22"/>
        </w:rPr>
        <w:t xml:space="preserve">, International Journal of Scientific and Research Publications, Volume 3, Issue 5, May 2013 </w:t>
      </w:r>
    </w:p>
    <w:p w14:paraId="7243D27C" w14:textId="77777777" w:rsidR="00412BC0" w:rsidRPr="00412BC0" w:rsidRDefault="00412BC0" w:rsidP="0017413F">
      <w:pPr>
        <w:jc w:val="both"/>
        <w:rPr>
          <w:sz w:val="22"/>
          <w:szCs w:val="22"/>
        </w:rPr>
      </w:pPr>
    </w:p>
    <w:p w14:paraId="2EEED67C" w14:textId="77777777" w:rsidR="00412BC0" w:rsidRPr="00412BC0" w:rsidRDefault="00412BC0" w:rsidP="0017413F">
      <w:pPr>
        <w:jc w:val="both"/>
        <w:rPr>
          <w:sz w:val="22"/>
          <w:szCs w:val="22"/>
        </w:rPr>
      </w:pPr>
      <w:r w:rsidRPr="00412BC0">
        <w:rPr>
          <w:sz w:val="22"/>
          <w:szCs w:val="22"/>
        </w:rPr>
        <w:t xml:space="preserve">[3] </w:t>
      </w:r>
      <w:r w:rsidRPr="00412BC0">
        <w:rPr>
          <w:i/>
          <w:iCs/>
          <w:sz w:val="22"/>
          <w:szCs w:val="22"/>
        </w:rPr>
        <w:t>NIST/SEMATECH e-Handbook of Statistical Methods</w:t>
      </w:r>
      <w:r w:rsidRPr="00412BC0">
        <w:rPr>
          <w:sz w:val="22"/>
          <w:szCs w:val="22"/>
        </w:rPr>
        <w:t>, http://www.itl.nist.gov/div898/handbook/.</w:t>
      </w:r>
    </w:p>
    <w:p w14:paraId="1BA71B35" w14:textId="77777777" w:rsidR="00412BC0" w:rsidRPr="00412BC0" w:rsidRDefault="00412BC0" w:rsidP="0017413F">
      <w:pPr>
        <w:pStyle w:val="a4"/>
        <w:jc w:val="both"/>
        <w:rPr>
          <w:sz w:val="22"/>
          <w:szCs w:val="22"/>
        </w:rPr>
      </w:pPr>
      <w:r w:rsidRPr="00412BC0">
        <w:rPr>
          <w:rFonts w:ascii="TimesNewRoman" w:hAnsi="TimesNewRoman"/>
          <w:sz w:val="22"/>
          <w:szCs w:val="22"/>
        </w:rPr>
        <w:t xml:space="preserve">[4] </w:t>
      </w:r>
      <w:r w:rsidRPr="00412BC0">
        <w:rPr>
          <w:sz w:val="22"/>
          <w:szCs w:val="22"/>
        </w:rPr>
        <w:t>Alnihoud J., “Content-Based Image Retrieval System Based on Self Organizing Map, Fuzzy Color Histogram and Subtractive Fuzzy Clustering,” International Arab Journal of Information Technology, vol. 9, no. 5, pp. 452- 458, 2012.</w:t>
      </w:r>
      <w:r w:rsidRPr="00412BC0">
        <w:rPr>
          <w:rFonts w:ascii="TimesNewRoman" w:hAnsi="TimesNewRoman"/>
          <w:sz w:val="22"/>
          <w:szCs w:val="22"/>
        </w:rPr>
        <w:t xml:space="preserve"> </w:t>
      </w:r>
    </w:p>
    <w:p w14:paraId="14418442" w14:textId="1E295680" w:rsidR="00412BC0" w:rsidRPr="00412BC0" w:rsidRDefault="00412BC0" w:rsidP="0017413F">
      <w:pPr>
        <w:jc w:val="both"/>
        <w:rPr>
          <w:sz w:val="22"/>
          <w:szCs w:val="22"/>
        </w:rPr>
      </w:pPr>
      <w:r w:rsidRPr="00412BC0">
        <w:rPr>
          <w:sz w:val="22"/>
          <w:szCs w:val="22"/>
        </w:rPr>
        <w:t>[5] Balanda, Kevin P., and H. L. MacGillivray. 1988.</w:t>
      </w:r>
      <w:r w:rsidR="0017413F">
        <w:rPr>
          <w:sz w:val="22"/>
          <w:szCs w:val="22"/>
        </w:rPr>
        <w:t xml:space="preserve"> </w:t>
      </w:r>
      <w:r w:rsidRPr="00412BC0">
        <w:rPr>
          <w:sz w:val="22"/>
          <w:szCs w:val="22"/>
        </w:rPr>
        <w:t xml:space="preserve">“Kurtosis: A Critical Review”. </w:t>
      </w:r>
      <w:r w:rsidRPr="00412BC0">
        <w:rPr>
          <w:i/>
          <w:iCs/>
          <w:sz w:val="22"/>
          <w:szCs w:val="22"/>
        </w:rPr>
        <w:t>The American Statistician</w:t>
      </w:r>
      <w:r w:rsidRPr="00412BC0">
        <w:rPr>
          <w:sz w:val="22"/>
          <w:szCs w:val="22"/>
        </w:rPr>
        <w:t xml:space="preserve"> 42(2), 111–119. </w:t>
      </w:r>
    </w:p>
    <w:p w14:paraId="307B9DD0" w14:textId="77777777" w:rsidR="00412BC0" w:rsidRPr="00412BC0" w:rsidRDefault="00412BC0" w:rsidP="0017413F">
      <w:pPr>
        <w:jc w:val="both"/>
        <w:rPr>
          <w:sz w:val="22"/>
          <w:szCs w:val="22"/>
        </w:rPr>
      </w:pPr>
    </w:p>
    <w:p w14:paraId="1161F321" w14:textId="77777777" w:rsidR="00412BC0" w:rsidRPr="00412BC0" w:rsidRDefault="00412BC0" w:rsidP="0017413F">
      <w:pPr>
        <w:jc w:val="both"/>
        <w:rPr>
          <w:sz w:val="22"/>
          <w:szCs w:val="22"/>
        </w:rPr>
      </w:pPr>
      <w:r w:rsidRPr="00412BC0">
        <w:rPr>
          <w:sz w:val="22"/>
          <w:szCs w:val="22"/>
        </w:rPr>
        <w:t>[6] https://en.wikipedia.org/wiki/Kurtosis</w:t>
      </w:r>
    </w:p>
    <w:p w14:paraId="75B90629" w14:textId="77777777" w:rsidR="00412BC0" w:rsidRPr="00412BC0" w:rsidRDefault="00412BC0" w:rsidP="0017413F">
      <w:pPr>
        <w:jc w:val="both"/>
        <w:rPr>
          <w:sz w:val="22"/>
          <w:szCs w:val="22"/>
        </w:rPr>
      </w:pPr>
    </w:p>
    <w:p w14:paraId="562E568B" w14:textId="77777777" w:rsidR="00412BC0" w:rsidRPr="00412BC0" w:rsidRDefault="00412BC0" w:rsidP="0017413F">
      <w:pPr>
        <w:jc w:val="both"/>
        <w:rPr>
          <w:b/>
          <w:sz w:val="22"/>
          <w:szCs w:val="22"/>
        </w:rPr>
      </w:pPr>
      <w:r w:rsidRPr="00412BC0">
        <w:rPr>
          <w:sz w:val="22"/>
          <w:szCs w:val="22"/>
        </w:rPr>
        <w:t xml:space="preserve">[7] Bland, J.M.; Altman, D.G. (1996). </w:t>
      </w:r>
      <w:hyperlink r:id="rId23" w:history="1">
        <w:r w:rsidRPr="00412BC0">
          <w:rPr>
            <w:sz w:val="22"/>
            <w:szCs w:val="22"/>
          </w:rPr>
          <w:t>"Statistics notes: measurement error"</w:t>
        </w:r>
      </w:hyperlink>
      <w:r w:rsidRPr="00412BC0">
        <w:rPr>
          <w:b/>
          <w:sz w:val="22"/>
          <w:szCs w:val="22"/>
        </w:rPr>
        <w:t xml:space="preserve"> </w:t>
      </w:r>
      <w:r w:rsidRPr="00412BC0">
        <w:rPr>
          <w:i/>
          <w:iCs/>
          <w:sz w:val="22"/>
          <w:szCs w:val="22"/>
        </w:rPr>
        <w:t>BMJ</w:t>
      </w:r>
      <w:r w:rsidRPr="00412BC0">
        <w:rPr>
          <w:sz w:val="22"/>
          <w:szCs w:val="22"/>
        </w:rPr>
        <w:t xml:space="preserve">. </w:t>
      </w:r>
      <w:r w:rsidRPr="00412BC0">
        <w:rPr>
          <w:b/>
          <w:bCs/>
          <w:sz w:val="22"/>
          <w:szCs w:val="22"/>
        </w:rPr>
        <w:t>312</w:t>
      </w:r>
      <w:r w:rsidRPr="00412BC0">
        <w:rPr>
          <w:sz w:val="22"/>
          <w:szCs w:val="22"/>
        </w:rPr>
        <w:t xml:space="preserve"> (7047): 1654.</w:t>
      </w:r>
      <w:r w:rsidRPr="00412BC0">
        <w:rPr>
          <w:b/>
          <w:sz w:val="22"/>
          <w:szCs w:val="22"/>
        </w:rPr>
        <w:t xml:space="preserve"> </w:t>
      </w:r>
    </w:p>
    <w:p w14:paraId="4ABAF1E1" w14:textId="77777777" w:rsidR="00412BC0" w:rsidRPr="00412BC0" w:rsidRDefault="00412BC0" w:rsidP="00412BC0">
      <w:pPr>
        <w:rPr>
          <w:b/>
          <w:sz w:val="22"/>
          <w:szCs w:val="22"/>
        </w:rPr>
      </w:pPr>
    </w:p>
    <w:bookmarkEnd w:id="40"/>
    <w:bookmarkEnd w:id="41"/>
    <w:bookmarkEnd w:id="42"/>
    <w:bookmarkEnd w:id="43"/>
    <w:p w14:paraId="00DE2759" w14:textId="77777777" w:rsidR="00412BC0" w:rsidRPr="00412BC0" w:rsidRDefault="00412BC0" w:rsidP="00412BC0">
      <w:pPr>
        <w:rPr>
          <w:sz w:val="22"/>
          <w:szCs w:val="22"/>
        </w:rPr>
      </w:pPr>
    </w:p>
    <w:p w14:paraId="236F33D7" w14:textId="77777777" w:rsidR="00DB751D" w:rsidRPr="00412BC0" w:rsidRDefault="00DB751D" w:rsidP="00DB751D">
      <w:pPr>
        <w:rPr>
          <w:sz w:val="22"/>
          <w:szCs w:val="22"/>
        </w:rPr>
      </w:pPr>
    </w:p>
    <w:sectPr w:rsidR="00DB751D" w:rsidRPr="00412BC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88AE39" w14:textId="77777777" w:rsidR="008D4FE1" w:rsidRDefault="008D4FE1" w:rsidP="00187180">
      <w:r>
        <w:separator/>
      </w:r>
    </w:p>
  </w:endnote>
  <w:endnote w:type="continuationSeparator" w:id="0">
    <w:p w14:paraId="14E3955B" w14:textId="77777777" w:rsidR="008D4FE1" w:rsidRDefault="008D4FE1" w:rsidP="00187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iti SC">
    <w:charset w:val="88"/>
    <w:family w:val="auto"/>
    <w:pitch w:val="variable"/>
    <w:sig w:usb0="8000002F" w:usb1="0808004A" w:usb2="00000010" w:usb3="00000000" w:csb0="003E0000" w:csb1="00000000"/>
  </w:font>
  <w:font w:name="TimesNew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4E8DE6" w14:textId="77777777" w:rsidR="008D4FE1" w:rsidRDefault="008D4FE1" w:rsidP="00187180">
      <w:r>
        <w:separator/>
      </w:r>
    </w:p>
  </w:footnote>
  <w:footnote w:type="continuationSeparator" w:id="0">
    <w:p w14:paraId="42B0C687" w14:textId="77777777" w:rsidR="008D4FE1" w:rsidRDefault="008D4FE1" w:rsidP="001871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5B41C2"/>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19D12BCD"/>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49C42F1A"/>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4B6F272A"/>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nsid w:val="57DA0F40"/>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nsid w:val="5F87768C"/>
    <w:multiLevelType w:val="hybridMultilevel"/>
    <w:tmpl w:val="F530D2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01969C0"/>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64350D74"/>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664C2C4A"/>
    <w:multiLevelType w:val="multilevel"/>
    <w:tmpl w:val="ED045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color w:val="auto"/>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6"/>
  </w:num>
  <w:num w:numId="2">
    <w:abstractNumId w:val="0"/>
  </w:num>
  <w:num w:numId="3">
    <w:abstractNumId w:val="3"/>
  </w:num>
  <w:num w:numId="4">
    <w:abstractNumId w:val="5"/>
  </w:num>
  <w:num w:numId="5">
    <w:abstractNumId w:val="4"/>
  </w:num>
  <w:num w:numId="6">
    <w:abstractNumId w:val="8"/>
  </w:num>
  <w:num w:numId="7">
    <w:abstractNumId w:val="1"/>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Gu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F84655"/>
    <w:rsid w:val="000603FF"/>
    <w:rsid w:val="000813A6"/>
    <w:rsid w:val="000C71C0"/>
    <w:rsid w:val="0017413F"/>
    <w:rsid w:val="00187180"/>
    <w:rsid w:val="00216CF3"/>
    <w:rsid w:val="00412BC0"/>
    <w:rsid w:val="004E1FC1"/>
    <w:rsid w:val="005F7BA7"/>
    <w:rsid w:val="006A250D"/>
    <w:rsid w:val="006B2CFC"/>
    <w:rsid w:val="00767A53"/>
    <w:rsid w:val="008D4FE1"/>
    <w:rsid w:val="00991F44"/>
    <w:rsid w:val="00AE61E9"/>
    <w:rsid w:val="00C405A1"/>
    <w:rsid w:val="00C54842"/>
    <w:rsid w:val="00CB4D85"/>
    <w:rsid w:val="00DB751D"/>
    <w:rsid w:val="00EF14FF"/>
    <w:rsid w:val="00F70C12"/>
    <w:rsid w:val="00F84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0CC1F9"/>
  <w15:chartTrackingRefBased/>
  <w15:docId w15:val="{092E02BF-CBA8-41F9-BCA4-D086D9D8E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4655"/>
    <w:pPr>
      <w:spacing w:after="0" w:line="240" w:lineRule="auto"/>
    </w:pPr>
    <w:rPr>
      <w:rFonts w:ascii="Times New Roman" w:eastAsia="宋体" w:hAnsi="Times New Roman" w:cs="Times New Roman"/>
      <w:sz w:val="24"/>
      <w:szCs w:val="24"/>
      <w:lang w:eastAsia="en-US"/>
    </w:rPr>
  </w:style>
  <w:style w:type="paragraph" w:styleId="1">
    <w:name w:val="heading 1"/>
    <w:basedOn w:val="a"/>
    <w:next w:val="a"/>
    <w:link w:val="1Char"/>
    <w:uiPriority w:val="9"/>
    <w:qFormat/>
    <w:rsid w:val="00AE61E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unhideWhenUsed/>
    <w:qFormat/>
    <w:rsid w:val="00F8465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Char"/>
    <w:uiPriority w:val="9"/>
    <w:unhideWhenUsed/>
    <w:qFormat/>
    <w:rsid w:val="00F84655"/>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84655"/>
    <w:rPr>
      <w:rFonts w:asciiTheme="majorHAnsi" w:eastAsiaTheme="majorEastAsia" w:hAnsiTheme="majorHAnsi" w:cstheme="majorBidi"/>
      <w:color w:val="2F5496" w:themeColor="accent1" w:themeShade="BF"/>
      <w:sz w:val="26"/>
      <w:szCs w:val="26"/>
      <w:lang w:eastAsia="en-US"/>
    </w:rPr>
  </w:style>
  <w:style w:type="paragraph" w:styleId="a3">
    <w:name w:val="Balloon Text"/>
    <w:basedOn w:val="a"/>
    <w:link w:val="Char"/>
    <w:uiPriority w:val="99"/>
    <w:semiHidden/>
    <w:unhideWhenUsed/>
    <w:rsid w:val="00F84655"/>
    <w:rPr>
      <w:rFonts w:ascii="Segoe UI" w:hAnsi="Segoe UI" w:cs="Segoe UI"/>
      <w:sz w:val="18"/>
      <w:szCs w:val="18"/>
    </w:rPr>
  </w:style>
  <w:style w:type="character" w:customStyle="1" w:styleId="Char">
    <w:name w:val="批注框文本 Char"/>
    <w:basedOn w:val="a0"/>
    <w:link w:val="a3"/>
    <w:uiPriority w:val="99"/>
    <w:semiHidden/>
    <w:rsid w:val="00F84655"/>
    <w:rPr>
      <w:rFonts w:ascii="Segoe UI" w:eastAsia="宋体" w:hAnsi="Segoe UI" w:cs="Segoe UI"/>
      <w:sz w:val="18"/>
      <w:szCs w:val="18"/>
      <w:lang w:eastAsia="en-US"/>
    </w:rPr>
  </w:style>
  <w:style w:type="character" w:customStyle="1" w:styleId="3Char">
    <w:name w:val="标题 3 Char"/>
    <w:basedOn w:val="a0"/>
    <w:link w:val="3"/>
    <w:uiPriority w:val="9"/>
    <w:rsid w:val="00F84655"/>
    <w:rPr>
      <w:rFonts w:asciiTheme="majorHAnsi" w:eastAsiaTheme="majorEastAsia" w:hAnsiTheme="majorHAnsi" w:cstheme="majorBidi"/>
      <w:color w:val="1F3763" w:themeColor="accent1" w:themeShade="7F"/>
      <w:sz w:val="24"/>
      <w:szCs w:val="24"/>
      <w:lang w:eastAsia="en-US"/>
    </w:rPr>
  </w:style>
  <w:style w:type="character" w:customStyle="1" w:styleId="1Char">
    <w:name w:val="标题 1 Char"/>
    <w:basedOn w:val="a0"/>
    <w:link w:val="1"/>
    <w:uiPriority w:val="9"/>
    <w:rsid w:val="00AE61E9"/>
    <w:rPr>
      <w:rFonts w:asciiTheme="majorHAnsi" w:eastAsiaTheme="majorEastAsia" w:hAnsiTheme="majorHAnsi" w:cstheme="majorBidi"/>
      <w:color w:val="2F5496" w:themeColor="accent1" w:themeShade="BF"/>
      <w:sz w:val="32"/>
      <w:szCs w:val="32"/>
      <w:lang w:eastAsia="en-US"/>
    </w:rPr>
  </w:style>
  <w:style w:type="paragraph" w:styleId="a4">
    <w:name w:val="Normal (Web)"/>
    <w:basedOn w:val="a"/>
    <w:uiPriority w:val="99"/>
    <w:unhideWhenUsed/>
    <w:rsid w:val="00AE61E9"/>
    <w:pPr>
      <w:spacing w:before="100" w:beforeAutospacing="1" w:after="100" w:afterAutospacing="1"/>
    </w:pPr>
  </w:style>
  <w:style w:type="paragraph" w:styleId="a5">
    <w:name w:val="List Paragraph"/>
    <w:basedOn w:val="a"/>
    <w:uiPriority w:val="34"/>
    <w:qFormat/>
    <w:rsid w:val="00DB751D"/>
    <w:pPr>
      <w:spacing w:after="200" w:line="276" w:lineRule="auto"/>
      <w:ind w:left="720"/>
      <w:contextualSpacing/>
      <w:jc w:val="both"/>
    </w:pPr>
    <w:rPr>
      <w:rFonts w:ascii="Calibri" w:eastAsia="Calibri" w:hAnsi="Calibri"/>
      <w:sz w:val="22"/>
      <w:szCs w:val="22"/>
      <w:lang w:val="es-ES"/>
    </w:rPr>
  </w:style>
  <w:style w:type="character" w:styleId="a6">
    <w:name w:val="Placeholder Text"/>
    <w:basedOn w:val="a0"/>
    <w:uiPriority w:val="99"/>
    <w:semiHidden/>
    <w:rsid w:val="006A250D"/>
    <w:rPr>
      <w:color w:val="808080"/>
    </w:rPr>
  </w:style>
  <w:style w:type="paragraph" w:styleId="a7">
    <w:name w:val="header"/>
    <w:basedOn w:val="a"/>
    <w:link w:val="Char0"/>
    <w:uiPriority w:val="99"/>
    <w:unhideWhenUsed/>
    <w:rsid w:val="001871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187180"/>
    <w:rPr>
      <w:rFonts w:ascii="Times New Roman" w:eastAsia="宋体" w:hAnsi="Times New Roman" w:cs="Times New Roman"/>
      <w:sz w:val="18"/>
      <w:szCs w:val="18"/>
      <w:lang w:eastAsia="en-US"/>
    </w:rPr>
  </w:style>
  <w:style w:type="paragraph" w:styleId="a8">
    <w:name w:val="footer"/>
    <w:basedOn w:val="a"/>
    <w:link w:val="Char1"/>
    <w:uiPriority w:val="99"/>
    <w:unhideWhenUsed/>
    <w:rsid w:val="00187180"/>
    <w:pPr>
      <w:tabs>
        <w:tab w:val="center" w:pos="4153"/>
        <w:tab w:val="right" w:pos="8306"/>
      </w:tabs>
      <w:snapToGrid w:val="0"/>
    </w:pPr>
    <w:rPr>
      <w:sz w:val="18"/>
      <w:szCs w:val="18"/>
    </w:rPr>
  </w:style>
  <w:style w:type="character" w:customStyle="1" w:styleId="Char1">
    <w:name w:val="页脚 Char"/>
    <w:basedOn w:val="a0"/>
    <w:link w:val="a8"/>
    <w:uiPriority w:val="99"/>
    <w:rsid w:val="00187180"/>
    <w:rPr>
      <w:rFonts w:ascii="Times New Roman" w:eastAsia="宋体" w:hAnsi="Times New Roman"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hyperlink" Target="https://www.ncbi.nlm.nih.gov/pmc/articles/PMC2351401" TargetMode="External"/><Relationship Id="rId10" Type="http://schemas.openxmlformats.org/officeDocument/2006/relationships/oleObject" Target="embeddings/oleObject2.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5</Pages>
  <Words>1308</Words>
  <Characters>7457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Siyun (GE Healthcare)</dc:creator>
  <cp:keywords/>
  <dc:description/>
  <cp:lastModifiedBy>ZJ</cp:lastModifiedBy>
  <cp:revision>18</cp:revision>
  <dcterms:created xsi:type="dcterms:W3CDTF">2020-09-10T13:08:00Z</dcterms:created>
  <dcterms:modified xsi:type="dcterms:W3CDTF">2020-09-12T16:53:00Z</dcterms:modified>
</cp:coreProperties>
</file>