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74F51" w14:textId="276C5769" w:rsidR="006D2517" w:rsidRPr="00D0415B" w:rsidRDefault="00FA342B" w:rsidP="00FA342B">
      <w:pPr>
        <w:pBdr>
          <w:top w:val="nil"/>
          <w:left w:val="nil"/>
          <w:bottom w:val="nil"/>
          <w:right w:val="nil"/>
          <w:between w:val="nil"/>
        </w:pBdr>
        <w:spacing w:line="360" w:lineRule="auto"/>
        <w:ind w:right="146"/>
        <w:rPr>
          <w:rFonts w:asciiTheme="majorBidi" w:hAnsiTheme="majorBidi" w:cstheme="majorBidi"/>
          <w:b/>
          <w:bCs/>
          <w:sz w:val="28"/>
          <w:szCs w:val="28"/>
        </w:rPr>
      </w:pPr>
      <w:r w:rsidRPr="00D0415B">
        <w:rPr>
          <w:rFonts w:asciiTheme="majorBidi" w:hAnsiTheme="majorBidi" w:cstheme="majorBidi"/>
          <w:b/>
          <w:bCs/>
          <w:sz w:val="28"/>
          <w:szCs w:val="28"/>
        </w:rPr>
        <w:t>Enhancing Tobacco Productivity and Phytochemical Quality through Optimized Nitrogen and Amino Acid Foliar Applications</w:t>
      </w:r>
    </w:p>
    <w:p w14:paraId="0781AAB7" w14:textId="2604CF1E" w:rsidR="00822F4C" w:rsidRPr="00D0415B" w:rsidRDefault="005773AF" w:rsidP="005877F1">
      <w:pPr>
        <w:spacing w:after="33" w:line="360" w:lineRule="auto"/>
        <w:ind w:right="146"/>
        <w:rPr>
          <w:rFonts w:asciiTheme="majorBidi" w:hAnsiTheme="majorBidi" w:cstheme="majorBidi"/>
          <w:b/>
          <w:bCs/>
          <w:sz w:val="24"/>
          <w:szCs w:val="24"/>
        </w:rPr>
      </w:pPr>
      <w:proofErr w:type="spellStart"/>
      <w:r w:rsidRPr="00D0415B">
        <w:rPr>
          <w:rFonts w:asciiTheme="majorBidi" w:hAnsiTheme="majorBidi" w:cstheme="majorBidi"/>
          <w:b/>
          <w:bCs/>
          <w:sz w:val="24"/>
          <w:szCs w:val="24"/>
        </w:rPr>
        <w:t>Hayder</w:t>
      </w:r>
      <w:proofErr w:type="spellEnd"/>
      <w:r w:rsidRPr="00D0415B">
        <w:rPr>
          <w:rFonts w:asciiTheme="majorBidi" w:hAnsiTheme="majorBidi" w:cstheme="majorBidi"/>
          <w:b/>
          <w:bCs/>
          <w:sz w:val="24"/>
          <w:szCs w:val="24"/>
        </w:rPr>
        <w:t xml:space="preserve"> </w:t>
      </w:r>
      <w:proofErr w:type="spellStart"/>
      <w:r w:rsidRPr="00D0415B">
        <w:rPr>
          <w:rFonts w:asciiTheme="majorBidi" w:hAnsiTheme="majorBidi" w:cstheme="majorBidi"/>
          <w:b/>
          <w:bCs/>
          <w:sz w:val="24"/>
          <w:szCs w:val="24"/>
        </w:rPr>
        <w:t>Ramadhan</w:t>
      </w:r>
      <w:proofErr w:type="spellEnd"/>
      <w:r w:rsidRPr="00D0415B">
        <w:rPr>
          <w:rFonts w:asciiTheme="majorBidi" w:hAnsiTheme="majorBidi" w:cstheme="majorBidi"/>
          <w:b/>
          <w:bCs/>
          <w:sz w:val="24"/>
          <w:szCs w:val="24"/>
        </w:rPr>
        <w:t xml:space="preserve"> Alhasnawi</w:t>
      </w:r>
      <w:r w:rsidRPr="00D0415B">
        <w:rPr>
          <w:rFonts w:asciiTheme="majorBidi" w:hAnsiTheme="majorBidi" w:cstheme="majorBidi"/>
          <w:b/>
          <w:bCs/>
          <w:sz w:val="24"/>
          <w:szCs w:val="24"/>
          <w:vertAlign w:val="superscript"/>
        </w:rPr>
        <w:t>1</w:t>
      </w:r>
      <w:r w:rsidRPr="00D0415B">
        <w:rPr>
          <w:rFonts w:asciiTheme="majorBidi" w:hAnsiTheme="majorBidi" w:cstheme="majorBidi"/>
          <w:b/>
          <w:bCs/>
          <w:sz w:val="24"/>
          <w:szCs w:val="24"/>
        </w:rPr>
        <w:t>, Mahdi Ayyari</w:t>
      </w:r>
      <w:r w:rsidRPr="00D0415B">
        <w:rPr>
          <w:rFonts w:asciiTheme="majorBidi" w:hAnsiTheme="majorBidi" w:cstheme="majorBidi"/>
          <w:b/>
          <w:bCs/>
          <w:sz w:val="24"/>
          <w:szCs w:val="24"/>
          <w:vertAlign w:val="superscript"/>
        </w:rPr>
        <w:t>1</w:t>
      </w:r>
      <w:r w:rsidRPr="00D0415B">
        <w:rPr>
          <w:rFonts w:asciiTheme="majorBidi" w:hAnsiTheme="majorBidi" w:cstheme="majorBidi"/>
          <w:b/>
          <w:bCs/>
          <w:sz w:val="24"/>
          <w:szCs w:val="24"/>
        </w:rPr>
        <w:t xml:space="preserve">, </w:t>
      </w:r>
      <w:proofErr w:type="spellStart"/>
      <w:r w:rsidRPr="00D0415B">
        <w:rPr>
          <w:rFonts w:asciiTheme="majorBidi" w:hAnsiTheme="majorBidi" w:cstheme="majorBidi"/>
          <w:b/>
          <w:bCs/>
          <w:sz w:val="24"/>
          <w:szCs w:val="24"/>
        </w:rPr>
        <w:t>Hossein</w:t>
      </w:r>
      <w:proofErr w:type="spellEnd"/>
      <w:r w:rsidRPr="00D0415B">
        <w:rPr>
          <w:rFonts w:asciiTheme="majorBidi" w:hAnsiTheme="majorBidi" w:cstheme="majorBidi"/>
          <w:b/>
          <w:bCs/>
          <w:sz w:val="24"/>
          <w:szCs w:val="24"/>
        </w:rPr>
        <w:t xml:space="preserve"> Dehghan</w:t>
      </w:r>
      <w:r w:rsidRPr="00D0415B">
        <w:rPr>
          <w:rFonts w:asciiTheme="majorBidi" w:hAnsiTheme="majorBidi" w:cstheme="majorBidi"/>
          <w:b/>
          <w:bCs/>
          <w:sz w:val="24"/>
          <w:szCs w:val="24"/>
          <w:vertAlign w:val="superscript"/>
        </w:rPr>
        <w:t>2</w:t>
      </w:r>
      <w:r w:rsidRPr="00D0415B">
        <w:rPr>
          <w:rFonts w:asciiTheme="majorBidi" w:hAnsiTheme="majorBidi" w:cstheme="majorBidi"/>
          <w:b/>
          <w:bCs/>
          <w:sz w:val="24"/>
          <w:szCs w:val="24"/>
        </w:rPr>
        <w:t xml:space="preserve">, Arman </w:t>
      </w:r>
      <w:proofErr w:type="spellStart"/>
      <w:r w:rsidRPr="00D0415B">
        <w:rPr>
          <w:rFonts w:asciiTheme="majorBidi" w:hAnsiTheme="majorBidi" w:cstheme="majorBidi"/>
          <w:b/>
          <w:bCs/>
          <w:sz w:val="24"/>
          <w:szCs w:val="24"/>
        </w:rPr>
        <w:t>Beyraghdar</w:t>
      </w:r>
      <w:proofErr w:type="spellEnd"/>
      <w:r w:rsidRPr="00D0415B">
        <w:rPr>
          <w:rFonts w:asciiTheme="majorBidi" w:hAnsiTheme="majorBidi" w:cstheme="majorBidi"/>
          <w:b/>
          <w:bCs/>
          <w:sz w:val="24"/>
          <w:szCs w:val="24"/>
        </w:rPr>
        <w:t xml:space="preserve"> Kashkooli</w:t>
      </w:r>
      <w:r w:rsidRPr="00D0415B">
        <w:rPr>
          <w:rFonts w:asciiTheme="majorBidi" w:hAnsiTheme="majorBidi" w:cstheme="majorBidi"/>
          <w:b/>
          <w:bCs/>
          <w:sz w:val="24"/>
          <w:szCs w:val="24"/>
          <w:vertAlign w:val="superscript"/>
        </w:rPr>
        <w:t>1*</w:t>
      </w:r>
    </w:p>
    <w:p w14:paraId="60AF9CB2" w14:textId="451B45A5" w:rsidR="00822F4C" w:rsidRPr="00D0415B" w:rsidRDefault="00C67B23" w:rsidP="005877F1">
      <w:pPr>
        <w:spacing w:after="33" w:line="360" w:lineRule="auto"/>
        <w:ind w:right="146"/>
        <w:rPr>
          <w:rFonts w:asciiTheme="majorBidi" w:hAnsiTheme="majorBidi" w:cstheme="majorBidi"/>
          <w:b/>
          <w:bCs/>
        </w:rPr>
      </w:pPr>
      <w:r w:rsidRPr="00D0415B">
        <w:rPr>
          <w:rFonts w:asciiTheme="majorBidi" w:hAnsiTheme="majorBidi" w:cstheme="majorBidi"/>
          <w:b/>
          <w:bCs/>
          <w:vertAlign w:val="superscript"/>
        </w:rPr>
        <w:t>1</w:t>
      </w:r>
      <w:r w:rsidR="007D4DF4" w:rsidRPr="00D0415B">
        <w:rPr>
          <w:rFonts w:asciiTheme="majorBidi" w:hAnsiTheme="majorBidi" w:cstheme="majorBidi"/>
          <w:b/>
          <w:bCs/>
        </w:rPr>
        <w:t xml:space="preserve">Department of Horticultural Science, Faculty of Agriculture, </w:t>
      </w:r>
      <w:proofErr w:type="spellStart"/>
      <w:r w:rsidR="007D4DF4" w:rsidRPr="00D0415B">
        <w:rPr>
          <w:rFonts w:asciiTheme="majorBidi" w:hAnsiTheme="majorBidi" w:cstheme="majorBidi"/>
          <w:b/>
          <w:bCs/>
        </w:rPr>
        <w:t>Tarbiat</w:t>
      </w:r>
      <w:proofErr w:type="spellEnd"/>
      <w:r w:rsidR="007D4DF4" w:rsidRPr="00D0415B">
        <w:rPr>
          <w:rFonts w:asciiTheme="majorBidi" w:hAnsiTheme="majorBidi" w:cstheme="majorBidi"/>
          <w:b/>
          <w:bCs/>
        </w:rPr>
        <w:t xml:space="preserve"> </w:t>
      </w:r>
      <w:proofErr w:type="spellStart"/>
      <w:r w:rsidR="007D4DF4" w:rsidRPr="00D0415B">
        <w:rPr>
          <w:rFonts w:asciiTheme="majorBidi" w:hAnsiTheme="majorBidi" w:cstheme="majorBidi"/>
          <w:b/>
          <w:bCs/>
        </w:rPr>
        <w:t>Modares</w:t>
      </w:r>
      <w:proofErr w:type="spellEnd"/>
      <w:r w:rsidR="007D4DF4" w:rsidRPr="00D0415B">
        <w:rPr>
          <w:rFonts w:asciiTheme="majorBidi" w:hAnsiTheme="majorBidi" w:cstheme="majorBidi"/>
          <w:b/>
          <w:bCs/>
        </w:rPr>
        <w:t xml:space="preserve"> University, PO Box 14115-336, Tehran, Iran</w:t>
      </w:r>
    </w:p>
    <w:p w14:paraId="579D0AF4" w14:textId="2062687B" w:rsidR="007D4DF4" w:rsidRPr="00D0415B" w:rsidRDefault="007D4DF4" w:rsidP="007D4DF4">
      <w:pPr>
        <w:spacing w:after="33" w:line="360" w:lineRule="auto"/>
        <w:ind w:right="146"/>
        <w:rPr>
          <w:rFonts w:asciiTheme="majorBidi" w:hAnsiTheme="majorBidi" w:cstheme="majorBidi"/>
          <w:b/>
          <w:bCs/>
        </w:rPr>
      </w:pPr>
      <w:r w:rsidRPr="00D0415B">
        <w:rPr>
          <w:rFonts w:asciiTheme="majorBidi" w:hAnsiTheme="majorBidi" w:cstheme="majorBidi"/>
          <w:b/>
          <w:bCs/>
          <w:vertAlign w:val="superscript"/>
        </w:rPr>
        <w:t>2</w:t>
      </w:r>
      <w:r w:rsidRPr="00D0415B">
        <w:rPr>
          <w:rFonts w:asciiTheme="majorBidi" w:hAnsiTheme="majorBidi" w:cstheme="majorBidi"/>
          <w:b/>
          <w:bCs/>
        </w:rPr>
        <w:t xml:space="preserve">Medicinal Plants Research Center, </w:t>
      </w:r>
      <w:proofErr w:type="spellStart"/>
      <w:r w:rsidRPr="00D0415B">
        <w:rPr>
          <w:rFonts w:asciiTheme="majorBidi" w:hAnsiTheme="majorBidi" w:cstheme="majorBidi"/>
          <w:b/>
          <w:bCs/>
        </w:rPr>
        <w:t>Shahed</w:t>
      </w:r>
      <w:proofErr w:type="spellEnd"/>
      <w:r w:rsidRPr="00D0415B">
        <w:rPr>
          <w:rFonts w:asciiTheme="majorBidi" w:hAnsiTheme="majorBidi" w:cstheme="majorBidi"/>
          <w:b/>
          <w:bCs/>
        </w:rPr>
        <w:t xml:space="preserve"> University, Tehran, Iran</w:t>
      </w:r>
    </w:p>
    <w:p w14:paraId="4C1B36B3" w14:textId="5D7EFD5C" w:rsidR="00822F4C" w:rsidRPr="00D0415B" w:rsidRDefault="00822F4C" w:rsidP="005877F1">
      <w:pPr>
        <w:spacing w:after="33" w:line="360" w:lineRule="auto"/>
        <w:ind w:right="146"/>
        <w:rPr>
          <w:rFonts w:asciiTheme="majorBidi" w:hAnsiTheme="majorBidi" w:cstheme="majorBidi"/>
          <w:b/>
          <w:bCs/>
        </w:rPr>
      </w:pPr>
      <w:r w:rsidRPr="00D0415B">
        <w:rPr>
          <w:rFonts w:asciiTheme="majorBidi" w:hAnsiTheme="majorBidi" w:cstheme="majorBidi"/>
          <w:b/>
          <w:bCs/>
        </w:rPr>
        <w:t>Corres</w:t>
      </w:r>
      <w:r w:rsidR="007D4DF4" w:rsidRPr="00D0415B">
        <w:rPr>
          <w:rFonts w:asciiTheme="majorBidi" w:hAnsiTheme="majorBidi" w:cstheme="majorBidi"/>
          <w:b/>
          <w:bCs/>
        </w:rPr>
        <w:t xml:space="preserve">ponding Author: Dr. Arman </w:t>
      </w:r>
      <w:proofErr w:type="spellStart"/>
      <w:r w:rsidR="007D4DF4" w:rsidRPr="00D0415B">
        <w:rPr>
          <w:rFonts w:asciiTheme="majorBidi" w:hAnsiTheme="majorBidi" w:cstheme="majorBidi"/>
          <w:b/>
          <w:bCs/>
        </w:rPr>
        <w:t>Beyraghdar</w:t>
      </w:r>
      <w:proofErr w:type="spellEnd"/>
      <w:r w:rsidR="007D4DF4" w:rsidRPr="00D0415B">
        <w:rPr>
          <w:rFonts w:asciiTheme="majorBidi" w:hAnsiTheme="majorBidi" w:cstheme="majorBidi"/>
          <w:b/>
          <w:bCs/>
        </w:rPr>
        <w:t xml:space="preserve"> </w:t>
      </w:r>
      <w:proofErr w:type="spellStart"/>
      <w:r w:rsidR="007D4DF4" w:rsidRPr="00D0415B">
        <w:rPr>
          <w:rFonts w:asciiTheme="majorBidi" w:hAnsiTheme="majorBidi" w:cstheme="majorBidi"/>
          <w:b/>
          <w:bCs/>
        </w:rPr>
        <w:t>Kashkooli</w:t>
      </w:r>
      <w:proofErr w:type="spellEnd"/>
    </w:p>
    <w:p w14:paraId="222FF0A9" w14:textId="5195F96B" w:rsidR="00822F4C" w:rsidRPr="00D0415B" w:rsidRDefault="009C5489" w:rsidP="009C5489">
      <w:pPr>
        <w:spacing w:after="33" w:line="360" w:lineRule="auto"/>
        <w:ind w:right="146"/>
        <w:rPr>
          <w:rFonts w:ascii="Times New Roman" w:eastAsia="Times New Roman" w:hAnsi="Times New Roman" w:cs="Times New Roman"/>
          <w:color w:val="000000"/>
          <w:sz w:val="24"/>
          <w:szCs w:val="24"/>
        </w:rPr>
      </w:pPr>
      <w:r w:rsidRPr="00D0415B">
        <w:rPr>
          <w:rFonts w:ascii="Times New Roman" w:eastAsia="Times New Roman" w:hAnsi="Times New Roman" w:cs="Times New Roman"/>
          <w:color w:val="000000"/>
          <w:sz w:val="24"/>
          <w:szCs w:val="24"/>
        </w:rPr>
        <w:t>Email: a.beyraghdar@modares.ac.ir</w:t>
      </w:r>
    </w:p>
    <w:p w14:paraId="54744CB1" w14:textId="77777777" w:rsidR="00C67B23" w:rsidRPr="00D0415B" w:rsidRDefault="00C67B23" w:rsidP="005877F1">
      <w:pPr>
        <w:pStyle w:val="Affiliation"/>
        <w:spacing w:line="360" w:lineRule="auto"/>
        <w:jc w:val="left"/>
      </w:pPr>
      <w:r w:rsidRPr="00D0415B">
        <w:t>ORCIDs:</w:t>
      </w:r>
    </w:p>
    <w:p w14:paraId="28A8F5CF" w14:textId="77777777" w:rsidR="006C6E51" w:rsidRPr="00D0415B" w:rsidRDefault="006C6E51" w:rsidP="006C6E51">
      <w:pPr>
        <w:pStyle w:val="Affiliation"/>
        <w:spacing w:line="276" w:lineRule="auto"/>
        <w:jc w:val="left"/>
      </w:pPr>
      <w:proofErr w:type="spellStart"/>
      <w:r w:rsidRPr="00D0415B">
        <w:rPr>
          <w:rFonts w:asciiTheme="majorBidi" w:hAnsiTheme="majorBidi" w:cstheme="majorBidi"/>
          <w:szCs w:val="24"/>
        </w:rPr>
        <w:t>Hayder</w:t>
      </w:r>
      <w:proofErr w:type="spellEnd"/>
      <w:r w:rsidRPr="00D0415B">
        <w:rPr>
          <w:rFonts w:asciiTheme="majorBidi" w:hAnsiTheme="majorBidi" w:cstheme="majorBidi"/>
          <w:szCs w:val="24"/>
        </w:rPr>
        <w:t xml:space="preserve"> </w:t>
      </w:r>
      <w:proofErr w:type="spellStart"/>
      <w:r w:rsidRPr="00D0415B">
        <w:rPr>
          <w:rFonts w:asciiTheme="majorBidi" w:hAnsiTheme="majorBidi" w:cstheme="majorBidi"/>
          <w:szCs w:val="24"/>
        </w:rPr>
        <w:t>Ramadhan</w:t>
      </w:r>
      <w:proofErr w:type="spellEnd"/>
      <w:r w:rsidRPr="00D0415B">
        <w:rPr>
          <w:rFonts w:asciiTheme="majorBidi" w:hAnsiTheme="majorBidi" w:cstheme="majorBidi"/>
          <w:szCs w:val="24"/>
        </w:rPr>
        <w:t xml:space="preserve"> </w:t>
      </w:r>
      <w:proofErr w:type="spellStart"/>
      <w:r w:rsidRPr="00D0415B">
        <w:rPr>
          <w:rFonts w:asciiTheme="majorBidi" w:hAnsiTheme="majorBidi" w:cstheme="majorBidi"/>
          <w:szCs w:val="24"/>
        </w:rPr>
        <w:t>Alhasnawi</w:t>
      </w:r>
      <w:proofErr w:type="spellEnd"/>
      <w:r w:rsidRPr="00D0415B">
        <w:t xml:space="preserve">: 0009-0003-4830-8426: </w:t>
      </w:r>
      <w:r w:rsidRPr="00D0415B">
        <w:rPr>
          <w:rStyle w:val="Hyperlink"/>
          <w:sz w:val="20"/>
          <w:lang w:bidi="fa-IR"/>
        </w:rPr>
        <w:t>hr.ramazan73@gmail.com</w:t>
      </w:r>
    </w:p>
    <w:p w14:paraId="74EACB94" w14:textId="77777777" w:rsidR="006C6E51" w:rsidRPr="00D0415B" w:rsidRDefault="006C6E51" w:rsidP="006C6E51">
      <w:pPr>
        <w:pStyle w:val="Affiliation"/>
        <w:spacing w:line="276" w:lineRule="auto"/>
        <w:jc w:val="left"/>
        <w:rPr>
          <w:rStyle w:val="Hyperlink"/>
          <w:sz w:val="20"/>
          <w:rtl/>
          <w:lang w:bidi="fa-IR"/>
        </w:rPr>
      </w:pPr>
      <w:r w:rsidRPr="00D0415B">
        <w:rPr>
          <w:rFonts w:asciiTheme="majorBidi" w:eastAsia="Calibri" w:hAnsiTheme="majorBidi" w:cstheme="majorBidi"/>
          <w:szCs w:val="24"/>
        </w:rPr>
        <w:t xml:space="preserve">Mahdi </w:t>
      </w:r>
      <w:proofErr w:type="spellStart"/>
      <w:r w:rsidRPr="00D0415B">
        <w:rPr>
          <w:rFonts w:asciiTheme="majorBidi" w:eastAsia="Calibri" w:hAnsiTheme="majorBidi" w:cstheme="majorBidi"/>
          <w:szCs w:val="24"/>
        </w:rPr>
        <w:t>Ayyari</w:t>
      </w:r>
      <w:proofErr w:type="spellEnd"/>
      <w:r w:rsidRPr="00D0415B">
        <w:rPr>
          <w:rFonts w:asciiTheme="majorBidi" w:eastAsia="Calibri" w:hAnsiTheme="majorBidi" w:cstheme="majorBidi"/>
          <w:szCs w:val="24"/>
        </w:rPr>
        <w:t>: 0000-0001-9332-9574:</w:t>
      </w:r>
      <w:r w:rsidRPr="00D0415B">
        <w:t xml:space="preserve"> </w:t>
      </w:r>
      <w:r w:rsidRPr="00D0415B">
        <w:rPr>
          <w:rStyle w:val="Hyperlink"/>
          <w:sz w:val="20"/>
          <w:lang w:bidi="fa-IR"/>
        </w:rPr>
        <w:t>m.ayyari@modares.ac.ir</w:t>
      </w:r>
    </w:p>
    <w:p w14:paraId="6E90F49C" w14:textId="77777777" w:rsidR="006C6E51" w:rsidRPr="00D0415B" w:rsidRDefault="006C6E51" w:rsidP="006C6E51">
      <w:pPr>
        <w:spacing w:after="100"/>
        <w:rPr>
          <w:rFonts w:ascii="Times New Roman" w:hAnsi="Times New Roman"/>
          <w:color w:val="000000" w:themeColor="text1"/>
          <w:sz w:val="24"/>
        </w:rPr>
      </w:pPr>
      <w:proofErr w:type="spellStart"/>
      <w:r w:rsidRPr="00D0415B">
        <w:rPr>
          <w:rFonts w:ascii="Times New Roman" w:hAnsi="Times New Roman"/>
          <w:color w:val="000000" w:themeColor="text1"/>
          <w:sz w:val="24"/>
          <w:lang w:val="en-GB"/>
        </w:rPr>
        <w:t>Hossein</w:t>
      </w:r>
      <w:proofErr w:type="spellEnd"/>
      <w:r w:rsidRPr="00D0415B">
        <w:rPr>
          <w:rFonts w:ascii="Times New Roman" w:hAnsi="Times New Roman"/>
          <w:color w:val="000000" w:themeColor="text1"/>
          <w:sz w:val="24"/>
          <w:lang w:val="en-GB"/>
        </w:rPr>
        <w:t xml:space="preserve"> </w:t>
      </w:r>
      <w:proofErr w:type="spellStart"/>
      <w:r w:rsidRPr="00D0415B">
        <w:rPr>
          <w:rFonts w:ascii="Times New Roman" w:hAnsi="Times New Roman"/>
          <w:color w:val="000000" w:themeColor="text1"/>
          <w:sz w:val="24"/>
          <w:lang w:val="en-GB"/>
        </w:rPr>
        <w:t>Dehghan</w:t>
      </w:r>
      <w:proofErr w:type="spellEnd"/>
      <w:r w:rsidRPr="00D0415B">
        <w:rPr>
          <w:rFonts w:ascii="Times New Roman" w:hAnsi="Times New Roman"/>
          <w:color w:val="000000" w:themeColor="text1"/>
          <w:sz w:val="24"/>
          <w:lang w:val="en-GB"/>
        </w:rPr>
        <w:t>:</w:t>
      </w:r>
      <w:r w:rsidRPr="00D0415B">
        <w:t xml:space="preserve"> </w:t>
      </w:r>
      <w:r w:rsidRPr="00D0415B">
        <w:rPr>
          <w:rFonts w:ascii="Times New Roman" w:hAnsi="Times New Roman"/>
          <w:color w:val="000000" w:themeColor="text1"/>
          <w:sz w:val="24"/>
          <w:lang w:val="en-GB"/>
        </w:rPr>
        <w:t>0000-0003-4250-7769:</w:t>
      </w:r>
      <w:r w:rsidRPr="00D0415B">
        <w:rPr>
          <w:rFonts w:ascii="Times New Roman" w:hAnsi="Times New Roman" w:hint="cs"/>
          <w:color w:val="000000" w:themeColor="text1"/>
          <w:sz w:val="24"/>
          <w:rtl/>
          <w:lang w:val="en-GB"/>
        </w:rPr>
        <w:t xml:space="preserve"> </w:t>
      </w:r>
      <w:hyperlink r:id="rId8" w:history="1">
        <w:r w:rsidRPr="00D0415B">
          <w:rPr>
            <w:rStyle w:val="Hyperlink"/>
            <w:rFonts w:asciiTheme="majorBidi" w:hAnsiTheme="majorBidi" w:cstheme="majorBidi"/>
            <w:sz w:val="20"/>
            <w:lang w:bidi="fa-IR"/>
          </w:rPr>
          <w:t>h.dehghan@shahed.ac.ir</w:t>
        </w:r>
      </w:hyperlink>
      <w:r w:rsidRPr="00D0415B">
        <w:rPr>
          <w:rFonts w:ascii="Times New Roman" w:hAnsi="Times New Roman"/>
          <w:color w:val="000000" w:themeColor="text1"/>
          <w:sz w:val="24"/>
        </w:rPr>
        <w:t xml:space="preserve"> </w:t>
      </w:r>
    </w:p>
    <w:p w14:paraId="4A04EAA6" w14:textId="77777777" w:rsidR="006C6E51" w:rsidRPr="00D0415B" w:rsidRDefault="006C6E51" w:rsidP="006C6E51">
      <w:pPr>
        <w:spacing w:after="0" w:line="240" w:lineRule="auto"/>
        <w:rPr>
          <w:rFonts w:asciiTheme="majorBidi" w:hAnsiTheme="majorBidi" w:cstheme="majorBidi"/>
          <w:sz w:val="20"/>
          <w:lang w:bidi="fa-IR"/>
        </w:rPr>
      </w:pPr>
      <w:r w:rsidRPr="00D0415B">
        <w:rPr>
          <w:rFonts w:ascii="Times New Roman" w:hAnsi="Times New Roman"/>
          <w:color w:val="000000" w:themeColor="text1"/>
          <w:sz w:val="24"/>
          <w:lang w:val="en-GB"/>
        </w:rPr>
        <w:t xml:space="preserve">Arman </w:t>
      </w:r>
      <w:proofErr w:type="spellStart"/>
      <w:r w:rsidRPr="00D0415B">
        <w:rPr>
          <w:rFonts w:ascii="Times New Roman" w:hAnsi="Times New Roman"/>
          <w:color w:val="000000" w:themeColor="text1"/>
          <w:sz w:val="24"/>
          <w:lang w:val="en-GB"/>
        </w:rPr>
        <w:t>Beyraghdar</w:t>
      </w:r>
      <w:proofErr w:type="spellEnd"/>
      <w:r w:rsidRPr="00D0415B">
        <w:rPr>
          <w:rFonts w:ascii="Times New Roman" w:hAnsi="Times New Roman"/>
          <w:color w:val="000000" w:themeColor="text1"/>
          <w:sz w:val="24"/>
          <w:lang w:val="en-GB"/>
        </w:rPr>
        <w:t xml:space="preserve"> </w:t>
      </w:r>
      <w:proofErr w:type="spellStart"/>
      <w:r w:rsidRPr="00D0415B">
        <w:rPr>
          <w:rFonts w:ascii="Times New Roman" w:hAnsi="Times New Roman"/>
          <w:color w:val="000000" w:themeColor="text1"/>
          <w:sz w:val="24"/>
          <w:lang w:val="en-GB"/>
        </w:rPr>
        <w:t>Kashkooli</w:t>
      </w:r>
      <w:proofErr w:type="spellEnd"/>
      <w:r w:rsidRPr="00D0415B">
        <w:rPr>
          <w:rFonts w:ascii="Times New Roman" w:hAnsi="Times New Roman"/>
          <w:color w:val="000000" w:themeColor="text1"/>
          <w:sz w:val="24"/>
          <w:lang w:val="en-GB"/>
        </w:rPr>
        <w:t>:</w:t>
      </w:r>
      <w:r w:rsidRPr="00D0415B">
        <w:t xml:space="preserve"> </w:t>
      </w:r>
      <w:r w:rsidRPr="00D0415B">
        <w:rPr>
          <w:rFonts w:ascii="Times New Roman" w:hAnsi="Times New Roman"/>
          <w:color w:val="000000" w:themeColor="text1"/>
          <w:sz w:val="24"/>
          <w:lang w:val="en-GB"/>
        </w:rPr>
        <w:t>0000-0002-4029-9671:</w:t>
      </w:r>
      <w:r w:rsidRPr="00D0415B">
        <w:rPr>
          <w:rFonts w:asciiTheme="majorBidi" w:hAnsiTheme="majorBidi" w:cstheme="majorBidi"/>
          <w:sz w:val="20"/>
          <w:lang w:bidi="fa-IR"/>
        </w:rPr>
        <w:t xml:space="preserve"> </w:t>
      </w:r>
      <w:hyperlink r:id="rId9" w:history="1">
        <w:r w:rsidRPr="00D0415B">
          <w:rPr>
            <w:rStyle w:val="Hyperlink"/>
            <w:rFonts w:asciiTheme="majorBidi" w:hAnsiTheme="majorBidi" w:cstheme="majorBidi"/>
            <w:sz w:val="20"/>
            <w:lang w:bidi="fa-IR"/>
          </w:rPr>
          <w:t>a.beyraghdar@gmail.com</w:t>
        </w:r>
      </w:hyperlink>
      <w:r w:rsidRPr="00D0415B">
        <w:rPr>
          <w:rFonts w:asciiTheme="majorBidi" w:hAnsiTheme="majorBidi" w:cstheme="majorBidi"/>
          <w:sz w:val="20"/>
          <w:lang w:bidi="fa-IR"/>
        </w:rPr>
        <w:t xml:space="preserve">, </w:t>
      </w:r>
      <w:hyperlink r:id="rId10" w:history="1">
        <w:r w:rsidRPr="00D0415B">
          <w:rPr>
            <w:rStyle w:val="Hyperlink"/>
            <w:rFonts w:asciiTheme="majorBidi" w:hAnsiTheme="majorBidi" w:cstheme="majorBidi"/>
            <w:sz w:val="20"/>
            <w:lang w:bidi="fa-IR"/>
          </w:rPr>
          <w:t>a.beyraghdar@modares.ac.ir</w:t>
        </w:r>
      </w:hyperlink>
      <w:r w:rsidRPr="00D0415B">
        <w:rPr>
          <w:rFonts w:asciiTheme="majorBidi" w:hAnsiTheme="majorBidi" w:cstheme="majorBidi" w:hint="cs"/>
          <w:sz w:val="20"/>
          <w:rtl/>
          <w:lang w:bidi="fa-IR"/>
        </w:rPr>
        <w:t xml:space="preserve"> </w:t>
      </w:r>
    </w:p>
    <w:p w14:paraId="564ACDF1" w14:textId="77777777" w:rsidR="00541756" w:rsidRPr="00D0415B" w:rsidRDefault="00541756" w:rsidP="006C6E51">
      <w:pPr>
        <w:spacing w:after="0" w:line="240" w:lineRule="auto"/>
        <w:rPr>
          <w:rFonts w:asciiTheme="majorBidi" w:hAnsiTheme="majorBidi" w:cstheme="majorBidi"/>
          <w:sz w:val="20"/>
          <w:lang w:bidi="fa-IR"/>
        </w:rPr>
      </w:pPr>
    </w:p>
    <w:p w14:paraId="5E52D95C" w14:textId="77777777" w:rsidR="00541756" w:rsidRPr="00D0415B" w:rsidRDefault="00541756" w:rsidP="006C6E51">
      <w:pPr>
        <w:spacing w:after="0" w:line="240" w:lineRule="auto"/>
        <w:rPr>
          <w:rFonts w:asciiTheme="majorBidi" w:hAnsiTheme="majorBidi" w:cstheme="majorBidi"/>
          <w:sz w:val="20"/>
          <w:lang w:bidi="fa-IR"/>
        </w:rPr>
      </w:pPr>
    </w:p>
    <w:p w14:paraId="39BD24FE" w14:textId="77777777" w:rsidR="00541756" w:rsidRPr="00D0415B" w:rsidRDefault="00541756" w:rsidP="00541756">
      <w:pPr>
        <w:pBdr>
          <w:top w:val="nil"/>
          <w:left w:val="nil"/>
          <w:bottom w:val="nil"/>
          <w:right w:val="nil"/>
          <w:between w:val="nil"/>
        </w:pBdr>
        <w:spacing w:line="360" w:lineRule="auto"/>
        <w:ind w:right="146"/>
        <w:rPr>
          <w:rFonts w:asciiTheme="majorBidi" w:hAnsiTheme="majorBidi" w:cstheme="majorBidi"/>
          <w:b/>
          <w:bCs/>
          <w:sz w:val="28"/>
          <w:szCs w:val="28"/>
        </w:rPr>
      </w:pPr>
      <w:r w:rsidRPr="00D0415B">
        <w:rPr>
          <w:rFonts w:asciiTheme="majorBidi" w:hAnsiTheme="majorBidi" w:cstheme="majorBidi"/>
          <w:b/>
          <w:bCs/>
          <w:sz w:val="28"/>
          <w:szCs w:val="28"/>
        </w:rPr>
        <w:t>Enhancing Tobacco Productivity and Phytochemical Quality through Optimized Nitrogen and Amino Acid Foliar Applications</w:t>
      </w:r>
    </w:p>
    <w:p w14:paraId="6F65C826" w14:textId="77777777" w:rsidR="00541756" w:rsidRPr="00D0415B" w:rsidRDefault="00541756" w:rsidP="00541756">
      <w:pPr>
        <w:spacing w:after="0"/>
        <w:rPr>
          <w:rFonts w:asciiTheme="majorBidi" w:hAnsiTheme="majorBidi" w:cstheme="majorBidi"/>
          <w:b/>
          <w:bCs/>
          <w:sz w:val="20"/>
          <w:szCs w:val="20"/>
        </w:rPr>
      </w:pPr>
      <w:r w:rsidRPr="00D0415B">
        <w:rPr>
          <w:rFonts w:asciiTheme="majorBidi" w:hAnsiTheme="majorBidi" w:cstheme="majorBidi"/>
          <w:b/>
          <w:bCs/>
          <w:sz w:val="20"/>
          <w:szCs w:val="20"/>
        </w:rPr>
        <w:t>Abstract</w:t>
      </w:r>
    </w:p>
    <w:p w14:paraId="76661114" w14:textId="77777777" w:rsidR="00541756" w:rsidRPr="00D0415B" w:rsidRDefault="00541756" w:rsidP="006C6E51">
      <w:pPr>
        <w:spacing w:after="0" w:line="240" w:lineRule="auto"/>
        <w:rPr>
          <w:rFonts w:asciiTheme="majorBidi" w:hAnsiTheme="majorBidi" w:cstheme="majorBidi"/>
          <w:sz w:val="20"/>
          <w:rtl/>
          <w:lang w:bidi="fa-IR"/>
        </w:rPr>
      </w:pPr>
    </w:p>
    <w:p w14:paraId="4C80DF8E" w14:textId="5B3470F3" w:rsidR="00FD14A2" w:rsidRPr="00D0415B" w:rsidRDefault="00FB3D45" w:rsidP="00541756">
      <w:pPr>
        <w:spacing w:after="200" w:line="276" w:lineRule="auto"/>
        <w:jc w:val="lowKashida"/>
        <w:rPr>
          <w:rFonts w:asciiTheme="majorBidi" w:hAnsiTheme="majorBidi" w:cstheme="majorBidi"/>
          <w:sz w:val="20"/>
          <w:szCs w:val="20"/>
          <w:lang w:bidi="fa-IR"/>
        </w:rPr>
      </w:pPr>
      <w:r w:rsidRPr="00D0415B">
        <w:rPr>
          <w:rFonts w:asciiTheme="majorBidi" w:hAnsiTheme="majorBidi" w:cstheme="majorBidi"/>
          <w:sz w:val="20"/>
          <w:szCs w:val="20"/>
          <w:lang w:bidi="fa-IR"/>
        </w:rPr>
        <w:t>Tobacco (</w:t>
      </w:r>
      <w:proofErr w:type="spellStart"/>
      <w:r w:rsidRPr="00D0415B">
        <w:rPr>
          <w:rFonts w:asciiTheme="majorBidi" w:hAnsiTheme="majorBidi" w:cstheme="majorBidi"/>
          <w:i/>
          <w:iCs/>
          <w:sz w:val="20"/>
          <w:szCs w:val="20"/>
          <w:lang w:bidi="fa-IR"/>
        </w:rPr>
        <w:t>Nicotiana</w:t>
      </w:r>
      <w:proofErr w:type="spellEnd"/>
      <w:r w:rsidRPr="00D0415B">
        <w:rPr>
          <w:rFonts w:asciiTheme="majorBidi" w:hAnsiTheme="majorBidi" w:cstheme="majorBidi"/>
          <w:i/>
          <w:iCs/>
          <w:sz w:val="20"/>
          <w:szCs w:val="20"/>
          <w:lang w:bidi="fa-IR"/>
        </w:rPr>
        <w:t xml:space="preserve"> </w:t>
      </w:r>
      <w:proofErr w:type="spellStart"/>
      <w:r w:rsidRPr="00D0415B">
        <w:rPr>
          <w:rFonts w:asciiTheme="majorBidi" w:hAnsiTheme="majorBidi" w:cstheme="majorBidi"/>
          <w:i/>
          <w:iCs/>
          <w:sz w:val="20"/>
          <w:szCs w:val="20"/>
          <w:lang w:bidi="fa-IR"/>
        </w:rPr>
        <w:t>tabacum</w:t>
      </w:r>
      <w:proofErr w:type="spellEnd"/>
      <w:r w:rsidRPr="00D0415B">
        <w:rPr>
          <w:rFonts w:asciiTheme="majorBidi" w:hAnsiTheme="majorBidi" w:cstheme="majorBidi"/>
          <w:sz w:val="20"/>
          <w:szCs w:val="20"/>
          <w:lang w:bidi="fa-IR"/>
        </w:rPr>
        <w:t xml:space="preserve">), an economically and industrially important crop, was evaluated to determine the effects of foliar applications of nitrogen fertilizers and specific amino acids (arginine, ornithine, and aspartic acid) on yield, morphological, physiological, and phytochemical traits across four varieties (Burley, </w:t>
      </w:r>
      <w:proofErr w:type="spellStart"/>
      <w:r w:rsidRPr="00D0415B">
        <w:rPr>
          <w:rFonts w:asciiTheme="majorBidi" w:hAnsiTheme="majorBidi" w:cstheme="majorBidi"/>
          <w:sz w:val="20"/>
          <w:szCs w:val="20"/>
          <w:lang w:bidi="fa-IR"/>
        </w:rPr>
        <w:t>Basma</w:t>
      </w:r>
      <w:proofErr w:type="spellEnd"/>
      <w:r w:rsidRPr="00D0415B">
        <w:rPr>
          <w:rFonts w:asciiTheme="majorBidi" w:hAnsiTheme="majorBidi" w:cstheme="majorBidi"/>
          <w:sz w:val="20"/>
          <w:szCs w:val="20"/>
          <w:lang w:bidi="fa-IR"/>
        </w:rPr>
        <w:t xml:space="preserve">, BT, and Virginia) over two growing seasons. Foliar treatments included urea, ammonium nitrate, and amino acids applied individually and in combinations at varying concentrations. Results demonstrated that nitrogen foliar application, particularly urea at 2%, significantly enhanced growth, chlorophyll content, and yield, especially in the Burley variety. In contrast, amino acid treatments, especially the combined application of arginine, ornithine, and aspartic acid, effectively increased secondary metabolites including essential oils, total </w:t>
      </w:r>
      <w:proofErr w:type="spellStart"/>
      <w:r w:rsidRPr="00D0415B">
        <w:rPr>
          <w:rFonts w:asciiTheme="majorBidi" w:hAnsiTheme="majorBidi" w:cstheme="majorBidi"/>
          <w:sz w:val="20"/>
          <w:szCs w:val="20"/>
          <w:lang w:bidi="fa-IR"/>
        </w:rPr>
        <w:t>phenolics</w:t>
      </w:r>
      <w:proofErr w:type="spellEnd"/>
      <w:r w:rsidRPr="00D0415B">
        <w:rPr>
          <w:rFonts w:asciiTheme="majorBidi" w:hAnsiTheme="majorBidi" w:cstheme="majorBidi"/>
          <w:sz w:val="20"/>
          <w:szCs w:val="20"/>
          <w:lang w:bidi="fa-IR"/>
        </w:rPr>
        <w:t xml:space="preserve">, flavonoids, antioxidant activity, and nicotine content. The </w:t>
      </w:r>
      <w:proofErr w:type="spellStart"/>
      <w:r w:rsidRPr="00D0415B">
        <w:rPr>
          <w:rFonts w:asciiTheme="majorBidi" w:hAnsiTheme="majorBidi" w:cstheme="majorBidi"/>
          <w:sz w:val="20"/>
          <w:szCs w:val="20"/>
          <w:lang w:bidi="fa-IR"/>
        </w:rPr>
        <w:t>Basma</w:t>
      </w:r>
      <w:proofErr w:type="spellEnd"/>
      <w:r w:rsidRPr="00D0415B">
        <w:rPr>
          <w:rFonts w:asciiTheme="majorBidi" w:hAnsiTheme="majorBidi" w:cstheme="majorBidi"/>
          <w:sz w:val="20"/>
          <w:szCs w:val="20"/>
          <w:lang w:bidi="fa-IR"/>
        </w:rPr>
        <w:t xml:space="preserve"> variety showed the highest essential oil (0.28%) and nicotine concentration (16.1 mg/g), while Burley exhibited superior phenolic, flavonoid, and antioxidant levels under amino acid treatments. These findings indicate that integrating optimized nitrogen fertilization with targeted amino acid foliar applications can simultaneously improve both productivity and phytochemical quality, offering a sustainable strategy for enhancing the agronomic and industrial traits of tobacco.</w:t>
      </w:r>
    </w:p>
    <w:p w14:paraId="4B9371D2" w14:textId="07763C12" w:rsidR="006D2517" w:rsidRPr="00D0415B" w:rsidRDefault="00D62142" w:rsidP="00FD14A2">
      <w:pPr>
        <w:pStyle w:val="Abstract"/>
        <w:spacing w:line="360" w:lineRule="auto"/>
        <w:rPr>
          <w:rFonts w:asciiTheme="majorBidi" w:hAnsiTheme="majorBidi" w:cstheme="majorBidi"/>
          <w:color w:val="auto"/>
          <w:sz w:val="20"/>
          <w:szCs w:val="20"/>
        </w:rPr>
      </w:pPr>
      <w:r w:rsidRPr="00D0415B">
        <w:rPr>
          <w:rFonts w:asciiTheme="majorBidi" w:hAnsiTheme="majorBidi" w:cstheme="majorBidi"/>
          <w:b/>
          <w:bCs/>
          <w:color w:val="auto"/>
          <w:sz w:val="20"/>
          <w:szCs w:val="20"/>
        </w:rPr>
        <w:t>Keywords:</w:t>
      </w:r>
      <w:r w:rsidRPr="00D0415B">
        <w:rPr>
          <w:rFonts w:asciiTheme="majorBidi" w:hAnsiTheme="majorBidi" w:cstheme="majorBidi"/>
          <w:color w:val="auto"/>
          <w:sz w:val="20"/>
          <w:szCs w:val="20"/>
        </w:rPr>
        <w:t xml:space="preserve"> </w:t>
      </w:r>
      <w:r w:rsidR="006D2517" w:rsidRPr="00D0415B">
        <w:rPr>
          <w:rFonts w:asciiTheme="majorBidi" w:hAnsiTheme="majorBidi" w:cstheme="majorBidi"/>
          <w:color w:val="auto"/>
          <w:sz w:val="20"/>
          <w:szCs w:val="20"/>
        </w:rPr>
        <w:t>Ami</w:t>
      </w:r>
      <w:r w:rsidR="00FB3D45" w:rsidRPr="00D0415B">
        <w:rPr>
          <w:rFonts w:asciiTheme="majorBidi" w:hAnsiTheme="majorBidi" w:cstheme="majorBidi"/>
          <w:color w:val="auto"/>
          <w:sz w:val="20"/>
          <w:szCs w:val="20"/>
        </w:rPr>
        <w:t xml:space="preserve">no acids, </w:t>
      </w:r>
      <w:r w:rsidR="006D2517" w:rsidRPr="00D0415B">
        <w:rPr>
          <w:rFonts w:asciiTheme="majorBidi" w:hAnsiTheme="majorBidi" w:cstheme="majorBidi"/>
          <w:color w:val="auto"/>
          <w:sz w:val="20"/>
          <w:szCs w:val="20"/>
        </w:rPr>
        <w:t xml:space="preserve">Essential </w:t>
      </w:r>
      <w:r w:rsidR="00FB3D45" w:rsidRPr="00D0415B">
        <w:rPr>
          <w:rFonts w:asciiTheme="majorBidi" w:hAnsiTheme="majorBidi" w:cstheme="majorBidi"/>
          <w:color w:val="auto"/>
          <w:sz w:val="20"/>
          <w:szCs w:val="20"/>
        </w:rPr>
        <w:t>o</w:t>
      </w:r>
      <w:r w:rsidR="009B30B2" w:rsidRPr="00D0415B">
        <w:rPr>
          <w:rFonts w:asciiTheme="majorBidi" w:hAnsiTheme="majorBidi" w:cstheme="majorBidi"/>
          <w:color w:val="auto"/>
          <w:sz w:val="20"/>
          <w:szCs w:val="20"/>
        </w:rPr>
        <w:t xml:space="preserve">il content, </w:t>
      </w:r>
      <w:proofErr w:type="gramStart"/>
      <w:r w:rsidR="009B30B2" w:rsidRPr="00D0415B">
        <w:rPr>
          <w:rFonts w:asciiTheme="majorBidi" w:hAnsiTheme="majorBidi" w:cstheme="majorBidi"/>
          <w:color w:val="auto"/>
          <w:sz w:val="20"/>
          <w:szCs w:val="20"/>
        </w:rPr>
        <w:t>Foliar</w:t>
      </w:r>
      <w:proofErr w:type="gramEnd"/>
      <w:r w:rsidR="009B30B2" w:rsidRPr="00D0415B">
        <w:rPr>
          <w:rFonts w:asciiTheme="majorBidi" w:hAnsiTheme="majorBidi" w:cstheme="majorBidi"/>
          <w:color w:val="auto"/>
          <w:sz w:val="20"/>
          <w:szCs w:val="20"/>
        </w:rPr>
        <w:t xml:space="preserve"> application</w:t>
      </w:r>
      <w:r w:rsidR="00FB3D45" w:rsidRPr="00D0415B">
        <w:rPr>
          <w:rFonts w:asciiTheme="majorBidi" w:hAnsiTheme="majorBidi" w:cstheme="majorBidi"/>
          <w:color w:val="auto"/>
          <w:sz w:val="20"/>
          <w:szCs w:val="20"/>
        </w:rPr>
        <w:t xml:space="preserve">, Nicotine, </w:t>
      </w:r>
      <w:r w:rsidR="009B30B2" w:rsidRPr="00D0415B">
        <w:rPr>
          <w:rFonts w:asciiTheme="majorBidi" w:hAnsiTheme="majorBidi" w:cstheme="majorBidi"/>
          <w:color w:val="auto"/>
          <w:sz w:val="20"/>
          <w:szCs w:val="20"/>
        </w:rPr>
        <w:t xml:space="preserve">Nitrogen fertilizers, </w:t>
      </w:r>
      <w:r w:rsidR="00FB3D45" w:rsidRPr="00D0415B">
        <w:rPr>
          <w:rFonts w:asciiTheme="majorBidi" w:hAnsiTheme="majorBidi" w:cstheme="majorBidi"/>
          <w:color w:val="auto"/>
          <w:sz w:val="20"/>
          <w:szCs w:val="20"/>
        </w:rPr>
        <w:t>Yield</w:t>
      </w:r>
    </w:p>
    <w:p w14:paraId="2E53AEC9" w14:textId="31FF0088" w:rsidR="00C67B23" w:rsidRPr="00D0415B" w:rsidRDefault="00C67B23" w:rsidP="00541756">
      <w:pPr>
        <w:spacing w:after="0" w:line="276" w:lineRule="auto"/>
        <w:rPr>
          <w:b/>
          <w:bCs/>
        </w:rPr>
      </w:pPr>
      <w:r w:rsidRPr="00D0415B">
        <w:rPr>
          <w:rFonts w:asciiTheme="majorBidi" w:hAnsiTheme="majorBidi" w:cstheme="majorBidi"/>
          <w:b/>
          <w:bCs/>
          <w:sz w:val="20"/>
          <w:szCs w:val="20"/>
        </w:rPr>
        <w:t>Introduction</w:t>
      </w:r>
    </w:p>
    <w:p w14:paraId="27C8CFC4" w14:textId="2232EC79" w:rsidR="00CE0F78" w:rsidRPr="00D0415B" w:rsidRDefault="00CE0F78"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w:t>
      </w:r>
      <w:proofErr w:type="spellStart"/>
      <w:r w:rsidRPr="00D0415B">
        <w:rPr>
          <w:rFonts w:asciiTheme="majorBidi" w:eastAsia="Calibri" w:hAnsiTheme="majorBidi" w:cstheme="majorBidi"/>
          <w:sz w:val="20"/>
          <w:szCs w:val="20"/>
        </w:rPr>
        <w:t>Solanaceae</w:t>
      </w:r>
      <w:proofErr w:type="spellEnd"/>
      <w:r w:rsidRPr="00D0415B">
        <w:rPr>
          <w:rFonts w:asciiTheme="majorBidi" w:eastAsia="Calibri" w:hAnsiTheme="majorBidi" w:cstheme="majorBidi"/>
          <w:sz w:val="20"/>
          <w:szCs w:val="20"/>
        </w:rPr>
        <w:t xml:space="preserve"> family encompasses a wide range of species known for their pharmacological and industrial importance, offering diverse therapeutic and economic benefits</w:t>
      </w:r>
      <w:r w:rsidR="00FD14A2" w:rsidRPr="00D0415B">
        <w:rPr>
          <w:rFonts w:asciiTheme="majorBidi" w:eastAsia="Calibri" w:hAnsiTheme="majorBidi" w:cstheme="majorBidi"/>
          <w:sz w:val="20"/>
          <w:szCs w:val="20"/>
        </w:rPr>
        <w:t xml:space="preserve"> </w:t>
      </w:r>
      <w:hyperlink w:anchor="_ENREF_1" w:tooltip="Zhang, 2023 #167"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&lt;EndNote&gt;&lt;Cite&gt;&lt;Author&gt;Zhang&lt;/Author&gt;&lt;Year&gt;2023&lt;/Year&gt;&lt;RecNum&gt;167&lt;/RecNum&gt;&lt;DisplayText&gt;&lt;style face="superscript"&gt;1&lt;/style&gt;&lt;/DisplayText&gt;&lt;record&gt;&lt;rec-number&gt;167&lt;/rec-number&gt;&lt;foreign-keys&gt;&lt;key app="EN" db-id="vp9wwrtfldxaf5eefrnx2w052tptpvpzzrr2"&gt;167&lt;/key&gt;&lt;/foreign-keys&gt;&lt;ref-type name="Journal Article"&gt;17&lt;/ref-type&gt;&lt;contributors&gt;&lt;authors&gt;&lt;author&gt;Zhang, Fangyuan&lt;/author&gt;&lt;author&gt;Qiu, Fei&lt;/author&gt;&lt;author&gt;Zeng, Junlan&lt;/author&gt;&lt;author&gt;Xu, Zhichao&lt;/author&gt;&lt;author&gt;Tang, Yueli&lt;/author&gt;&lt;author&gt;Zhao, Tengfei&lt;/author&gt;&lt;author&gt;Gou, Yuqin&lt;/author&gt;&lt;author&gt;Su, Fei&lt;/author&gt;&lt;author&gt;Wang, Shiyi&lt;/author&gt;&lt;author&gt;Sun, Xiuli&lt;/author&gt;&lt;/authors&gt;&lt;/contributors&gt;&lt;titles&gt;&lt;title&gt;Revealing evolution of tropane alkaloid biosynthesis by analyzing two genomes in the Solanaceae family&lt;/title&gt;&lt;secondary-title&gt;Nature Communications&lt;/secondary-title&gt;&lt;/titles&gt;&lt;periodical&gt;&lt;full-title&gt;Nature Communications&lt;/full-title&gt;&lt;/periodical&gt;&lt;pages&gt;1446&lt;/pages&gt;&lt;volume&gt;14&lt;/volume&gt;&lt;number&gt;1&lt;/number&gt;&lt;dates&gt;&lt;year&gt;2023&lt;/year&gt;&lt;/dates&gt;&lt;isbn&gt;2041-1723&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1</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Among them, </w:t>
      </w:r>
      <w:proofErr w:type="spellStart"/>
      <w:r w:rsidRPr="00D0415B">
        <w:rPr>
          <w:rFonts w:asciiTheme="majorBidi" w:eastAsia="Calibri" w:hAnsiTheme="majorBidi" w:cstheme="majorBidi"/>
          <w:i/>
          <w:iCs/>
          <w:sz w:val="20"/>
          <w:szCs w:val="20"/>
        </w:rPr>
        <w:t>Nicotiana</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L., commonly </w:t>
      </w:r>
      <w:r w:rsidRPr="00D0415B">
        <w:rPr>
          <w:rFonts w:asciiTheme="majorBidi" w:eastAsia="Calibri" w:hAnsiTheme="majorBidi" w:cstheme="majorBidi"/>
          <w:sz w:val="20"/>
          <w:szCs w:val="20"/>
        </w:rPr>
        <w:lastRenderedPageBreak/>
        <w:t xml:space="preserve">known as tobacco, represents one of the most significant cultivated species worldwide. Although more than 60 </w:t>
      </w:r>
      <w:proofErr w:type="spellStart"/>
      <w:r w:rsidRPr="00D0415B">
        <w:rPr>
          <w:rFonts w:asciiTheme="majorBidi" w:eastAsia="Calibri" w:hAnsiTheme="majorBidi" w:cstheme="majorBidi"/>
          <w:sz w:val="20"/>
          <w:szCs w:val="20"/>
        </w:rPr>
        <w:t>Nicotiana</w:t>
      </w:r>
      <w:proofErr w:type="spellEnd"/>
      <w:r w:rsidRPr="00D0415B">
        <w:rPr>
          <w:rFonts w:asciiTheme="majorBidi" w:eastAsia="Calibri" w:hAnsiTheme="majorBidi" w:cstheme="majorBidi"/>
          <w:sz w:val="20"/>
          <w:szCs w:val="20"/>
        </w:rPr>
        <w:t xml:space="preserve"> species have been identified, only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and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rustica</w:t>
      </w:r>
      <w:proofErr w:type="spellEnd"/>
      <w:r w:rsidRPr="00D0415B">
        <w:rPr>
          <w:rFonts w:asciiTheme="majorBidi" w:eastAsia="Calibri" w:hAnsiTheme="majorBidi" w:cstheme="majorBidi"/>
          <w:sz w:val="20"/>
          <w:szCs w:val="20"/>
        </w:rPr>
        <w:t xml:space="preserve"> are commercially cultivated for human use</w:t>
      </w:r>
      <w:r w:rsidR="00FD14A2" w:rsidRPr="00D0415B">
        <w:rPr>
          <w:rFonts w:asciiTheme="majorBidi" w:eastAsia="Calibri" w:hAnsiTheme="majorBidi" w:cstheme="majorBidi"/>
          <w:sz w:val="20"/>
          <w:szCs w:val="20"/>
        </w:rPr>
        <w:t xml:space="preserve"> </w:t>
      </w:r>
      <w:hyperlink w:anchor="_ENREF_2" w:tooltip="Mehmood, 2020 #169"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&lt;EndNote&gt;&lt;Cite&gt;&lt;Author&gt;Mehmood&lt;/Author&gt;&lt;Year&gt;2020&lt;/Year&gt;&lt;RecNum&gt;169&lt;/RecNum&gt;&lt;DisplayText&gt;&lt;style face="superscript"&gt;2&lt;/style&gt;&lt;/DisplayText&gt;&lt;record&gt;&lt;rec-number&gt;169&lt;/rec-number&gt;&lt;foreign-keys&gt;&lt;key app="EN" db-id="vp9wwrtfldxaf5eefrnx2w052tptpvpzzrr2"&gt;169&lt;/key&gt;&lt;/foreign-keys&gt;&lt;ref-type name="Journal Article"&gt;17&lt;/ref-type&gt;&lt;contributors&gt;&lt;authors&gt;&lt;author&gt;Mehmood, Furrukh&lt;/author&gt;&lt;author&gt;Ubaid, Zartasha&lt;/author&gt;&lt;author&gt;Shahzadi, Iram&lt;/author&gt;&lt;author&gt;Ahmed, Ibrar&lt;/author&gt;&lt;author&gt;Waheed, Mohammad Tahir&lt;/author&gt;&lt;author&gt;Poczai, Peter&lt;/author&gt;&lt;author&gt;Mirza, Bushra&lt;/author&gt;&lt;/authors&gt;&lt;/contributors&gt;&lt;titles&gt;&lt;title&gt;Plastid genomics of Nicotiana (Solanaceae): insights into molecular evolution, positive selection and the origin of the maternal genome of Aztec tobacco (Nicotiana rustica)&lt;/title&gt;&lt;secondary-title&gt;PeerJ&lt;/secondary-title&gt;&lt;/titles&gt;&lt;periodical&gt;&lt;full-title&gt;PeerJ&lt;/full-title&gt;&lt;/periodical&gt;&lt;pages&gt;e9552&lt;/pages&gt;&lt;volume&gt;8&lt;/volume&gt;&lt;dates&gt;&lt;year&gt;2020&lt;/year&gt;&lt;/dates&gt;&lt;isbn&gt;2167-8359&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2</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N. </w:t>
      </w:r>
      <w:proofErr w:type="spellStart"/>
      <w:r w:rsidRPr="00D0415B">
        <w:rPr>
          <w:rFonts w:asciiTheme="majorBidi" w:eastAsia="Calibri" w:hAnsiTheme="majorBidi" w:cstheme="majorBidi"/>
          <w:sz w:val="20"/>
          <w:szCs w:val="20"/>
        </w:rPr>
        <w:t>tabacum</w:t>
      </w:r>
      <w:proofErr w:type="spellEnd"/>
      <w:r w:rsidRPr="00D0415B">
        <w:rPr>
          <w:rFonts w:asciiTheme="majorBidi" w:eastAsia="Calibri" w:hAnsiTheme="majorBidi" w:cstheme="majorBidi"/>
          <w:sz w:val="20"/>
          <w:szCs w:val="20"/>
        </w:rPr>
        <w:t xml:space="preserve"> is an annual or short-lived perennial herbaceous plant and the primary natural source of nicotine. Beyond its use in smoking products, tobacco has long been recognized for its wide spectrum of medicinal properties, including antibacterial, antifungal, </w:t>
      </w:r>
      <w:proofErr w:type="spellStart"/>
      <w:r w:rsidRPr="00D0415B">
        <w:rPr>
          <w:rFonts w:asciiTheme="majorBidi" w:eastAsia="Calibri" w:hAnsiTheme="majorBidi" w:cstheme="majorBidi"/>
          <w:sz w:val="20"/>
          <w:szCs w:val="20"/>
        </w:rPr>
        <w:t>antinociceptive</w:t>
      </w:r>
      <w:proofErr w:type="spellEnd"/>
      <w:r w:rsidRPr="00D0415B">
        <w:rPr>
          <w:rFonts w:asciiTheme="majorBidi" w:eastAsia="Calibri" w:hAnsiTheme="majorBidi" w:cstheme="majorBidi"/>
          <w:sz w:val="20"/>
          <w:szCs w:val="20"/>
        </w:rPr>
        <w:t xml:space="preserve">, antimicrobial, anthelmintic, and </w:t>
      </w:r>
      <w:proofErr w:type="spellStart"/>
      <w:r w:rsidRPr="00D0415B">
        <w:rPr>
          <w:rFonts w:asciiTheme="majorBidi" w:eastAsia="Calibri" w:hAnsiTheme="majorBidi" w:cstheme="majorBidi"/>
          <w:sz w:val="20"/>
          <w:szCs w:val="20"/>
        </w:rPr>
        <w:t>neuroprotective</w:t>
      </w:r>
      <w:proofErr w:type="spellEnd"/>
      <w:r w:rsidRPr="00D0415B">
        <w:rPr>
          <w:rFonts w:asciiTheme="majorBidi" w:eastAsia="Calibri" w:hAnsiTheme="majorBidi" w:cstheme="majorBidi"/>
          <w:sz w:val="20"/>
          <w:szCs w:val="20"/>
        </w:rPr>
        <w:t xml:space="preserve"> effects</w:t>
      </w:r>
      <w:r w:rsidR="00FD14A2" w:rsidRPr="00D0415B">
        <w:rPr>
          <w:rFonts w:asciiTheme="majorBidi" w:eastAsia="Calibri" w:hAnsiTheme="majorBidi" w:cstheme="majorBidi"/>
          <w:sz w:val="20"/>
          <w:szCs w:val="20"/>
        </w:rPr>
        <w:t xml:space="preserve"> </w:t>
      </w:r>
      <w:hyperlink w:anchor="_ENREF_3" w:tooltip="Balewa, 2019 #163"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&lt;EndNote&gt;&lt;Cite&gt;&lt;Author&gt;Balewa&lt;/Author&gt;&lt;Year&gt;2019&lt;/Year&gt;&lt;RecNum&gt;163&lt;/RecNum&gt;&lt;DisplayText&gt;&lt;style face="superscript"&gt;3&lt;/style&gt;&lt;/DisplayText&gt;&lt;record&gt;&lt;rec-number&gt;163&lt;/rec-number&gt;&lt;foreign-keys&gt;&lt;key app="EN" db-id="vp9wwrtfldxaf5eefrnx2w052tptpvpzzrr2"&gt;163&lt;/key&gt;&lt;/foreign-keys&gt;&lt;ref-type name="Journal Article"&gt;17&lt;/ref-type&gt;&lt;contributors&gt;&lt;authors&gt;&lt;author&gt;Balewa, Abubakar Tafawa&lt;/author&gt;&lt;/authors&gt;&lt;/contributors&gt;&lt;titles&gt;&lt;title&gt;Phytochemical, antimicrobial and proximate composition of Nicotiana tabacum leaves extract&lt;/title&gt;&lt;secondary-title&gt;International Journal of Innovative Science and Research Technology&lt;/secondary-title&gt;&lt;/titles&gt;&lt;periodical&gt;&lt;full-title&gt;International Journal of Innovative Science and Research Technology&lt;/full-title&gt;&lt;/periodical&gt;&lt;pages&gt;406-410&lt;/pages&gt;&lt;volume&gt;4&lt;/volume&gt;&lt;dates&gt;&lt;year&gt;2019&lt;/year&gt;&lt;/dates&gt;&lt;urls&gt;&lt;/urls&gt;&lt;/record&gt;&lt;/Cite&gt;&lt;/EndNote&gt;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3</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The quality of cured tobacco leaves is determined by a complex interplay of visual, physical, and chemical traits </w:t>
      </w:r>
      <w:hyperlink w:anchor="_ENREF_4" w:tooltip="Karaivazoglou, 2007 #186"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&lt;EndNote&gt;&lt;Cite&gt;&lt;Author&gt;Karaivazoglou&lt;/Author&gt;&lt;Year&gt;2007&lt;/Year&gt;&lt;RecNum&gt;186&lt;/RecNum&gt;&lt;DisplayText&gt;&lt;style face="superscript"&gt;4&lt;/style&gt;&lt;/DisplayText&gt;&lt;record&gt;&lt;rec-number&gt;186&lt;/rec-number&gt;&lt;foreign-keys&gt;&lt;key app="EN" db-id="vp9wwrtfldxaf5eefrnx2w052tptpvpzzrr2"&gt;186&lt;/key&gt;&lt;/foreign-keys&gt;&lt;ref-type name="Journal Article"&gt;17&lt;/ref-type&gt;&lt;contributors&gt;&lt;authors&gt;&lt;author&gt;Karaivazoglou, NA&lt;/author&gt;&lt;author&gt;Tsotsolis, NC&lt;/author&gt;&lt;author&gt;Tsadilas, CD&lt;/author&gt;&lt;/authors&gt;&lt;/contributors&gt;&lt;titles&gt;&lt;title&gt;Influence of liming and form of nitrogen fertilizer on nutrient uptake, growth, yield, and quality of Virginia (flue-cured) tobacco&lt;/title&gt;&lt;secondary-title&gt;Field crops research&lt;/secondary-title&gt;&lt;/titles&gt;&lt;periodical&gt;&lt;full-title&gt;Field crops research&lt;/full-title&gt;&lt;/periodical&gt;&lt;pages&gt;52-60&lt;/pages&gt;&lt;volume&gt;100&lt;/volume&gt;&lt;number&gt;1&lt;/number&gt;&lt;dates&gt;&lt;year&gt;2007&lt;/year&gt;&lt;/dates&gt;&lt;isbn&gt;0378-4290&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4</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Morphological characteristics such as leaf size, color, texture, and aroma, together with chemical parameters like nicotine, nitrogen, nitrate, and phenolic contents, play a central role in defining both the functional quality and market value of tobacco</w:t>
      </w:r>
      <w:r w:rsidR="00FD14A2" w:rsidRPr="00D0415B">
        <w:rPr>
          <w:rFonts w:asciiTheme="majorBidi" w:eastAsia="Calibri" w:hAnsiTheme="majorBidi" w:cstheme="majorBidi"/>
          <w:sz w:val="20"/>
          <w:szCs w:val="20"/>
        </w:rPr>
        <w:t xml:space="preserve"> </w:t>
      </w:r>
      <w:hyperlink w:anchor="_ENREF_5" w:tooltip="Duangsri, 2012 #182"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&lt;EndNote&gt;&lt;Cite&gt;&lt;Author&gt;Duangsri&lt;/Author&gt;&lt;Year&gt;2012&lt;/Year&gt;&lt;RecNum&gt;182&lt;/RecNum&gt;&lt;DisplayText&gt;&lt;style face="superscript"&gt;5&lt;/style&gt;&lt;/DisplayText&gt;&lt;record&gt;&lt;rec-number&gt;182&lt;/rec-number&gt;&lt;foreign-keys&gt;&lt;key app="EN" db-id="vp9wwrtfldxaf5eefrnx2w052tptpvpzzrr2"&gt;182&lt;/key&gt;&lt;/foreign-keys&gt;&lt;ref-type name="Conference Proceedings"&gt;10&lt;/ref-type&gt;&lt;contributors&gt;&lt;authors&gt;&lt;author&gt;Duangsri, Pichet&lt;/author&gt;&lt;author&gt;Juntarapun, Kantima&lt;/author&gt;&lt;author&gt;Satirapipathkul, Chutimon&lt;/author&gt;&lt;/authors&gt;&lt;/contributors&gt;&lt;titles&gt;&lt;title&gt;The tobacco leaf extract and antibacterial activity in textile&lt;/title&gt;&lt;secondary-title&gt;International Conference: Textiles &amp;amp; Fashion&lt;/secondary-title&gt;&lt;/titles&gt;&lt;pages&gt;3-4&lt;/pages&gt;&lt;dates&gt;&lt;year&gt;2012&lt;/year&gt;&lt;/dates&gt;&lt;urls&gt;&lt;/urls&gt;&lt;/record&gt;&lt;/Cite&gt;&lt;/EndNote&gt;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Species of the </w:t>
      </w:r>
      <w:proofErr w:type="spellStart"/>
      <w:r w:rsidRPr="00D0415B">
        <w:rPr>
          <w:rFonts w:asciiTheme="majorBidi" w:eastAsia="Calibri" w:hAnsiTheme="majorBidi" w:cstheme="majorBidi"/>
          <w:i/>
          <w:iCs/>
          <w:sz w:val="20"/>
          <w:szCs w:val="20"/>
        </w:rPr>
        <w:t>Nicotiana</w:t>
      </w:r>
      <w:proofErr w:type="spellEnd"/>
      <w:r w:rsidRPr="00D0415B">
        <w:rPr>
          <w:rFonts w:asciiTheme="majorBidi" w:eastAsia="Calibri" w:hAnsiTheme="majorBidi" w:cstheme="majorBidi"/>
          <w:sz w:val="20"/>
          <w:szCs w:val="20"/>
        </w:rPr>
        <w:t xml:space="preserve"> genus are rich in diverse phytochemical metabolites, including pyridine alkaloids (notably nicotine), </w:t>
      </w:r>
      <w:proofErr w:type="spellStart"/>
      <w:r w:rsidRPr="00D0415B">
        <w:rPr>
          <w:rFonts w:asciiTheme="majorBidi" w:eastAsia="Calibri" w:hAnsiTheme="majorBidi" w:cstheme="majorBidi"/>
          <w:sz w:val="20"/>
          <w:szCs w:val="20"/>
        </w:rPr>
        <w:t>terpenoids</w:t>
      </w:r>
      <w:proofErr w:type="spellEnd"/>
      <w:r w:rsidRPr="00D0415B">
        <w:rPr>
          <w:rFonts w:asciiTheme="majorBidi" w:eastAsia="Calibri" w:hAnsiTheme="majorBidi" w:cstheme="majorBidi"/>
          <w:sz w:val="20"/>
          <w:szCs w:val="20"/>
        </w:rPr>
        <w:t xml:space="preserve">, aromatic compounds such as limonene and </w:t>
      </w:r>
      <w:proofErr w:type="spellStart"/>
      <w:r w:rsidRPr="00D0415B">
        <w:rPr>
          <w:rFonts w:asciiTheme="majorBidi" w:eastAsia="Calibri" w:hAnsiTheme="majorBidi" w:cstheme="majorBidi"/>
          <w:sz w:val="20"/>
          <w:szCs w:val="20"/>
        </w:rPr>
        <w:t>indole</w:t>
      </w:r>
      <w:proofErr w:type="spellEnd"/>
      <w:r w:rsidRPr="00D0415B">
        <w:rPr>
          <w:rFonts w:asciiTheme="majorBidi" w:eastAsia="Calibri" w:hAnsiTheme="majorBidi" w:cstheme="majorBidi"/>
          <w:sz w:val="20"/>
          <w:szCs w:val="20"/>
        </w:rPr>
        <w:t xml:space="preserve">, and </w:t>
      </w:r>
      <w:proofErr w:type="spellStart"/>
      <w:r w:rsidRPr="00D0415B">
        <w:rPr>
          <w:rFonts w:asciiTheme="majorBidi" w:eastAsia="Calibri" w:hAnsiTheme="majorBidi" w:cstheme="majorBidi"/>
          <w:sz w:val="20"/>
          <w:szCs w:val="20"/>
        </w:rPr>
        <w:t>phytosterols</w:t>
      </w:r>
      <w:proofErr w:type="spellEnd"/>
      <w:r w:rsidR="00FD14A2" w:rsidRPr="00D0415B">
        <w:rPr>
          <w:rFonts w:asciiTheme="majorBidi" w:eastAsia="Calibri" w:hAnsiTheme="majorBidi" w:cstheme="majorBidi"/>
          <w:sz w:val="20"/>
          <w:szCs w:val="20"/>
        </w:rPr>
        <w:t xml:space="preserve"> </w:t>
      </w:r>
      <w:hyperlink w:anchor="_ENREF_6" w:tooltip="Banožić, 2020 #174"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&lt;EndNote&gt;&lt;Cite&gt;&lt;Author&gt;Banožić&lt;/Author&gt;&lt;Year&gt;2020&lt;/Year&gt;&lt;RecNum&gt;174&lt;/RecNum&gt;&lt;DisplayText&gt;&lt;style face="superscript"&gt;6&lt;/style&gt;&lt;/DisplayText&gt;&lt;record&gt;&lt;rec-number&gt;174&lt;/rec-number&gt;&lt;foreign-keys&gt;&lt;key app="EN" db-id="vp9wwrtfldxaf5eefrnx2w052tptpvpzzrr2"&gt;174&lt;/key&gt;&lt;/foreign-keys&gt;&lt;ref-type name="Journal Article"&gt;17&lt;/ref-type&gt;&lt;contributors&gt;&lt;authors&gt;&lt;author&gt;Banožić, Marija&lt;/author&gt;&lt;author&gt;Babić, Jurislav&lt;/author&gt;&lt;author&gt;Jokić, Stela&lt;/author&gt;&lt;/authors&gt;&lt;/contributors&gt;&lt;titles&gt;&lt;title&gt;Recent advances in extraction of bioactive compounds from tobacco industrial waste-a review&lt;/title&gt;&lt;secondary-title&gt;Industrial Crops and Products&lt;/secondary-title&gt;&lt;/titles&gt;&lt;periodical&gt;&lt;full-title&gt;Industrial Crops and Products&lt;/full-title&gt;&lt;/periodical&gt;&lt;pages&gt;112009&lt;/pages&gt;&lt;volume&gt;144&lt;/volume&gt;&lt;dates&gt;&lt;year&gt;2020&lt;/year&gt;&lt;/dates&gt;&lt;isbn&gt;0926-6690&lt;/isbn&gt;&lt;urls&gt;&lt;/urls&gt;&lt;/record&gt;&lt;/Cite&gt;&lt;/EndNote&gt;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6</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They also produce flavonoids, volatile </w:t>
      </w:r>
      <w:proofErr w:type="spellStart"/>
      <w:r w:rsidRPr="00D0415B">
        <w:rPr>
          <w:rFonts w:asciiTheme="majorBidi" w:eastAsia="Calibri" w:hAnsiTheme="majorBidi" w:cstheme="majorBidi"/>
          <w:sz w:val="20"/>
          <w:szCs w:val="20"/>
        </w:rPr>
        <w:t>cembranoid</w:t>
      </w:r>
      <w:proofErr w:type="spellEnd"/>
      <w:r w:rsidRPr="00D0415B">
        <w:rPr>
          <w:rFonts w:asciiTheme="majorBidi" w:eastAsia="Calibri" w:hAnsiTheme="majorBidi" w:cstheme="majorBidi"/>
          <w:sz w:val="20"/>
          <w:szCs w:val="20"/>
        </w:rPr>
        <w:t xml:space="preserve"> compounds, and </w:t>
      </w:r>
      <w:proofErr w:type="spellStart"/>
      <w:r w:rsidRPr="00D0415B">
        <w:rPr>
          <w:rFonts w:asciiTheme="majorBidi" w:eastAsia="Calibri" w:hAnsiTheme="majorBidi" w:cstheme="majorBidi"/>
          <w:sz w:val="20"/>
          <w:szCs w:val="20"/>
        </w:rPr>
        <w:t>hydroxygeranyllinalool</w:t>
      </w:r>
      <w:proofErr w:type="spellEnd"/>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diterpene</w:t>
      </w:r>
      <w:proofErr w:type="spellEnd"/>
      <w:r w:rsidRPr="00D0415B">
        <w:rPr>
          <w:rFonts w:asciiTheme="majorBidi" w:eastAsia="Calibri" w:hAnsiTheme="majorBidi" w:cstheme="majorBidi"/>
          <w:sz w:val="20"/>
          <w:szCs w:val="20"/>
        </w:rPr>
        <w:t xml:space="preserve"> glycosides</w:t>
      </w:r>
      <w:r w:rsidR="00FD14A2" w:rsidRPr="00D0415B">
        <w:rPr>
          <w:rFonts w:asciiTheme="majorBidi" w:eastAsia="Calibri" w:hAnsiTheme="majorBidi" w:cstheme="majorBidi"/>
          <w:sz w:val="20"/>
          <w:szCs w:val="20"/>
        </w:rPr>
        <w:t xml:space="preserve"> </w:t>
      </w:r>
      <w:hyperlink w:anchor="_ENREF_7" w:tooltip="Ge, 2019 #161"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&lt;EndNote&gt;&lt;Cite&gt;&lt;Author&gt;Ge&lt;/Author&gt;&lt;Year&gt;2019&lt;/Year&gt;&lt;RecNum&gt;161&lt;/RecNum&gt;&lt;DisplayText&gt;&lt;style face="superscript"&gt;7&lt;/style&gt;&lt;/DisplayText&gt;&lt;record&gt;&lt;rec-number&gt;161&lt;/rec-number&gt;&lt;foreign-keys&gt;&lt;key app="EN" db-id="vp9wwrtfldxaf5eefrnx2w052tptpvpzzrr2"&gt;161&lt;/key&gt;&lt;/foreign-keys&gt;&lt;ref-type name="Journal Article"&gt;17&lt;/ref-type&gt;&lt;contributors&gt;&lt;authors&gt;&lt;author&gt;Ge, Lingling&lt;/author&gt;&lt;author&gt;Chen, Yuntian&lt;/author&gt;&lt;author&gt;Yan, Chunyi&lt;/author&gt;&lt;author&gt;Zhao, Pan&lt;/author&gt;&lt;author&gt;Zhang, Peng&lt;/author&gt;&lt;author&gt;Liu, Jiaming&lt;/author&gt;&lt;/authors&gt;&lt;/contributors&gt;&lt;titles&gt;&lt;title&gt;Study progress of radiomics with machine learning for precision medicine in bladder cancer management&lt;/title&gt;&lt;secondary-title&gt;Frontiers in Oncology&lt;/secondary-title&gt;&lt;/titles&gt;&lt;periodical&gt;&lt;full-title&gt;Frontiers in Oncology&lt;/full-title&gt;&lt;/periodical&gt;&lt;pages&gt;1296&lt;/pages&gt;&lt;volume&gt;9&lt;/volume&gt;&lt;dates&gt;&lt;year&gt;2019&lt;/year&gt;&lt;/dates&gt;&lt;isbn&gt;2234-943X&lt;/isbn&gt;&lt;urls&gt;&lt;/urls&gt;&lt;/record&gt;&lt;/Cite&gt;&lt;/EndNote&gt;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7</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which contribute to the plant’s aroma, bioactivity, and pharmacological value.</w:t>
      </w:r>
    </w:p>
    <w:p w14:paraId="26A19380" w14:textId="048D8713" w:rsidR="008B1213" w:rsidRPr="00D0415B" w:rsidRDefault="00CE0F78"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Nicotine biosynthesis in tobacco is primarily driven by nitrogen metabolism, involving amino acids such as arginine, ornithine, and aspartate. Arginine is converted to ornithine by </w:t>
      </w:r>
      <w:proofErr w:type="spellStart"/>
      <w:r w:rsidRPr="00D0415B">
        <w:rPr>
          <w:rFonts w:asciiTheme="majorBidi" w:eastAsia="Calibri" w:hAnsiTheme="majorBidi" w:cstheme="majorBidi"/>
          <w:sz w:val="20"/>
          <w:szCs w:val="20"/>
        </w:rPr>
        <w:t>arginase</w:t>
      </w:r>
      <w:proofErr w:type="spellEnd"/>
      <w:r w:rsidRPr="00D0415B">
        <w:rPr>
          <w:rFonts w:asciiTheme="majorBidi" w:eastAsia="Calibri" w:hAnsiTheme="majorBidi" w:cstheme="majorBidi"/>
          <w:sz w:val="20"/>
          <w:szCs w:val="20"/>
        </w:rPr>
        <w:t xml:space="preserve">, and through </w:t>
      </w:r>
      <w:r w:rsidR="00FD14A2" w:rsidRPr="00D0415B">
        <w:rPr>
          <w:rFonts w:asciiTheme="majorBidi" w:eastAsia="Calibri" w:hAnsiTheme="majorBidi" w:cstheme="majorBidi"/>
          <w:sz w:val="20"/>
          <w:szCs w:val="20"/>
        </w:rPr>
        <w:t xml:space="preserve">a series of enzymatic reactions </w:t>
      </w:r>
      <w:r w:rsidRPr="00D0415B">
        <w:rPr>
          <w:rFonts w:asciiTheme="majorBidi" w:eastAsia="Calibri" w:hAnsiTheme="majorBidi" w:cstheme="majorBidi"/>
          <w:sz w:val="20"/>
          <w:szCs w:val="20"/>
        </w:rPr>
        <w:t>particularly those</w:t>
      </w:r>
      <w:r w:rsidR="00FD14A2" w:rsidRPr="00D0415B">
        <w:rPr>
          <w:rFonts w:asciiTheme="majorBidi" w:eastAsia="Calibri" w:hAnsiTheme="majorBidi" w:cstheme="majorBidi"/>
          <w:sz w:val="20"/>
          <w:szCs w:val="20"/>
        </w:rPr>
        <w:t xml:space="preserve"> catalyzed by nicotine synthase </w:t>
      </w:r>
      <w:r w:rsidRPr="00D0415B">
        <w:rPr>
          <w:rFonts w:asciiTheme="majorBidi" w:eastAsia="Calibri" w:hAnsiTheme="majorBidi" w:cstheme="majorBidi"/>
          <w:sz w:val="20"/>
          <w:szCs w:val="20"/>
        </w:rPr>
        <w:t>nicotine is synthesized</w:t>
      </w:r>
      <w:r w:rsidR="00FD14A2" w:rsidRPr="00D0415B">
        <w:rPr>
          <w:rFonts w:asciiTheme="majorBidi" w:eastAsia="Calibri" w:hAnsiTheme="majorBidi" w:cstheme="majorBidi"/>
          <w:sz w:val="20"/>
          <w:szCs w:val="20"/>
        </w:rPr>
        <w:t xml:space="preserve"> </w:t>
      </w:r>
      <w:hyperlink w:anchor="_ENREF_8" w:tooltip="Zou, 2021 #239"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&lt;EndNote&gt;&lt;Cite&gt;&lt;Author&gt;Zou&lt;/Author&gt;&lt;Year&gt;2021&lt;/Year&gt;&lt;RecNum&gt;239&lt;/RecNum&gt;&lt;DisplayText&gt;&lt;style face="superscript"&gt;8&lt;/style&gt;&lt;/DisplayText&gt;&lt;record&gt;&lt;rec-number&gt;239&lt;/rec-number&gt;&lt;foreign-keys&gt;&lt;key app="EN" db-id="vp9wwrtfldxaf5eefrnx2w052tptpvpzzrr2"&gt;239&lt;/key&gt;&lt;/foreign-keys&gt;&lt;ref-type name="Journal Article"&gt;17&lt;/ref-type&gt;&lt;contributors&gt;&lt;authors&gt;&lt;author&gt;Zou, Xinda&lt;/author&gt;&lt;author&gt;Bk, Amrit&lt;/author&gt;&lt;author&gt;Rauf, Abdur&lt;/author&gt;&lt;author&gt;Saeed, Muhammad&lt;/author&gt;&lt;author&gt;Al-Awthan, Yahya S&lt;/author&gt;&lt;author&gt;A. Al-Duais, Mohammed&lt;/author&gt;&lt;author&gt;Bahattab, Omar&lt;/author&gt;&lt;author&gt;Hamayoon Khan, Muhammad&lt;/author&gt;&lt;author&gt;Suleria, Hafiz AR&lt;/author&gt;&lt;/authors&gt;&lt;/contributors&gt;&lt;titles&gt;&lt;title&gt;Screening of polyphenols in tobacco (Nicotiana tabacum) and determination of their antioxidant activity in different tobacco varieties&lt;/title&gt;&lt;secondary-title&gt;ACS omega&lt;/secondary-title&gt;&lt;/titles&gt;&lt;periodical&gt;&lt;full-title&gt;ACS omega&lt;/full-title&gt;&lt;/periodical&gt;&lt;pages&gt;25361-25371&lt;/pages&gt;&lt;volume&gt;6&lt;/volume&gt;&lt;number&gt;39&lt;/number&gt;&lt;dates&gt;&lt;year&gt;2021&lt;/year&gt;&lt;/dates&gt;&lt;isbn&gt;2470-1343&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8</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Aspartic acid and nitrogen availability further influence this pathway, linking nutrient status to secondary metabolite production</w:t>
      </w:r>
      <w:r w:rsidR="008B1213" w:rsidRPr="00D0415B">
        <w:rPr>
          <w:rFonts w:asciiTheme="majorBidi" w:eastAsia="Calibri" w:hAnsiTheme="majorBidi" w:cstheme="majorBidi"/>
          <w:sz w:val="20"/>
          <w:szCs w:val="20"/>
        </w:rPr>
        <w:t xml:space="preserve"> </w:t>
      </w:r>
      <w:hyperlink w:anchor="_ENREF_9" w:tooltip="Makhdum, 2002 #180"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&lt;EndNote&gt;&lt;Cite&gt;&lt;Author&gt;Makhdum&lt;/Author&gt;&lt;Year&gt;2002&lt;/Year&gt;&lt;RecNum&gt;180&lt;/RecNum&gt;&lt;DisplayText&gt;&lt;style face="superscript"&gt;9&lt;/style&gt;&lt;/DisplayText&gt;&lt;record&gt;&lt;rec-number&gt;180&lt;/rec-number&gt;&lt;foreign-keys&gt;&lt;key app="EN" db-id="vp9wwrtfldxaf5eefrnx2w052tptpvpzzrr2"&gt;180&lt;/key&gt;&lt;/foreign-keys&gt;&lt;ref-type name="Journal Article"&gt;17&lt;/ref-type&gt;&lt;contributors&gt;&lt;authors&gt;&lt;author&gt;Makhdum, IM&lt;/author&gt;&lt;author&gt;Nawaz, A&lt;/author&gt;&lt;author&gt;Shabab, M&lt;/author&gt;&lt;author&gt;Ahmad, F&lt;/author&gt;&lt;author&gt;Illahi, F&lt;/author&gt;&lt;/authors&gt;&lt;/contributors&gt;&lt;titles&gt;&lt;title&gt;Physiological response of cotton to methanol foliar application&lt;/title&gt;&lt;secondary-title&gt;Journal of Research (Science)&lt;/secondary-title&gt;&lt;/titles&gt;&lt;periodical&gt;&lt;full-title&gt;Journal of Research (Science)&lt;/full-title&gt;&lt;/periodical&gt;&lt;pages&gt;37-43&lt;/pages&gt;&lt;volume&gt;13&lt;/volume&gt;&lt;number&gt;1&lt;/number&gt;&lt;dates&gt;&lt;year&gt;2002&lt;/year&gt;&lt;/dates&gt;&lt;urls&gt;&lt;/urls&gt;&lt;/record&gt;&lt;/Cite&gt;&lt;/EndNote&gt;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9</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Therefore, nitrogen not only serves as a vital macronutrient for plant growth and metabolism but also plays a key role in the synthesis of bioactive compounds that define tobacco quality</w:t>
      </w:r>
      <w:r w:rsidR="008B1213" w:rsidRPr="00D0415B">
        <w:rPr>
          <w:rFonts w:asciiTheme="majorBidi" w:eastAsia="Calibri" w:hAnsiTheme="majorBidi" w:cstheme="majorBidi"/>
          <w:sz w:val="20"/>
          <w:szCs w:val="20"/>
        </w:rPr>
        <w:t xml:space="preserve"> </w:t>
      </w:r>
      <w:hyperlink w:anchor="_ENREF_10" w:tooltip="Raina, 2022 #1677"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&lt;EndNote&gt;&lt;Cite&gt;&lt;Author&gt;Raina&lt;/Author&gt;&lt;Year&gt;2022&lt;/Year&gt;&lt;RecNum&gt;1677&lt;/RecNum&gt;&lt;DisplayText&gt;&lt;style face="superscript"&gt;10&lt;/style&gt;&lt;/DisplayText&gt;&lt;record&gt;&lt;rec-number&gt;1677&lt;/rec-number&gt;&lt;foreign-keys&gt;&lt;key app="EN" db-id="vp9wwrtfldxaf5eefrnx2w052tptpvpzzrr2"&gt;1677&lt;/key&gt;&lt;/foreign-keys&gt;&lt;ref-type name="Book Section"&gt;5&lt;/ref-type&gt;&lt;contributors&gt;&lt;authors&gt;&lt;author&gt;Raina, Ruchi&lt;/author&gt;&lt;author&gt;Mazahar, Samina&lt;/author&gt;&lt;/authors&gt;&lt;/contributors&gt;&lt;titles&gt;&lt;title&gt;Nitrogen: A key macronutrient for the plant world&lt;/title&gt;&lt;secondary-title&gt;Advances in Plant Nitrogen Metabolism&lt;/secondary-title&gt;&lt;/titles&gt;&lt;pages&gt;19-27&lt;/pages&gt;&lt;dates&gt;&lt;year&gt;2022&lt;/year&gt;&lt;/dates&gt;&lt;publisher&gt;CRC Press&lt;/publisher&gt;&lt;urls&gt;&lt;/urls&gt;&lt;/record&gt;&lt;/Cite&gt;&lt;/EndNote&gt;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10</w:t>
        </w:r>
        <w:r w:rsidR="00596AE2" w:rsidRPr="00D0415B">
          <w:rPr>
            <w:rFonts w:asciiTheme="majorBidi" w:eastAsia="Calibri" w:hAnsiTheme="majorBidi" w:cstheme="majorBidi"/>
            <w:sz w:val="20"/>
            <w:szCs w:val="20"/>
          </w:rPr>
          <w:fldChar w:fldCharType="end"/>
        </w:r>
      </w:hyperlink>
      <w:r w:rsidR="008B1213" w:rsidRPr="00D0415B">
        <w:rPr>
          <w:rFonts w:asciiTheme="majorBidi" w:eastAsia="Calibri" w:hAnsiTheme="majorBidi" w:cstheme="majorBidi"/>
          <w:sz w:val="20"/>
          <w:szCs w:val="20"/>
        </w:rPr>
        <w:t xml:space="preserve">. </w:t>
      </w:r>
      <w:r w:rsidRPr="00D0415B">
        <w:rPr>
          <w:rFonts w:asciiTheme="majorBidi" w:eastAsia="Calibri" w:hAnsiTheme="majorBidi" w:cstheme="majorBidi"/>
          <w:sz w:val="20"/>
          <w:szCs w:val="20"/>
        </w:rPr>
        <w:t>Given the economic and pharmaceutical importance of tobacco, enhancing both its quantitative and qualitative attributes is a major agricultural goal, particularly in regions where domestic production cannot meet industrial demand</w:t>
      </w:r>
      <w:r w:rsidR="008B1213" w:rsidRPr="00D0415B">
        <w:rPr>
          <w:rFonts w:asciiTheme="majorBidi" w:eastAsia="Calibri" w:hAnsiTheme="majorBidi" w:cstheme="majorBidi"/>
          <w:sz w:val="20"/>
          <w:szCs w:val="20"/>
        </w:rPr>
        <w:t xml:space="preserve"> </w:t>
      </w:r>
      <w:hyperlink w:anchor="_ENREF_11" w:tooltip="McDaniel, 2016 #1678"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&lt;EndNote&gt;&lt;Cite&gt;&lt;Author&gt;McDaniel&lt;/Author&gt;&lt;Year&gt;2016&lt;/Year&gt;&lt;RecNum&gt;1678&lt;/RecNum&gt;&lt;DisplayText&gt;&lt;style face="superscript"&gt;11&lt;/style&gt;&lt;/DisplayText&gt;&lt;record&gt;&lt;rec-number&gt;1678&lt;/rec-number&gt;&lt;foreign-keys&gt;&lt;key app="EN" db-id="vp9wwrtfldxaf5eefrnx2w052tptpvpzzrr2"&gt;1678&lt;/key&gt;&lt;/foreign-keys&gt;&lt;ref-type name="Journal Article"&gt;17&lt;/ref-type&gt;&lt;contributors&gt;&lt;authors&gt;&lt;author&gt;McDaniel, Patricia A&lt;/author&gt;&lt;author&gt;Smith, Elizabeth A&lt;/author&gt;&lt;author&gt;Malone, Ruth E&lt;/author&gt;&lt;/authors&gt;&lt;/contributors&gt;&lt;titles&gt;&lt;title&gt;The tobacco endgame: a qualitative review and synthesis&lt;/title&gt;&lt;secondary-title&gt;Tobacco Control&lt;/secondary-title&gt;&lt;/titles&gt;&lt;periodical&gt;&lt;full-title&gt;Tobacco control&lt;/full-title&gt;&lt;/periodical&gt;&lt;pages&gt;594-604&lt;/pages&gt;&lt;volume&gt;25&lt;/volume&gt;&lt;number&gt;5&lt;/number&gt;&lt;dates&gt;&lt;year&gt;2016&lt;/year&gt;&lt;/dates&gt;&lt;isbn&gt;0964-4563&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11</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Foliar application of nitrogen-based fertilizers and amino acids has emerged as a promising approach to improve morphological, physiological, and phytochemical traits. Amino acids such as ornithine, arginine, and aspartate may further stimulate nutrient uptake, stress tolerance, and secondary metabolite accumulation</w:t>
      </w:r>
      <w:r w:rsidR="008B1213" w:rsidRPr="00D0415B">
        <w:rPr>
          <w:rFonts w:asciiTheme="majorBidi" w:eastAsia="Calibri" w:hAnsiTheme="majorBidi" w:cstheme="majorBidi"/>
          <w:sz w:val="20"/>
          <w:szCs w:val="20"/>
        </w:rPr>
        <w:t xml:space="preserve"> </w:t>
      </w:r>
      <w:hyperlink w:anchor="_ENREF_12" w:tooltip="Kaya, 2024 #1679"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&lt;EndNote&gt;&lt;Cite&gt;&lt;Author&gt;Kaya&lt;/Author&gt;&lt;Year&gt;2024&lt;/Year&gt;&lt;RecNum&gt;1679&lt;/RecNum&gt;&lt;DisplayText&gt;&lt;style face="superscript"&gt;12&lt;/style&gt;&lt;/DisplayText&gt;&lt;record&gt;&lt;rec-number&gt;1679&lt;/rec-number&gt;&lt;foreign-keys&gt;&lt;key app="EN" db-id="vp9wwrtfldxaf5eefrnx2w052tptpvpzzrr2"&gt;1679&lt;/key&gt;&lt;/foreign-keys&gt;&lt;ref-type name="Journal Article"&gt;17&lt;/ref-type&gt;&lt;contributors&gt;&lt;authors&gt;&lt;author&gt;Kaya, Cengiz&lt;/author&gt;&lt;author&gt;Ashraf, M&lt;/author&gt;&lt;/authors&gt;&lt;/contributors&gt;&lt;titles&gt;&lt;title&gt;Foliar fertilization: a potential strategy for improving plant salt tolerance&lt;/title&gt;&lt;secondary-title&gt;Critical Reviews in Plant Sciences&lt;/secondary-title&gt;&lt;/titles&gt;&lt;periodical&gt;&lt;full-title&gt;Critical Reviews in Plant Sciences&lt;/full-title&gt;&lt;/periodical&gt;&lt;pages&gt;94-115&lt;/pages&gt;&lt;volume&gt;43&lt;/volume&gt;&lt;number&gt;2&lt;/number&gt;&lt;dates&gt;&lt;year&gt;2024&lt;/year&gt;&lt;/dates&gt;&lt;isbn&gt;0735-2689&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12</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Despite growing evidence of these benefits, limited research has examined the combined effects of different nitrogen sources and amino acids on the morphology, physiology, nicotine concentration, total phenolic content, and a</w:t>
      </w:r>
      <w:r w:rsidR="008B1213" w:rsidRPr="00D0415B">
        <w:rPr>
          <w:rFonts w:asciiTheme="majorBidi" w:eastAsia="Calibri" w:hAnsiTheme="majorBidi" w:cstheme="majorBidi"/>
          <w:sz w:val="20"/>
          <w:szCs w:val="20"/>
        </w:rPr>
        <w:t xml:space="preserve">ntioxidant capacity of tobacco. </w:t>
      </w:r>
    </w:p>
    <w:p w14:paraId="01C3E17C" w14:textId="1FA45C29" w:rsidR="0018616B" w:rsidRPr="00D0415B" w:rsidRDefault="00CE0F78"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To address this gap, the present study investigates the effects of foliar application of various nitrogen forms (ammonium nitrate and urea) and selected amino acids (ornithine, arginine, and aspartate) on the morphological, physiological, and phytochemical traits of </w:t>
      </w:r>
      <w:proofErr w:type="spellStart"/>
      <w:r w:rsidRPr="00D0415B">
        <w:rPr>
          <w:rFonts w:asciiTheme="majorBidi" w:eastAsia="Calibri" w:hAnsiTheme="majorBidi" w:cstheme="majorBidi"/>
          <w:i/>
          <w:iCs/>
          <w:sz w:val="20"/>
          <w:szCs w:val="20"/>
        </w:rPr>
        <w:t>Nicotiana</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grown under field conditions over two consecutive growing seasons. The findings aim to provide valuable insights into optimizing nutrient management strategies that enhance plant growth, bioactive compound synthesis, and environmental sustainability.</w:t>
      </w:r>
    </w:p>
    <w:p w14:paraId="10598D17" w14:textId="77777777" w:rsidR="00596AE2" w:rsidRPr="00D0415B" w:rsidRDefault="00596AE2" w:rsidP="00596AE2">
      <w:pPr>
        <w:spacing w:after="0" w:line="276" w:lineRule="auto"/>
        <w:rPr>
          <w:rFonts w:asciiTheme="majorBidi" w:eastAsia="Calibri" w:hAnsiTheme="majorBidi" w:cstheme="majorBidi"/>
          <w:b/>
          <w:bCs/>
          <w:sz w:val="20"/>
          <w:szCs w:val="20"/>
        </w:rPr>
      </w:pPr>
      <w:r w:rsidRPr="00D0415B">
        <w:rPr>
          <w:rFonts w:asciiTheme="majorBidi" w:eastAsia="Calibri" w:hAnsiTheme="majorBidi" w:cstheme="majorBidi"/>
          <w:b/>
          <w:bCs/>
          <w:sz w:val="20"/>
          <w:szCs w:val="20"/>
        </w:rPr>
        <w:t>Results and Discussion</w:t>
      </w:r>
    </w:p>
    <w:p w14:paraId="56865517" w14:textId="77777777" w:rsidR="00596AE2" w:rsidRPr="00D0415B" w:rsidRDefault="00596AE2" w:rsidP="00596AE2">
      <w:pPr>
        <w:spacing w:after="0" w:line="276" w:lineRule="auto"/>
        <w:rPr>
          <w:rFonts w:asciiTheme="majorBidi" w:eastAsia="Calibri" w:hAnsiTheme="majorBidi" w:cstheme="majorBidi"/>
          <w:b/>
          <w:bCs/>
          <w:sz w:val="20"/>
          <w:szCs w:val="20"/>
        </w:rPr>
      </w:pPr>
      <w:r w:rsidRPr="00D0415B">
        <w:rPr>
          <w:rFonts w:asciiTheme="majorBidi" w:eastAsia="Calibri" w:hAnsiTheme="majorBidi" w:cstheme="majorBidi"/>
          <w:b/>
          <w:bCs/>
          <w:sz w:val="20"/>
          <w:szCs w:val="20"/>
        </w:rPr>
        <w:t>Morphological analysis and yield</w:t>
      </w:r>
    </w:p>
    <w:p w14:paraId="7A7B33DC" w14:textId="1FD32EF9" w:rsidR="00596AE2" w:rsidRPr="00D0415B" w:rsidRDefault="00596AE2" w:rsidP="002A2E7D">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The maximum value of leaf length (LL), and leaf width (LW) between years of cultivation were observed in Y2 (second year) and maximum amount of stem height (SH), leaves number (LN) and yield (Y) were obtained in Y1 (first year)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1</w:t>
      </w:r>
      <w:r w:rsidRPr="00D0415B">
        <w:rPr>
          <w:rFonts w:asciiTheme="majorBidi" w:eastAsia="Calibri" w:hAnsiTheme="majorBidi" w:cstheme="majorBidi"/>
          <w:sz w:val="20"/>
          <w:szCs w:val="20"/>
        </w:rPr>
        <w:t>S A-G). The maximum value of LL, LW, SH, LN, and Y between tobacco verities were observed in Br (Burley) with 54.2 cm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A), 26.3 cm (</w:t>
      </w:r>
      <w:r w:rsidR="00140F9A"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B), 165.2 cm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C), 28.2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D) and 6156.5 kg/ha-1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 xml:space="preserve">G), respectively. The highest level of leaf fresh weight (FW) and leaf dry weight (DW) between verities were observed in </w:t>
      </w:r>
      <w:proofErr w:type="spellStart"/>
      <w:r w:rsidRPr="00D0415B">
        <w:rPr>
          <w:rFonts w:asciiTheme="majorBidi" w:eastAsia="Calibri" w:hAnsiTheme="majorBidi" w:cstheme="majorBidi"/>
          <w:sz w:val="20"/>
          <w:szCs w:val="20"/>
        </w:rPr>
        <w:t>Vr</w:t>
      </w:r>
      <w:proofErr w:type="spellEnd"/>
      <w:r w:rsidRPr="00D0415B">
        <w:rPr>
          <w:rFonts w:asciiTheme="majorBidi" w:eastAsia="Calibri" w:hAnsiTheme="majorBidi" w:cstheme="majorBidi"/>
          <w:sz w:val="20"/>
          <w:szCs w:val="20"/>
        </w:rPr>
        <w:t xml:space="preserve"> (Virginia) with 1.18% (Fig</w:t>
      </w:r>
      <w:r w:rsidR="00402547" w:rsidRPr="00D0415B">
        <w:rPr>
          <w:rFonts w:asciiTheme="majorBidi" w:eastAsia="Calibri" w:hAnsiTheme="majorBidi" w:cstheme="majorBidi"/>
          <w:sz w:val="20"/>
          <w:szCs w:val="20"/>
        </w:rPr>
        <w:t>ure</w:t>
      </w:r>
      <w:r w:rsidRPr="00D0415B">
        <w:rPr>
          <w:rFonts w:asciiTheme="majorBidi" w:eastAsia="Calibri" w:hAnsiTheme="majorBidi" w:cstheme="majorBidi"/>
          <w:sz w:val="20"/>
          <w:szCs w:val="20"/>
        </w:rPr>
        <w:t xml:space="preserv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E) and 0.36% (Fig</w:t>
      </w:r>
      <w:r w:rsidR="00402547" w:rsidRPr="00D0415B">
        <w:rPr>
          <w:rFonts w:asciiTheme="majorBidi" w:eastAsia="Calibri" w:hAnsiTheme="majorBidi" w:cstheme="majorBidi"/>
          <w:sz w:val="20"/>
          <w:szCs w:val="20"/>
        </w:rPr>
        <w:t>ure</w:t>
      </w:r>
      <w:r w:rsidRPr="00D0415B">
        <w:rPr>
          <w:rFonts w:asciiTheme="majorBidi" w:eastAsia="Calibri" w:hAnsiTheme="majorBidi" w:cstheme="majorBidi"/>
          <w:sz w:val="20"/>
          <w:szCs w:val="20"/>
        </w:rPr>
        <w:t xml:space="preserv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F). The minimum values of LL (24.16 cm), LW (14.15 cm), and FW (0.94%) were obtained from Ba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also the lowest level of SH, DW, and Y related to BT (Fig</w:t>
      </w:r>
      <w:r w:rsidR="00402547" w:rsidRPr="00D0415B">
        <w:rPr>
          <w:rFonts w:asciiTheme="majorBidi" w:eastAsia="Calibri" w:hAnsiTheme="majorBidi" w:cstheme="majorBidi"/>
          <w:sz w:val="20"/>
          <w:szCs w:val="20"/>
        </w:rPr>
        <w:t>ure</w:t>
      </w:r>
      <w:r w:rsidRPr="00D0415B">
        <w:rPr>
          <w:rFonts w:asciiTheme="majorBidi" w:eastAsia="Calibri" w:hAnsiTheme="majorBidi" w:cstheme="majorBidi"/>
          <w:sz w:val="20"/>
          <w:szCs w:val="20"/>
        </w:rPr>
        <w:t xml:space="preserve"> </w:t>
      </w:r>
      <w:r w:rsidR="002A2E7D" w:rsidRPr="00D0415B">
        <w:rPr>
          <w:rFonts w:asciiTheme="majorBidi" w:eastAsia="Calibri" w:hAnsiTheme="majorBidi" w:cstheme="majorBidi"/>
          <w:sz w:val="20"/>
          <w:szCs w:val="20"/>
        </w:rPr>
        <w:t>2</w:t>
      </w:r>
      <w:r w:rsidRPr="00D0415B">
        <w:rPr>
          <w:rFonts w:asciiTheme="majorBidi" w:eastAsia="Calibri" w:hAnsiTheme="majorBidi" w:cstheme="majorBidi"/>
          <w:sz w:val="20"/>
          <w:szCs w:val="20"/>
        </w:rPr>
        <w:t>).</w:t>
      </w:r>
    </w:p>
    <w:p w14:paraId="63817D53" w14:textId="19006A66" w:rsidR="00596AE2" w:rsidRPr="00D0415B" w:rsidRDefault="00596AE2" w:rsidP="002A2E7D">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The highest value of LL, SH, LN, FW and Y between types of treatments sprayed were observed in UR1 (Urea 2%) with 47.6 cm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A), 177.8 cm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C), 30.8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D), 1.18%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E), and 6085.4 kg/ha-1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G), respectively. The maximum value of LW obtained in Mix2 (combination of Arginine, Ornithine and Aspartic acid 2 mg/lit) with 27.8 cm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B) and the highest level of DW was belonged to N2 (Ammonium nitrate 4%) with 0.36%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F). The lowest amounts of LL, LW, SH, LN, and FW belonged to the As1 sample (Aspartic acid 1 mg/lit) with 38.3 cm, 18.1 cm, 130.2 cm, 21.4 and 0.96 %, respectively (</w:t>
      </w:r>
      <w:r w:rsidR="00402547"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 The minimum level of DW and Y were obtained in As2 (Aspartic acid 2 mg/lit) and Mix2 with 0.27% and 5833 kg/ha-1 (</w:t>
      </w:r>
      <w:r w:rsidR="00140F9A" w:rsidRPr="00D0415B">
        <w:rPr>
          <w:rFonts w:asciiTheme="majorBidi" w:eastAsia="Calibri" w:hAnsiTheme="majorBidi" w:cstheme="majorBidi"/>
          <w:sz w:val="20"/>
          <w:szCs w:val="20"/>
        </w:rPr>
        <w:t xml:space="preserve">Figure </w:t>
      </w:r>
      <w:r w:rsidR="002A2E7D" w:rsidRPr="00D0415B">
        <w:rPr>
          <w:rFonts w:asciiTheme="majorBidi" w:eastAsia="Calibri" w:hAnsiTheme="majorBidi" w:cstheme="majorBidi"/>
          <w:sz w:val="20"/>
          <w:szCs w:val="20"/>
        </w:rPr>
        <w:t>3</w:t>
      </w:r>
      <w:r w:rsidRPr="00D0415B">
        <w:rPr>
          <w:rFonts w:asciiTheme="majorBidi" w:eastAsia="Calibri" w:hAnsiTheme="majorBidi" w:cstheme="majorBidi"/>
          <w:sz w:val="20"/>
          <w:szCs w:val="20"/>
        </w:rPr>
        <w:t>).</w:t>
      </w:r>
    </w:p>
    <w:p w14:paraId="79B1C379" w14:textId="3B81C15D" w:rsidR="00596AE2" w:rsidRPr="00D0415B" w:rsidRDefault="00596AE2" w:rsidP="00140F9A">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foliar application of N is one of the improved N management practices with least N loss to meet its requirement efficiently </w:t>
      </w:r>
      <w:hyperlink w:anchor="_ENREF_13" w:tooltip="Parrey, 2023 #266"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&lt;EndNote&gt;&lt;Cite&gt;&lt;Author&gt;Parrey&lt;/Author&gt;&lt;Year&gt;2023&lt;/Year&gt;&lt;RecNum&gt;266&lt;/RecNum&gt;&lt;DisplayText&gt;&lt;style face="superscript"&gt;13&lt;/style&gt;&lt;/DisplayText&gt;&lt;record&gt;&lt;rec-number&gt;266&lt;/rec-number&gt;&lt;foreign-keys&gt;&lt;key app="EN" db-id="vp9wwrtfldxaf5eefrnx2w052tptpvpzzrr2"&gt;266&lt;/key&gt;&lt;/foreign-keys&gt;&lt;ref-type name="Journal Article"&gt;17&lt;/ref-type&gt;&lt;contributors&gt;&lt;authors&gt;&lt;author&gt;Parrey, Zubair Ahmad&lt;/author&gt;&lt;author&gt;Shah, Sajad Hussain&lt;/author&gt;&lt;author&gt;Fayaz, Mudasir&lt;/author&gt;&lt;author&gt;Casini, Ryan&lt;/author&gt;&lt;author&gt;Elansary, Hosam O&lt;/author&gt;&lt;author&gt;Mohammad, Firoz&lt;/author&gt;&lt;/authors&gt;&lt;/contributors&gt;&lt;titles&gt;&lt;title&gt;Nitrogen supplementation modulates morphological, biochemical, yield and quality attributes of peppermint&lt;/title&gt;&lt;secondary-title&gt;Plants&lt;/secondary-title&gt;&lt;/titles&gt;&lt;periodical&gt;&lt;full-title&gt;Plants&lt;/full-title&gt;&lt;/periodical&gt;&lt;pages&gt;809&lt;/pages&gt;&lt;volume&gt;12&lt;/volume&gt;&lt;number&gt;4&lt;/number&gt;&lt;dates&gt;&lt;year&gt;2023&lt;/year&gt;&lt;/dates&gt;&lt;isbn&gt;2223-7747&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13</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Both inadequate N supply and inordinate N supply may significantly affect the yield and quality of </w:t>
      </w:r>
      <w:r w:rsidRPr="00D0415B">
        <w:rPr>
          <w:rFonts w:asciiTheme="majorBidi" w:eastAsia="Calibri" w:hAnsiTheme="majorBidi" w:cstheme="majorBidi"/>
          <w:sz w:val="20"/>
          <w:szCs w:val="20"/>
        </w:rPr>
        <w:lastRenderedPageBreak/>
        <w:t xml:space="preserve">tobacco </w:t>
      </w:r>
      <w:hyperlink w:anchor="_ENREF_14" w:tooltip="Jiang, 2015 #256"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&lt;EndNote&gt;&lt;Cite&gt;&lt;Author&gt;Jiang&lt;/Author&gt;&lt;Year&gt;2015&lt;/Year&gt;&lt;RecNum&gt;256&lt;/RecNum&gt;&lt;DisplayText&gt;&lt;style face="superscript"&gt;14&lt;/style&gt;&lt;/DisplayText&gt;&lt;record&gt;&lt;rec-number&gt;256&lt;/rec-number&gt;&lt;foreign-keys&gt;&lt;key app="EN" db-id="vp9wwrtfldxaf5eefrnx2w052tptpvpzzrr2"&gt;256&lt;/key&gt;&lt;/foreign-keys&gt;&lt;ref-type name="Journal Article"&gt;17&lt;/ref-type&gt;&lt;contributors&gt;&lt;authors&gt;&lt;author&gt;Jiang, Chaoqiang&lt;/author&gt;&lt;author&gt;Zu, Chaolong&lt;/author&gt;&lt;author&gt;Wang, Huoyan&lt;/author&gt;&lt;/authors&gt;&lt;/contributors&gt;&lt;titles&gt;&lt;title&gt;Effect of nitrogen fertilization on growth and photosynthetic nitrogen use efficiency in tobacco (Nicotiana tabacum L.)&lt;/title&gt;&lt;secondary-title&gt;Journal of Life Sciences&lt;/secondary-title&gt;&lt;/titles&gt;&lt;periodical&gt;&lt;full-title&gt;Journal of Life Sciences&lt;/full-title&gt;&lt;/periodical&gt;&lt;pages&gt;373-80&lt;/pages&gt;&lt;volume&gt;9&lt;/volume&gt;&lt;number&gt;8&lt;/number&gt;&lt;dates&gt;&lt;year&gt;2015&lt;/year&gt;&lt;/dates&gt;&lt;urls&gt;&lt;/urls&gt;&lt;/record&gt;&lt;/Cite&gt;&lt;/EndNote&gt;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14</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As the results show, LL, LW, SH, LN, FW, DW, and Y were increased significantly relative to the control plants by foliar Application of N in the for</w:t>
      </w:r>
      <w:r w:rsidR="002A2E7D" w:rsidRPr="00D0415B">
        <w:rPr>
          <w:rFonts w:asciiTheme="majorBidi" w:eastAsia="Calibri" w:hAnsiTheme="majorBidi" w:cstheme="majorBidi"/>
          <w:sz w:val="20"/>
          <w:szCs w:val="20"/>
        </w:rPr>
        <w:t>m of urea and Ammonium nitrate</w:t>
      </w:r>
      <w:r w:rsidRPr="00D0415B">
        <w:rPr>
          <w:rFonts w:asciiTheme="majorBidi" w:eastAsia="Calibri" w:hAnsiTheme="majorBidi" w:cstheme="majorBidi"/>
          <w:sz w:val="20"/>
          <w:szCs w:val="20"/>
        </w:rPr>
        <w:t xml:space="preserve">. In fact, the main method to increase crop yields is the application of mineral fertilizers such as nitrogen. In similar study, N supply stimulated the growth of the plant, as reflecting by a significant increase in plant growth parameters such as plant height, stem dry weight, leaf dry weight and total biomass </w:t>
      </w:r>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&lt;EndNote&gt;&lt;Cite&gt;&lt;Author&gt;Jiang&lt;/Author&gt;&lt;Year&gt;2015&lt;/Year&gt;&lt;RecNum&gt;256&lt;/RecNum&gt;&lt;DisplayText&gt;&lt;style face="superscript"&gt;14,15&lt;/style&gt;&lt;/DisplayText&gt;&lt;record&gt;&lt;rec-number&gt;256&lt;/rec-number&gt;&lt;foreign-keys&gt;&lt;key app="EN" db-id="vp9wwrtfldxaf5eefrnx2w052tptpvpzzrr2"&gt;256&lt;/key&gt;&lt;/foreign-keys&gt;&lt;ref-type name="Journal Article"&gt;17&lt;/ref-type&gt;&lt;contributors&gt;&lt;authors&gt;&lt;author&gt;Jiang, Chaoqiang&lt;/author&gt;&lt;author&gt;Zu, Chaolong&lt;/author&gt;&lt;author&gt;Wang, Huoyan&lt;/author&gt;&lt;/authors&gt;&lt;/contributors&gt;&lt;titles&gt;&lt;title&gt;Effect of nitrogen fertilization on growth and photosynthetic nitrogen use efficiency in tobacco (Nicotiana tabacum L.)&lt;/title&gt;&lt;secondary-title&gt;Journal of Life Sciences&lt;/secondary-title&gt;&lt;/titles&gt;&lt;periodical&gt;&lt;full-title&gt;Journal of Life Sciences&lt;/full-title&gt;&lt;/periodical&gt;&lt;pages&gt;373-80&lt;/pages&gt;&lt;volume&gt;9&lt;/volume&gt;&lt;number&gt;8&lt;/number&gt;&lt;dates&gt;&lt;year&gt;2015&lt;/year&gt;&lt;/dates&gt;&lt;urls&gt;&lt;/urls&gt;&lt;/record&gt;&lt;/Cite&gt;&lt;Cite&gt;&lt;Author&gt;Li&lt;/Author&gt;&lt;Year&gt;2012&lt;/Year&gt;&lt;RecNum&gt;258&lt;/RecNum&gt;&lt;record&gt;&lt;rec-number&gt;258&lt;/rec-number&gt;&lt;foreign-keys&gt;&lt;key app="EN" db-id="vp9wwrtfldxaf5eefrnx2w052tptpvpzzrr2"&gt;258&lt;/key&gt;&lt;/foreign-keys&gt;&lt;ref-type name="Journal Article"&gt;17&lt;/ref-type&gt;&lt;contributors&gt;&lt;authors&gt;&lt;author&gt;Li, Yong&lt;/author&gt;&lt;author&gt;Yang, Xiuxia&lt;/author&gt;&lt;author&gt;Ren, Binbin&lt;/author&gt;&lt;author&gt;Shen, Qirong&lt;/author&gt;&lt;author&gt;Guo, Shiwei&lt;/author&gt;&lt;/authors&gt;&lt;/contributors&gt;&lt;titles&gt;&lt;title&gt;Why nitrogen use efficiency decreases under high nitrogen supply in rice (Oryza sativa L.) seedlings&lt;/title&gt;&lt;secondary-title&gt;Journal of Plant Growth Regulation&lt;/secondary-title&gt;&lt;/titles&gt;&lt;periodical&gt;&lt;full-title&gt;Journal of Plant Growth Regulation&lt;/full-title&gt;&lt;/periodical&gt;&lt;pages&gt;47-52&lt;/pages&gt;&lt;volume&gt;31&lt;/volume&gt;&lt;dates&gt;&lt;year&gt;2012&lt;/year&gt;&lt;/dates&gt;&lt;isbn&gt;0721-7595&lt;/isbn&gt;&lt;urls&gt;&lt;/urls&gt;&lt;/record&gt;&lt;/Cite&gt;&lt;/EndNote&gt;</w:instrText>
      </w:r>
      <w:r w:rsidRPr="00D0415B">
        <w:rPr>
          <w:rFonts w:asciiTheme="majorBidi" w:eastAsia="Calibri" w:hAnsiTheme="majorBidi" w:cstheme="majorBidi"/>
          <w:sz w:val="20"/>
          <w:szCs w:val="20"/>
        </w:rPr>
        <w:fldChar w:fldCharType="separate"/>
      </w:r>
      <w:hyperlink w:anchor="_ENREF_14" w:tooltip="Jiang, 2015 #256" w:history="1">
        <w:r w:rsidRPr="00D0415B">
          <w:rPr>
            <w:rFonts w:asciiTheme="majorBidi" w:eastAsia="Calibri" w:hAnsiTheme="majorBidi" w:cstheme="majorBidi"/>
            <w:noProof/>
            <w:sz w:val="20"/>
            <w:szCs w:val="20"/>
            <w:vertAlign w:val="superscript"/>
          </w:rPr>
          <w:t>14</w:t>
        </w:r>
      </w:hyperlink>
      <w:r w:rsidRPr="00D0415B">
        <w:rPr>
          <w:rFonts w:asciiTheme="majorBidi" w:eastAsia="Calibri" w:hAnsiTheme="majorBidi" w:cstheme="majorBidi"/>
          <w:noProof/>
          <w:sz w:val="20"/>
          <w:szCs w:val="20"/>
          <w:vertAlign w:val="superscript"/>
        </w:rPr>
        <w:t>,</w:t>
      </w:r>
      <w:hyperlink w:anchor="_ENREF_15" w:tooltip="Li, 2012 #258" w:history="1">
        <w:r w:rsidRPr="00D0415B">
          <w:rPr>
            <w:rFonts w:asciiTheme="majorBidi" w:eastAsia="Calibri" w:hAnsiTheme="majorBidi" w:cstheme="majorBidi"/>
            <w:noProof/>
            <w:sz w:val="20"/>
            <w:szCs w:val="20"/>
            <w:vertAlign w:val="superscript"/>
          </w:rPr>
          <w:t>15</w:t>
        </w:r>
      </w:hyperlink>
      <w:r w:rsidRPr="00D0415B">
        <w:rPr>
          <w:rFonts w:asciiTheme="majorBidi" w:eastAsia="Calibri" w:hAnsiTheme="majorBidi" w:cstheme="majorBidi"/>
          <w:sz w:val="20"/>
          <w:szCs w:val="20"/>
        </w:rPr>
        <w:fldChar w:fldCharType="end"/>
      </w:r>
      <w:r w:rsidRPr="00D0415B">
        <w:rPr>
          <w:rFonts w:asciiTheme="majorBidi" w:eastAsia="Calibri" w:hAnsiTheme="majorBidi" w:cstheme="majorBidi"/>
          <w:sz w:val="20"/>
          <w:szCs w:val="20"/>
        </w:rPr>
        <w:t xml:space="preserve">. It was reported that the leaf length and leaf width are very responsive to nitrogen supply. On the other hand, nitrogen supply resulted in stimulation in stem height (SH) which is consistent with the results of </w:t>
      </w:r>
      <w:hyperlink w:anchor="_ENREF_16" w:tooltip="Li, 2022 #262"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AuthorYear="1"&gt;&lt;Author&gt;Li&lt;/Author&gt;&lt;Year&gt;2022&lt;/Year&gt;&lt;RecNum&gt;262&lt;/RecNum&gt;&lt;DisplayText&gt;Li, et al. &lt;style face="superscript"&gt;16&lt;/style&gt;&lt;/DisplayText&gt;&lt;record&gt;&lt;rec-number&gt;262&lt;/rec-number&gt;&lt;foreign-keys&gt;&lt;key app="EN" db-id="vp9wwrtfldxaf5eefrnx2w052tptpvpzzrr2"&gt;262&lt;/key&gt;&lt;/foreign-keys&gt;&lt;ref-type name="Journal Article"&gt;17&lt;/ref-type&gt;&lt;contributors&gt;&lt;authors&gt;&lt;author&gt;Li, Jin-zhi&lt;/author&gt;&lt;author&gt;Li, Bing&lt;/author&gt;&lt;author&gt;Guan, Qian&lt;/author&gt;&lt;author&gt;Gao, Jian-ming&lt;/author&gt;&lt;/authors&gt;&lt;/contributors&gt;&lt;titles&gt;&lt;title&gt;Signal molecules controlling nitrate uptake by roots&lt;/title&gt;&lt;secondary-title&gt;Journal of Plant Interactions&lt;/secondary-title&gt;&lt;/titles&gt;&lt;periodical&gt;&lt;full-title&gt;Journal of Plant Interactions&lt;/full-title&gt;&lt;/periodical&gt;&lt;pages&gt;301-308&lt;/pages&gt;&lt;volume&gt;17&lt;/volume&gt;&lt;number&gt;1&lt;/number&gt;&lt;dates&gt;&lt;year&gt;2022&lt;/year&gt;&lt;/dates&gt;&lt;isbn&gt;1742-9145&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Li, et al. </w:t>
        </w:r>
        <w:r w:rsidRPr="00D0415B">
          <w:rPr>
            <w:rFonts w:asciiTheme="majorBidi" w:eastAsia="Calibri" w:hAnsiTheme="majorBidi" w:cstheme="majorBidi"/>
            <w:noProof/>
            <w:sz w:val="20"/>
            <w:szCs w:val="20"/>
            <w:vertAlign w:val="superscript"/>
          </w:rPr>
          <w:t>16</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In pervious study, the foliar application of Urea (CH₄N₂O) significantly affected the number of leaves, fresh and dry weight of Burley variety of tobacco </w:t>
      </w:r>
      <w:hyperlink w:anchor="_ENREF_17" w:tooltip="Moradi, 2019 #264"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&lt;EndNote&gt;&lt;Cite&gt;&lt;Author&gt;Moradi&lt;/Author&gt;&lt;Year&gt;2019&lt;/Year&gt;&lt;RecNum&gt;264&lt;/RecNum&gt;&lt;DisplayText&gt;&lt;style face="superscript"&gt;17&lt;/style&gt;&lt;/DisplayText&gt;&lt;record&gt;&lt;rec-number&gt;264&lt;/rec-number&gt;&lt;foreign-keys&gt;&lt;key app="EN" db-id="vp9wwrtfldxaf5eefrnx2w052tptpvpzzrr2"&gt;264&lt;/key&gt;&lt;/foreign-keys&gt;&lt;ref-type name="Journal Article"&gt;17&lt;/ref-type&gt;&lt;contributors&gt;&lt;authors&gt;&lt;author&gt;Moradi, Shabnam&lt;/author&gt;&lt;author&gt;Pasari, Babak&lt;/author&gt;&lt;author&gt;Talebi, Reza&lt;/author&gt;&lt;/authors&gt;&lt;/contributors&gt;&lt;titles&gt;&lt;title&gt;Study of the effects of mycorrhiza, fulvic acid, seaweed extract and urea on physiological traits and leaf yield of tobacco (Burley 21)&lt;/title&gt;&lt;secondary-title&gt;European Journal of Environmental Sciences&lt;/secondary-title&gt;&lt;/titles&gt;&lt;periodical&gt;&lt;full-title&gt;European Journal of Environmental Sciences&lt;/full-title&gt;&lt;/periodical&gt;&lt;pages&gt;33-40&lt;/pages&gt;&lt;volume&gt;9&lt;/volume&gt;&lt;number&gt;1&lt;/number&gt;&lt;dates&gt;&lt;year&gt;2019&lt;/year&gt;&lt;/dates&gt;&lt;urls&gt;&lt;/urls&gt;&lt;/record&gt;&lt;/Cite&gt;&lt;/EndNote&gt;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17</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The exogenous N is predominantly applied in the form of urea to plants and is rapidly absorbed from the surface of leaves with the help of specialized transporters such as degradation of urea (DUR3), it is hydrolyzed by urease into ammonia which in turn is assimilated into amino acids </w:t>
      </w:r>
      <w:hyperlink w:anchor="_ENREF_18" w:tooltip="Beier, 2021 #267"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&lt;EndNote&gt;&lt;Cite&gt;&lt;Author&gt;Beier&lt;/Author&gt;&lt;Year&gt;2021&lt;/Year&gt;&lt;RecNum&gt;267&lt;/RecNum&gt;&lt;DisplayText&gt;&lt;style face="superscript"&gt;18&lt;/style&gt;&lt;/DisplayText&gt;&lt;record&gt;&lt;rec-number&gt;267&lt;/rec-number&gt;&lt;foreign-keys&gt;&lt;key app="EN" db-id="vp9wwrtfldxaf5eefrnx2w052tptpvpzzrr2"&gt;267&lt;/key&gt;&lt;/foreign-keys&gt;&lt;ref-type name="Journal Article"&gt;17&lt;/ref-type&gt;&lt;contributors&gt;&lt;authors&gt;&lt;author&gt;Beier, Marcel P&lt;/author&gt;&lt;author&gt;Kojima, Soichi&lt;/author&gt;&lt;/authors&gt;&lt;/contributors&gt;&lt;titles&gt;&lt;title&gt;The function of high‐affinity urea transporters in nitrogen‐deficient conditions&lt;/title&gt;&lt;secondary-title&gt;Physiologia Plantarum&lt;/secondary-title&gt;&lt;/titles&gt;&lt;periodical&gt;&lt;full-title&gt;Physiologia Plantarum&lt;/full-title&gt;&lt;/periodical&gt;&lt;pages&gt;802-808&lt;/pages&gt;&lt;volume&gt;171&lt;/volume&gt;&lt;number&gt;4&lt;/number&gt;&lt;dates&gt;&lt;year&gt;2021&lt;/year&gt;&lt;/dates&gt;&lt;isbn&gt;0031-9317&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18</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In fact for morphological properties, Burley variety of tobacco showed the best performance in LL, LW, SH, LN, and yield.</w:t>
      </w:r>
    </w:p>
    <w:p w14:paraId="33A4EF7F" w14:textId="77777777" w:rsidR="00596AE2" w:rsidRPr="00D0415B" w:rsidRDefault="00596AE2" w:rsidP="00596AE2">
      <w:pPr>
        <w:pStyle w:val="Default"/>
        <w:spacing w:line="360" w:lineRule="auto"/>
        <w:jc w:val="both"/>
        <w:rPr>
          <w:b/>
          <w:bCs/>
        </w:rPr>
      </w:pPr>
      <w:r w:rsidRPr="00D0415B">
        <w:rPr>
          <w:rFonts w:asciiTheme="majorBidi" w:eastAsia="Calibri" w:hAnsiTheme="majorBidi" w:cstheme="majorBidi"/>
          <w:b/>
          <w:bCs/>
          <w:color w:val="auto"/>
          <w:sz w:val="20"/>
          <w:szCs w:val="20"/>
        </w:rPr>
        <w:t>Physiological analysis</w:t>
      </w:r>
    </w:p>
    <w:p w14:paraId="59849C66" w14:textId="39B29E7C" w:rsidR="00596AE2" w:rsidRPr="00D0415B" w:rsidRDefault="00596AE2" w:rsidP="00D5796F">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The greatest amount of chlorophyll b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b), total chlorophyll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T), and SPAD between years of cultivation were observed in Y2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4</w:t>
      </w:r>
      <w:r w:rsidRPr="00D0415B">
        <w:rPr>
          <w:rFonts w:asciiTheme="majorBidi" w:eastAsia="Calibri" w:hAnsiTheme="majorBidi" w:cstheme="majorBidi"/>
          <w:sz w:val="20"/>
          <w:szCs w:val="20"/>
        </w:rPr>
        <w:t xml:space="preserve">S B, C, E). The maximum value of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a,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b,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T, and Car (carotenoid) between tobacco verities were achieved in Burley with 5.65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5</w:t>
      </w:r>
      <w:r w:rsidRPr="00D0415B">
        <w:rPr>
          <w:rFonts w:asciiTheme="majorBidi" w:eastAsia="Calibri" w:hAnsiTheme="majorBidi" w:cstheme="majorBidi"/>
          <w:sz w:val="20"/>
          <w:szCs w:val="20"/>
        </w:rPr>
        <w:t>A), 1.94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5</w:t>
      </w:r>
      <w:r w:rsidRPr="00D0415B">
        <w:rPr>
          <w:rFonts w:asciiTheme="majorBidi" w:eastAsia="Calibri" w:hAnsiTheme="majorBidi" w:cstheme="majorBidi"/>
          <w:sz w:val="20"/>
          <w:szCs w:val="20"/>
        </w:rPr>
        <w:t>B), 6.9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5</w:t>
      </w:r>
      <w:r w:rsidRPr="00D0415B">
        <w:rPr>
          <w:rFonts w:asciiTheme="majorBidi" w:eastAsia="Calibri" w:hAnsiTheme="majorBidi" w:cstheme="majorBidi"/>
          <w:sz w:val="20"/>
          <w:szCs w:val="20"/>
        </w:rPr>
        <w:t>C), and 1.83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5</w:t>
      </w:r>
      <w:r w:rsidRPr="00D0415B">
        <w:rPr>
          <w:rFonts w:asciiTheme="majorBidi" w:eastAsia="Calibri" w:hAnsiTheme="majorBidi" w:cstheme="majorBidi"/>
          <w:sz w:val="20"/>
          <w:szCs w:val="20"/>
        </w:rPr>
        <w:t xml:space="preserve">D), respectively, while, Virginia showed the minimum value of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a,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b,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T, and Car. Also, the BT variety had a maximum amount of SPAD with 7.3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5</w:t>
      </w:r>
      <w:r w:rsidRPr="00D0415B">
        <w:rPr>
          <w:rFonts w:asciiTheme="majorBidi" w:eastAsia="Calibri" w:hAnsiTheme="majorBidi" w:cstheme="majorBidi"/>
          <w:sz w:val="20"/>
          <w:szCs w:val="20"/>
        </w:rPr>
        <w:t xml:space="preserve">E).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a and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b ranged from 3.05 to 5.77 and 0.95 to 2.1 while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T, Car and SPAD varied from 5.2 to 7.94, 1.25 to 2.0 and 0.95 to 2.1 between types of treatments sprayed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 xml:space="preserve">). The highest value of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a,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b,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T, and Car between types of treatments sprayed were observed in N1 with 5.77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A), 2.09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B), 7.94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C), and 2.0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 xml:space="preserve">D), respectively. The sample of N2 had the lowest amount of chlorophyll a and carotenoid with 3.05 and 1.25. Also, the minimum value of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b, </w:t>
      </w:r>
      <w:proofErr w:type="spellStart"/>
      <w:r w:rsidRPr="00D0415B">
        <w:rPr>
          <w:rFonts w:asciiTheme="majorBidi" w:eastAsia="Calibri" w:hAnsiTheme="majorBidi" w:cstheme="majorBidi"/>
          <w:sz w:val="20"/>
          <w:szCs w:val="20"/>
        </w:rPr>
        <w:t>Chl</w:t>
      </w:r>
      <w:proofErr w:type="spellEnd"/>
      <w:r w:rsidRPr="00D0415B">
        <w:rPr>
          <w:rFonts w:asciiTheme="majorBidi" w:eastAsia="Calibri" w:hAnsiTheme="majorBidi" w:cstheme="majorBidi"/>
          <w:sz w:val="20"/>
          <w:szCs w:val="20"/>
        </w:rPr>
        <w:t xml:space="preserve"> T, and SPAD were seen in As2, Ar2 (Arginine 2 mg/lit), and Con (control), respectively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 xml:space="preserve">). As a results of physiological responses of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cultivated in the field, the foliar application of N (Ammonium nitrate and Urea) significantly affected the chlorophyll a, b, T and carotenoid (</w:t>
      </w:r>
      <w:r w:rsidR="00140F9A" w:rsidRPr="00D0415B">
        <w:rPr>
          <w:rFonts w:asciiTheme="majorBidi" w:eastAsia="Calibri" w:hAnsiTheme="majorBidi" w:cstheme="majorBidi"/>
          <w:sz w:val="20"/>
          <w:szCs w:val="20"/>
        </w:rPr>
        <w:t xml:space="preserve">Figure </w:t>
      </w:r>
      <w:r w:rsidR="00747078"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 xml:space="preserve">). The increase in chlorophyll content may be attributed to the roles of N in the synthesis of proteins and enzymes and the uptake of minerals including magnesium, among others </w:t>
      </w:r>
      <w:hyperlink w:anchor="_ENREF_19" w:tooltip="Ali, 2022 #271"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&lt;EndNote&gt;&lt;Cite&gt;&lt;Author&gt;Ali&lt;/Author&gt;&lt;Year&gt;2022&lt;/Year&gt;&lt;RecNum&gt;271&lt;/RecNum&gt;&lt;DisplayText&gt;&lt;style face="superscript"&gt;19&lt;/style&gt;&lt;/DisplayText&gt;&lt;record&gt;&lt;rec-number&gt;271&lt;/rec-number&gt;&lt;foreign-keys&gt;&lt;key app="EN" db-id="vp9wwrtfldxaf5eefrnx2w052tptpvpzzrr2"&gt;271&lt;/key&gt;&lt;/foreign-keys&gt;&lt;ref-type name="Journal Article"&gt;17&lt;/ref-type&gt;&lt;contributors&gt;&lt;authors&gt;&lt;author&gt;Ali, Adam Yousif Adam&lt;/author&gt;&lt;author&gt;Ibrahim, Muhi Eldeen Hussien&lt;/author&gt;&lt;author&gt;Zhou, Guisheng&lt;/author&gt;&lt;author&gt;Zhu, Guanglong&lt;/author&gt;&lt;author&gt;Elsiddig, Aboagla Mohammed Ibrahim&lt;/author&gt;&lt;author&gt;Suliman, Mohamed Suliman Eltyed&lt;/author&gt;&lt;author&gt;Elradi, Safiya Babiker Mustafa&lt;/author&gt;&lt;author&gt;Salah, Ebtehal Gabralla Ibrahim&lt;/author&gt;&lt;/authors&gt;&lt;/contributors&gt;&lt;titles&gt;&lt;title&gt;Interactive impacts of soil salinity and jasmonic acid and humic acid on growth parameters, forage yield and photosynthesis parameters of sorghum plants&lt;/title&gt;&lt;secondary-title&gt;South African Journal of Botany&lt;/secondary-title&gt;&lt;/titles&gt;&lt;periodical&gt;&lt;full-title&gt;South African Journal of Botany&lt;/full-title&gt;&lt;/periodical&gt;&lt;pages&gt;293-303&lt;/pages&gt;&lt;volume&gt;146&lt;/volume&gt;&lt;dates&gt;&lt;year&gt;2022&lt;/year&gt;&lt;/dates&gt;&lt;isbn&gt;0254-6299&lt;/isbn&gt;&lt;urls&gt;&lt;/urls&gt;&lt;/record&gt;&lt;/Cite&gt;&lt;/EndNote&gt;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19</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In pervious study, spraying with N resulted in improved chlorophyll content and inhibited chlorophyll degradation </w:t>
      </w:r>
      <w:hyperlink w:anchor="_ENREF_20" w:tooltip="Zhang, 2021 #269"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&lt;EndNote&gt;&lt;Cite&gt;&lt;Author&gt;Zhang&lt;/Author&gt;&lt;Year&gt;2021&lt;/Year&gt;&lt;RecNum&gt;269&lt;/RecNum&gt;&lt;DisplayText&gt;&lt;style face="superscript"&gt;20&lt;/style&gt;&lt;/DisplayText&gt;&lt;record&gt;&lt;rec-number&gt;269&lt;/rec-number&gt;&lt;foreign-keys&gt;&lt;key app="EN" db-id="vp9wwrtfldxaf5eefrnx2w052tptpvpzzrr2"&gt;269&lt;/key&gt;&lt;/foreign-keys&gt;&lt;ref-type name="Journal Article"&gt;17&lt;/ref-type&gt;&lt;contributors&gt;&lt;authors&gt;&lt;author&gt;Zhang, Ruidong&lt;/author&gt;&lt;author&gt;Yue, Zhongxiao&lt;/author&gt;&lt;author&gt;Chen, Xiaofei&lt;/author&gt;&lt;author&gt;Wang, Yitao&lt;/author&gt;&lt;author&gt;Zhou, Yufei&lt;/author&gt;&lt;author&gt;Xu, Wenjuan&lt;/author&gt;&lt;author&gt;Huang, Ruidong&lt;/author&gt;&lt;/authors&gt;&lt;/contributors&gt;&lt;titles&gt;&lt;title&gt;Foliar applications of urea and melatonin to alleviate waterlogging stress on photosynthesis and antioxidant metabolism in sorghum seedlings&lt;/title&gt;&lt;secondary-title&gt;Plant Growth Regulation&lt;/secondary-title&gt;&lt;/titles&gt;&lt;periodical&gt;&lt;full-title&gt;Plant Growth Regulation&lt;/full-title&gt;&lt;/periodical&gt;&lt;pages&gt;1-10&lt;/pages&gt;&lt;dates&gt;&lt;year&gt;2021&lt;/year&gt;&lt;/dates&gt;&lt;isbn&gt;0167-6903&lt;/isbn&gt;&lt;urls&gt;&lt;/urls&gt;&lt;/record&gt;&lt;/Cite&gt;&lt;/EndNote&gt;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20</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Increases in N availability have has been shown to correspond with increased leaf chlorophyll content </w:t>
      </w:r>
      <w:hyperlink w:anchor="_ENREF_15" w:tooltip="Li, 2012 #258"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&lt;EndNote&gt;&lt;Cite&gt;&lt;Author&gt;Li&lt;/Author&gt;&lt;Year&gt;2012&lt;/Year&gt;&lt;RecNum&gt;258&lt;/RecNum&gt;&lt;DisplayText&gt;&lt;style face="superscript"&gt;15&lt;/style&gt;&lt;/DisplayText&gt;&lt;record&gt;&lt;rec-number&gt;258&lt;/rec-number&gt;&lt;foreign-keys&gt;&lt;key app="EN" db-id="vp9wwrtfldxaf5eefrnx2w052tptpvpzzrr2"&gt;258&lt;/key&gt;&lt;/foreign-keys&gt;&lt;ref-type name="Journal Article"&gt;17&lt;/ref-type&gt;&lt;contributors&gt;&lt;authors&gt;&lt;author&gt;Li, Yong&lt;/author&gt;&lt;author&gt;Yang, Xiuxia&lt;/author&gt;&lt;author&gt;Ren, Binbin&lt;/author&gt;&lt;author&gt;Shen, Qirong&lt;/author&gt;&lt;author&gt;Guo, Shiwei&lt;/author&gt;&lt;/authors&gt;&lt;/contributors&gt;&lt;titles&gt;&lt;title&gt;Why nitrogen use efficiency decreases under high nitrogen supply in rice (Oryza sativa L.) seedlings&lt;/title&gt;&lt;secondary-title&gt;Journal of Plant Growth Regulation&lt;/secondary-title&gt;&lt;/titles&gt;&lt;periodical&gt;&lt;full-title&gt;Journal of Plant Growth Regulation&lt;/full-title&gt;&lt;/periodical&gt;&lt;pages&gt;47-52&lt;/pages&gt;&lt;volume&gt;31&lt;/volume&gt;&lt;dates&gt;&lt;year&gt;2012&lt;/year&gt;&lt;/dates&gt;&lt;isbn&gt;0721-7595&lt;/isbn&gt;&lt;urls&gt;&lt;/urls&gt;&lt;/record&gt;&lt;/Cite&gt;&lt;/EndNote&gt;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15</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Nitrogen is a component of several metabolic compounds as well as chlorophyll, cell walls, enzymes, hormones, nucleic acids, proteins and vitamins. In fact, exogenous foliar spraying of N enhanced the chlorophyll content and improved the maximal quantum yield of photosystem II photochemistry (Zhang et al., 2019). In Chlorophyll content of leaves (SPAD values), the maximum amount was showed in Ar1 and Ar2 (Fig </w:t>
      </w:r>
      <w:r w:rsidR="00D5796F" w:rsidRPr="00D0415B">
        <w:rPr>
          <w:rFonts w:asciiTheme="majorBidi" w:eastAsia="Calibri" w:hAnsiTheme="majorBidi" w:cstheme="majorBidi"/>
          <w:sz w:val="20"/>
          <w:szCs w:val="20"/>
        </w:rPr>
        <w:t>6</w:t>
      </w:r>
      <w:r w:rsidRPr="00D0415B">
        <w:rPr>
          <w:rFonts w:asciiTheme="majorBidi" w:eastAsia="Calibri" w:hAnsiTheme="majorBidi" w:cstheme="majorBidi"/>
          <w:sz w:val="20"/>
          <w:szCs w:val="20"/>
        </w:rPr>
        <w:t xml:space="preserve">E). In a study of tomato, arginine significantly increased the mean of total chlorophyll concentration. This can be attributed to the fact that arginine is an important nitrogen source for the formation of chlorophyll </w:t>
      </w:r>
      <w:hyperlink w:anchor="_ENREF_21" w:tooltip="Hamid, 2019 #273"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&lt;EndNote&gt;&lt;Cite&gt;&lt;Author&gt;Hamid&lt;/Author&gt;&lt;Year&gt;2019&lt;/Year&gt;&lt;RecNum&gt;273&lt;/RecNum&gt;&lt;DisplayText&gt;&lt;style face="superscript"&gt;21&lt;/style&gt;&lt;/DisplayText&gt;&lt;record&gt;&lt;rec-number&gt;273&lt;/rec-number&gt;&lt;foreign-keys&gt;&lt;key app="EN" db-id="vp9wwrtfldxaf5eefrnx2w052tptpvpzzrr2"&gt;273&lt;/key&gt;&lt;/foreign-keys&gt;&lt;ref-type name="Journal Article"&gt;17&lt;/ref-type&gt;&lt;contributors&gt;&lt;authors&gt;&lt;author&gt;Hamid, Zakaria Hassan&lt;/author&gt;&lt;author&gt;Amer, M&lt;/author&gt;&lt;author&gt;Wahab, A&lt;/author&gt;&lt;/authors&gt;&lt;/contributors&gt;&lt;titles&gt;&lt;title&gt;Effect of arginine on growth and yield of tomato plant (Lycopersicon esculentum) under drought stress&lt;/title&gt;&lt;secondary-title&gt;Plant Arch&lt;/secondary-title&gt;&lt;/titles&gt;&lt;periodical&gt;&lt;full-title&gt;Plant Arch&lt;/full-title&gt;&lt;/periodical&gt;&lt;pages&gt;4441-4444&lt;/pages&gt;&lt;volume&gt;19&lt;/volume&gt;&lt;dates&gt;&lt;year&gt;2019&lt;/year&gt;&lt;/dates&gt;&lt;urls&gt;&lt;/urls&gt;&lt;/record&gt;&lt;/Cite&gt;&lt;/EndNote&gt;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21</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Observations in this study revealed that the application of foliar N can increase the chlorophyll content in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leaves.</w:t>
      </w:r>
    </w:p>
    <w:p w14:paraId="4F70D6E9" w14:textId="77777777" w:rsidR="00596AE2" w:rsidRPr="00D0415B" w:rsidRDefault="00596AE2" w:rsidP="00596AE2">
      <w:pPr>
        <w:pStyle w:val="Default"/>
        <w:spacing w:line="360" w:lineRule="auto"/>
        <w:jc w:val="both"/>
        <w:rPr>
          <w:rFonts w:asciiTheme="majorBidi" w:eastAsia="Calibri" w:hAnsiTheme="majorBidi" w:cstheme="majorBidi"/>
          <w:b/>
          <w:bCs/>
          <w:color w:val="auto"/>
          <w:sz w:val="20"/>
          <w:szCs w:val="20"/>
        </w:rPr>
      </w:pPr>
      <w:r w:rsidRPr="00D0415B">
        <w:rPr>
          <w:rFonts w:asciiTheme="majorBidi" w:eastAsia="Calibri" w:hAnsiTheme="majorBidi" w:cstheme="majorBidi"/>
          <w:b/>
          <w:bCs/>
          <w:color w:val="auto"/>
          <w:sz w:val="20"/>
          <w:szCs w:val="20"/>
        </w:rPr>
        <w:t>EOs content</w:t>
      </w:r>
    </w:p>
    <w:p w14:paraId="36F18B07" w14:textId="04616199" w:rsidR="00596AE2" w:rsidRPr="00D0415B" w:rsidRDefault="00596AE2" w:rsidP="009A06C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EOs content in plant samples was significantly influenced by both the plant variety and the applied foliar treatments. </w:t>
      </w:r>
      <w:proofErr w:type="spellStart"/>
      <w:r w:rsidRPr="00D0415B">
        <w:rPr>
          <w:rFonts w:asciiTheme="majorBidi" w:eastAsia="Calibri" w:hAnsiTheme="majorBidi" w:cstheme="majorBidi"/>
          <w:sz w:val="20"/>
          <w:szCs w:val="20"/>
        </w:rPr>
        <w:t>Hydrodistillation</w:t>
      </w:r>
      <w:proofErr w:type="spellEnd"/>
      <w:r w:rsidRPr="00D0415B">
        <w:rPr>
          <w:rFonts w:asciiTheme="majorBidi" w:eastAsia="Calibri" w:hAnsiTheme="majorBidi" w:cstheme="majorBidi"/>
          <w:sz w:val="20"/>
          <w:szCs w:val="20"/>
        </w:rPr>
        <w:t xml:space="preserve"> of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leaves yielded essential oil in the range of 0.1–0.2% (w/w, based on dry weight) for the Burley variety, 0.2–0.28% for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0.11–0.2% for BT, and 0.1–0.16% for Virginia </w:t>
      </w:r>
      <w:r w:rsidR="005F1429"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w:t>
      </w:r>
      <w:r w:rsidR="009A06C6" w:rsidRPr="00D0415B">
        <w:rPr>
          <w:rFonts w:asciiTheme="majorBidi" w:eastAsia="Calibri" w:hAnsiTheme="majorBidi" w:cstheme="majorBidi"/>
          <w:sz w:val="20"/>
          <w:szCs w:val="20"/>
        </w:rPr>
        <w:t>7</w:t>
      </w:r>
      <w:r w:rsidRPr="00D0415B">
        <w:rPr>
          <w:rFonts w:asciiTheme="majorBidi" w:eastAsia="Calibri" w:hAnsiTheme="majorBidi" w:cstheme="majorBidi"/>
          <w:sz w:val="20"/>
          <w:szCs w:val="20"/>
        </w:rPr>
        <w:t xml:space="preserve">A-H. </w:t>
      </w:r>
    </w:p>
    <w:p w14:paraId="6B6F51F9" w14:textId="7BE42F89" w:rsidR="00596AE2" w:rsidRPr="00D0415B" w:rsidRDefault="00596AE2"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essential oil yield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was approximately 50–70% higher than that of the Burley, BT, and Virginia varieties. In all three tobacco varieties, the highest essential oil content was generally observed in the amino acid foliar treatments compared to nitrogen treatments. Furthermore, in both years of tobacco cultivation, the EOs content under nitrogen foliar treatments was lower than in the control treatment.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this reduction reached up to approximately 25% in some cases. A comparison of EOs across samples from the two cultivation years showed that the overall yield was lower in the second year compared to the first, although the trend remained relatively consistent. There are several studies on the essential oils of tobacco varieties. For instance, </w:t>
      </w:r>
      <w:hyperlink w:anchor="_ENREF_22" w:tooltip="Palic, 2002 #1684"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AuthorYear="1"&gt;&lt;Author&gt;Palic&lt;/Author&gt;&lt;Year&gt;2002&lt;/Year&gt;&lt;RecNum&gt;1684&lt;/RecNum&gt;&lt;DisplayText&gt;Palic, et al. &lt;style face="superscript"&gt;22&lt;/style&gt;&lt;/DisplayText&gt;&lt;record&gt;&lt;rec-number&gt;1684&lt;/rec-number&gt;&lt;foreign-keys&gt;&lt;key app="EN" db-id="vp9wwrtfldxaf5eefrnx2w052tptpvpzzrr2"&gt;1684&lt;/key&gt;&lt;/foreign-keys&gt;&lt;ref-type name="Journal Article"&gt;17&lt;/ref-type&gt;&lt;contributors&gt;&lt;authors&gt;&lt;author&gt;Palic, Radosav&lt;/author&gt;&lt;author&gt;Stojanovic, Gordana&lt;/author&gt;&lt;author&gt;Alagic, Sladjana&lt;/author&gt;&lt;author&gt;Nikolic, Mira&lt;/author&gt;&lt;author&gt;Lepojevic, Zika&lt;/author&gt;&lt;/authors&gt;&lt;/contributors&gt;&lt;titles&gt;&lt;title&gt;Chemical composition and antimicrobial activity of the essential oil and CO2 extracts of the oriental tobacco, Prilep&lt;/title&gt;&lt;secondary-title&gt;Flavour and fragrance Journal&lt;/secondary-title&gt;&lt;/titles&gt;&lt;periodical&gt;&lt;full-title&gt;Flavour and fragrance Journal&lt;/full-title&gt;&lt;/periodical&gt;&lt;pages&gt;323-326&lt;/pages&gt;&lt;volume&gt;17&lt;/volume&gt;&lt;number&gt;5&lt;/number&gt;&lt;dates&gt;&lt;year&gt;2002&lt;/year&gt;&lt;/dates&gt;&lt;isbn&gt;0882-5734&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Palic, et al. </w:t>
        </w:r>
        <w:r w:rsidRPr="00D0415B">
          <w:rPr>
            <w:rFonts w:asciiTheme="majorBidi" w:eastAsia="Calibri" w:hAnsiTheme="majorBidi" w:cstheme="majorBidi"/>
            <w:noProof/>
            <w:sz w:val="20"/>
            <w:szCs w:val="20"/>
            <w:vertAlign w:val="superscript"/>
          </w:rPr>
          <w:t>22</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reported that the EO content of tobacco leaves ranged from 0.06% to 0.8% (w/w). The increase in essential oil production following amino acid treatments suggests that these treatments may have induced a stress response in the tobacco plants </w:t>
      </w:r>
      <w:hyperlink w:anchor="_ENREF_23" w:tooltip="Fung, 2021 #1685"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&lt;EndNote&gt;&lt;Cite&gt;&lt;Author&gt;Fung&lt;/Author&gt;&lt;Year&gt;2021&lt;/Year&gt;&lt;RecNum&gt;1685&lt;/RecNum&gt;&lt;DisplayText&gt;&lt;style face="superscript"&gt;23&lt;/style&gt;&lt;/DisplayText&gt;&lt;record&gt;&lt;rec-number&gt;1685&lt;/rec-number&gt;&lt;foreign-keys&gt;&lt;key app="EN" db-id="vp9wwrtfldxaf5eefrnx2w052tptpvpzzrr2"&gt;1685&lt;/key&gt;&lt;/foreign-keys&gt;&lt;ref-type name="Journal Article"&gt;17&lt;/ref-type&gt;&lt;contributors&gt;&lt;authors&gt;&lt;author&gt;Fung, Timothy KH&lt;/author&gt;&lt;author&gt;Lau, Benson WM&lt;/author&gt;&lt;author&gt;Ngai, Shirley PC&lt;/author&gt;&lt;author&gt;Tsang, Hector WH&lt;/author&gt;&lt;/authors&gt;&lt;/contributors&gt;&lt;titles&gt;&lt;title&gt;Therapeutic effect and mechanisms of essential oils in mood disorders: Interaction between the nervous and respiratory systems&lt;/title&gt;&lt;secondary-title&gt;International Journal of Molecular Sciences&lt;/secondary-title&gt;&lt;/titles&gt;&lt;periodical&gt;&lt;full-title&gt;International journal of molecular sciences&lt;/full-title&gt;&lt;/periodical&gt;&lt;pages&gt;4844&lt;/pages&gt;&lt;volume&gt;22&lt;/volume&gt;&lt;number&gt;9&lt;/number&gt;&lt;dates&gt;&lt;year&gt;2021&lt;/year&gt;&lt;/dates&gt;&lt;isbn&gt;1422-0067&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23</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Previous studies also support the positive effects of amino acids on the content of essential oils in various plant species </w:t>
      </w:r>
      <w:r w:rsidRPr="00D0415B">
        <w:rPr>
          <w:rFonts w:asciiTheme="majorBidi" w:eastAsia="Calibri" w:hAnsiTheme="majorBidi" w:cstheme="majorBidi"/>
          <w:sz w:val="20"/>
          <w:szCs w:val="20"/>
        </w:rPr>
        <w:lastRenderedPageBreak/>
        <w:t xml:space="preserve">such as </w:t>
      </w:r>
      <w:proofErr w:type="spellStart"/>
      <w:r w:rsidRPr="00D0415B">
        <w:rPr>
          <w:rFonts w:asciiTheme="majorBidi" w:eastAsia="Calibri" w:hAnsiTheme="majorBidi" w:cstheme="majorBidi"/>
          <w:i/>
          <w:iCs/>
          <w:sz w:val="20"/>
          <w:szCs w:val="20"/>
        </w:rPr>
        <w:t>Petroselinum</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crispum</w:t>
      </w:r>
      <w:proofErr w:type="spellEnd"/>
      <w:r w:rsidRPr="00D0415B">
        <w:rPr>
          <w:rFonts w:asciiTheme="majorBidi" w:eastAsia="Calibri" w:hAnsiTheme="majorBidi" w:cstheme="majorBidi"/>
          <w:sz w:val="20"/>
          <w:szCs w:val="20"/>
        </w:rPr>
        <w:t xml:space="preserve">, </w:t>
      </w:r>
      <w:r w:rsidRPr="00D0415B">
        <w:rPr>
          <w:rFonts w:asciiTheme="majorBidi" w:eastAsia="Calibri" w:hAnsiTheme="majorBidi" w:cstheme="majorBidi"/>
          <w:i/>
          <w:iCs/>
          <w:sz w:val="20"/>
          <w:szCs w:val="20"/>
        </w:rPr>
        <w:t>Nigella sativa</w:t>
      </w:r>
      <w:r w:rsidRPr="00D0415B">
        <w:rPr>
          <w:rFonts w:asciiTheme="majorBidi" w:eastAsia="Calibri" w:hAnsiTheme="majorBidi" w:cstheme="majorBidi"/>
          <w:sz w:val="20"/>
          <w:szCs w:val="20"/>
        </w:rPr>
        <w:t xml:space="preserve"> and </w:t>
      </w:r>
      <w:proofErr w:type="spellStart"/>
      <w:r w:rsidRPr="00D0415B">
        <w:rPr>
          <w:rFonts w:asciiTheme="majorBidi" w:eastAsia="Calibri" w:hAnsiTheme="majorBidi" w:cstheme="majorBidi"/>
          <w:i/>
          <w:iCs/>
          <w:sz w:val="20"/>
          <w:szCs w:val="20"/>
        </w:rPr>
        <w:t>Satureja</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hortensis</w:t>
      </w:r>
      <w:proofErr w:type="spellEnd"/>
      <w:r w:rsidRPr="00D0415B">
        <w:rPr>
          <w:rFonts w:asciiTheme="majorBidi" w:eastAsia="Calibri" w:hAnsiTheme="majorBidi" w:cstheme="majorBidi"/>
          <w:sz w:val="20"/>
          <w:szCs w:val="20"/>
        </w:rPr>
        <w:t xml:space="preserve"> </w:t>
      </w:r>
      <w:hyperlink w:anchor="_ENREF_24" w:tooltip="EL-Zefzafy, 2016 #1686"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&lt;EndNote&gt;&lt;Cite&gt;&lt;Author&gt;EL-Zefzafy&lt;/Author&gt;&lt;Year&gt;2016&lt;/Year&gt;&lt;RecNum&gt;1686&lt;/RecNum&gt;&lt;DisplayText&gt;&lt;style face="superscript"&gt;24&lt;/style&gt;&lt;/DisplayText&gt;&lt;record&gt;&lt;rec-number&gt;1686&lt;/rec-number&gt;&lt;foreign-keys&gt;&lt;key app="EN" db-id="vp9wwrtfldxaf5eefrnx2w052tptpvpzzrr2"&gt;1686&lt;/key&gt;&lt;/foreign-keys&gt;&lt;ref-type name="Journal Article"&gt;17&lt;/ref-type&gt;&lt;contributors&gt;&lt;authors&gt;&lt;author&gt;EL-Zefzafy, Mohammad M&lt;/author&gt;&lt;author&gt;Shahhat, Ismail MA&lt;/author&gt;&lt;author&gt;Yousef, Rania S&lt;/author&gt;&lt;author&gt;Elsharkawy, Eman R&lt;/author&gt;&lt;/authors&gt;&lt;/contributors&gt;&lt;titles&gt;&lt;title&gt;Influence of foliar application with amino acids and citric acid on physiological and phytochemical responses of Artemisia abrotanum produced by in vitro culture&lt;/title&gt;&lt;secondary-title&gt;Bioscience Biotechnology Research Communications&lt;/secondary-title&gt;&lt;/titles&gt;&lt;periodical&gt;&lt;full-title&gt;Bioscience Biotechnology Research Communications&lt;/full-title&gt;&lt;/periodical&gt;&lt;pages&gt;702-711&lt;/pages&gt;&lt;volume&gt;9&lt;/volume&gt;&lt;number&gt;4&lt;/number&gt;&lt;dates&gt;&lt;year&gt;2016&lt;/year&gt;&lt;/dates&gt;&lt;urls&gt;&lt;/urls&gt;&lt;/record&gt;&lt;/Cite&gt;&lt;/EndNote&gt;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24</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Consistent with our findings, </w:t>
      </w:r>
      <w:hyperlink w:anchor="_ENREF_25" w:tooltip="Jahanbani, 2024 #1687"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&lt;EndNote&gt;&lt;Cite&gt;&lt;Author&gt;Jahanbani&lt;/Author&gt;&lt;Year&gt;2024&lt;/Year&gt;&lt;RecNum&gt;1687&lt;/RecNum&gt;&lt;DisplayText&gt;&lt;style face="superscript"&gt;25&lt;/style&gt;&lt;/DisplayText&gt;&lt;record&gt;&lt;rec-number&gt;1687&lt;/rec-number&gt;&lt;foreign-keys&gt;&lt;key app="EN" db-id="vp9wwrtfldxaf5eefrnx2w052tptpvpzzrr2"&gt;1687&lt;/key&gt;&lt;/foreign-keys&gt;&lt;ref-type name="Journal Article"&gt;17&lt;/ref-type&gt;&lt;contributors&gt;&lt;authors&gt;&lt;author&gt;Jahanbani, Saeedeh&lt;/author&gt;&lt;author&gt;Mumivand, Hasan&lt;/author&gt;&lt;author&gt;Zahedi, Bahman&lt;/author&gt;&lt;author&gt;Argento, Sergio&lt;/author&gt;&lt;/authors&gt;&lt;/contributors&gt;&lt;titles&gt;&lt;title&gt;Foliar Application of Urea and Amino Acids Regulates Growth, Photosynthesis, Pigments, Antioxidant Activity, and the Essential Oil Content and Composition of Basil (Ocimum basilicum L.)&lt;/title&gt;&lt;secondary-title&gt;Agronomy&lt;/secondary-title&gt;&lt;/titles&gt;&lt;periodical&gt;&lt;full-title&gt;Agronomy&lt;/full-title&gt;&lt;/periodical&gt;&lt;pages&gt;2950&lt;/pages&gt;&lt;volume&gt;14&lt;/volume&gt;&lt;number&gt;12&lt;/number&gt;&lt;dates&gt;&lt;year&gt;2024&lt;/year&gt;&lt;/dates&gt;&lt;isbn&gt;2073-4395&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25</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revealed that foliar application of urea had no significant effect on EOs content in </w:t>
      </w:r>
      <w:proofErr w:type="spellStart"/>
      <w:r w:rsidRPr="00D0415B">
        <w:rPr>
          <w:rFonts w:asciiTheme="majorBidi" w:eastAsia="Calibri" w:hAnsiTheme="majorBidi" w:cstheme="majorBidi"/>
          <w:i/>
          <w:iCs/>
          <w:sz w:val="20"/>
          <w:szCs w:val="20"/>
        </w:rPr>
        <w:t>Ocimum</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basilicum</w:t>
      </w:r>
      <w:proofErr w:type="spellEnd"/>
      <w:r w:rsidRPr="00D0415B">
        <w:rPr>
          <w:rFonts w:asciiTheme="majorBidi" w:eastAsia="Calibri" w:hAnsiTheme="majorBidi" w:cstheme="majorBidi"/>
          <w:sz w:val="20"/>
          <w:szCs w:val="20"/>
        </w:rPr>
        <w:t xml:space="preserve"> L., whereas amino acid application led to a substantial increase in essential oil production. Similarly, </w:t>
      </w:r>
      <w:hyperlink w:anchor="_ENREF_26" w:tooltip="Tarraf, 2015 #1507"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AuthorYear="1"&gt;&lt;Author&gt;Tarraf&lt;/Author&gt;&lt;Year&gt;2015&lt;/Year&gt;&lt;RecNum&gt;1507&lt;/RecNum&gt;&lt;DisplayText&gt;Tarraf, et al. &lt;style face="superscript"&gt;26&lt;/style&gt;&lt;/DisplayText&gt;&lt;record&gt;&lt;rec-number&gt;1507&lt;/rec-number&gt;&lt;foreign-keys&gt;&lt;key app="EN" db-id="vp9wwrtfldxaf5eefrnx2w052tptpvpzzrr2"&gt;1507&lt;/key&gt;&lt;/foreign-keys&gt;&lt;ref-type name="Journal Article"&gt;17&lt;/ref-type&gt;&lt;contributors&gt;&lt;authors&gt;&lt;author&gt;Tarraf, Shahira A&lt;/author&gt;&lt;author&gt;Talaat, Iman M&lt;/author&gt;&lt;author&gt;El-Sayed, Abo El-Khair B&lt;/author&gt;&lt;author&gt;Balbaa, Laila K&lt;/author&gt;&lt;/authors&gt;&lt;/contributors&gt;&lt;titles&gt;&lt;title&gt;Influence of foliar application of algae extract and amino acids mixture on fenugreek plants in sandy and clay soils&lt;/title&gt;&lt;secondary-title&gt;Nusantara Bioscience&lt;/secondary-title&gt;&lt;/titles&gt;&lt;periodical&gt;&lt;full-title&gt;Nusantara Bioscience&lt;/full-title&gt;&lt;/periodical&gt;&lt;volume&gt;7&lt;/volume&gt;&lt;number&gt;1&lt;/number&gt;&lt;dates&gt;&lt;year&gt;2015&lt;/year&gt;&lt;/dates&gt;&lt;isbn&gt;2087-3956&lt;/isbn&gt;&lt;urls&gt;&lt;/urls&gt;&lt;/record&gt;&lt;/Cite&gt;&lt;/EndNote&gt;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Tarraf, et al. </w:t>
        </w:r>
        <w:r w:rsidRPr="00D0415B">
          <w:rPr>
            <w:rFonts w:asciiTheme="majorBidi" w:eastAsia="Calibri" w:hAnsiTheme="majorBidi" w:cstheme="majorBidi"/>
            <w:noProof/>
            <w:sz w:val="20"/>
            <w:szCs w:val="20"/>
            <w:vertAlign w:val="superscript"/>
          </w:rPr>
          <w:t>26</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reported that foliar application of 1.25 g/L amino acids mixture in fenugreek led to an increase in essential oil production. In contrast to our findings, </w:t>
      </w:r>
      <w:hyperlink w:anchor="_ENREF_27" w:tooltip="Abd El-Aal, 2018 #1509"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AuthorYear="1"&gt;&lt;Author&gt;Abd El-Aal&lt;/Author&gt;&lt;Year&gt;2018&lt;/Year&gt;&lt;RecNum&gt;1509&lt;/RecNum&gt;&lt;DisplayText&gt;Abd El-Aal &lt;style face="superscript"&gt;27&lt;/style&gt;&lt;/DisplayText&gt;&lt;record&gt;&lt;rec-number&gt;1509&lt;/rec-number&gt;&lt;foreign-keys&gt;&lt;key app="EN" db-id="vp9wwrtfldxaf5eefrnx2w052tptpvpzzrr2"&gt;1509&lt;/key&gt;&lt;/foreign-keys&gt;&lt;ref-type name="Journal Article"&gt;17&lt;/ref-type&gt;&lt;contributors&gt;&lt;authors&gt;&lt;author&gt;Abd El-Aal, MMM&lt;/author&gt;&lt;/authors&gt;&lt;/contributors&gt;&lt;titles&gt;&lt;title&gt;Effect of foliar spray with lithovit and amino acids on growth, bioconstituents, anatomical and yield features of soybean plant&lt;/title&gt;&lt;secondary-title&gt;Annals of Agricultural Science, Moshtohor&lt;/secondary-title&gt;&lt;/titles&gt;&lt;periodical&gt;&lt;full-title&gt;Annals of Agricultural Science, Moshtohor&lt;/full-title&gt;&lt;/periodical&gt;&lt;pages&gt;187-202&lt;/pages&gt;&lt;volume&gt;56&lt;/volume&gt;&lt;number&gt;4th ICBAA&lt;/number&gt;&lt;dates&gt;&lt;year&gt;2018&lt;/year&gt;&lt;/dates&gt;&lt;isbn&gt;1110-0419&lt;/isbn&gt;&lt;urls&gt;&lt;/urls&gt;&lt;/record&gt;&lt;/Cite&gt;&lt;/EndNote&gt;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Abd El-Aal </w:t>
        </w:r>
        <w:r w:rsidRPr="00D0415B">
          <w:rPr>
            <w:rFonts w:asciiTheme="majorBidi" w:eastAsia="Calibri" w:hAnsiTheme="majorBidi" w:cstheme="majorBidi"/>
            <w:noProof/>
            <w:sz w:val="20"/>
            <w:szCs w:val="20"/>
            <w:vertAlign w:val="superscript"/>
          </w:rPr>
          <w:t>27</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reported that foliar application of amino acids in soybean enhanced oil and fatty acid content, with a more pronounced effect in the second growing season, suggesting a possible influence of environmental or temporal factors. However, in our study, the EO content in the control treatment also showed a slight decrease in the second year compared to the first year. Given these findings, foliar application of amino acids can be recommended as an effective alternative to conventional soil fertilization, potentially reducing nitrogen leaching </w:t>
      </w:r>
      <w:hyperlink w:anchor="_ENREF_25" w:tooltip="Jahanbani, 2024 #1687"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&lt;EndNote&gt;&lt;Cite&gt;&lt;Author&gt;Jahanbani&lt;/Author&gt;&lt;Year&gt;2024&lt;/Year&gt;&lt;RecNum&gt;1687&lt;/RecNum&gt;&lt;DisplayText&gt;&lt;style face="superscript"&gt;25&lt;/style&gt;&lt;/DisplayText&gt;&lt;record&gt;&lt;rec-number&gt;1687&lt;/rec-number&gt;&lt;foreign-keys&gt;&lt;key app="EN" db-id="vp9wwrtfldxaf5eefrnx2w052tptpvpzzrr2"&gt;1687&lt;/key&gt;&lt;/foreign-keys&gt;&lt;ref-type name="Journal Article"&gt;17&lt;/ref-type&gt;&lt;contributors&gt;&lt;authors&gt;&lt;author&gt;Jahanbani, Saeedeh&lt;/author&gt;&lt;author&gt;Mumivand, Hasan&lt;/author&gt;&lt;author&gt;Zahedi, Bahman&lt;/author&gt;&lt;author&gt;Argento, Sergio&lt;/author&gt;&lt;/authors&gt;&lt;/contributors&gt;&lt;titles&gt;&lt;title&gt;Foliar Application of Urea and Amino Acids Regulates Growth, Photosynthesis, Pigments, Antioxidant Activity, and the Essential Oil Content and Composition of Basil (Ocimum basilicum L.)&lt;/title&gt;&lt;secondary-title&gt;Agronomy&lt;/secondary-title&gt;&lt;/titles&gt;&lt;periodical&gt;&lt;full-title&gt;Agronomy&lt;/full-title&gt;&lt;/periodical&gt;&lt;pages&gt;2950&lt;/pages&gt;&lt;volume&gt;14&lt;/volume&gt;&lt;number&gt;12&lt;/number&gt;&lt;dates&gt;&lt;year&gt;2024&lt;/year&gt;&lt;/dates&gt;&lt;isbn&gt;2073-4395&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25</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If the primary goal is to enhance essential oil production, amino acid spraying has shown significantly better results in tobacco compared to nitrogen-based fertilizers. This enhanced effect may be related to the involvement of amino acids in the biosynthetic pathways of secondary metabolites, contributing more directly to essential oil synthesis in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w:t>
      </w:r>
      <w:hyperlink w:anchor="_ENREF_28" w:tooltip="Begum, 2021 #1688"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&lt;EndNote&gt;&lt;Cite&gt;&lt;Author&gt;Begum&lt;/Author&gt;&lt;Year&gt;2021&lt;/Year&gt;&lt;RecNum&gt;1688&lt;/RecNum&gt;&lt;DisplayText&gt;&lt;style face="superscript"&gt;28&lt;/style&gt;&lt;/DisplayText&gt;&lt;record&gt;&lt;rec-number&gt;1688&lt;/rec-number&gt;&lt;foreign-keys&gt;&lt;key app="EN" db-id="vp9wwrtfldxaf5eefrnx2w052tptpvpzzrr2"&gt;1688&lt;/key&gt;&lt;/foreign-keys&gt;&lt;ref-type name="Journal Article"&gt;17&lt;/ref-type&gt;&lt;contributors&gt;&lt;authors&gt;&lt;author&gt;Begum, Naheeda&lt;/author&gt;&lt;author&gt;Akhtar, Kashif&lt;/author&gt;&lt;author&gt;Ahanger, Muhammad Abass&lt;/author&gt;&lt;author&gt;Iqbal, Mudassar&lt;/author&gt;&lt;author&gt;Wang, Pingping&lt;/author&gt;&lt;author&gt;Mustafa, Nabil S&lt;/author&gt;&lt;author&gt;Zhang, Lixin&lt;/author&gt;&lt;/authors&gt;&lt;/contributors&gt;&lt;titles&gt;&lt;title&gt;Arbuscular mycorrhizal fungi improve growth, essential oil, secondary metabolism, and yield of tobacco (Nicotiana tabacum L.) under drought stress conditions&lt;/title&gt;&lt;secondary-title&gt;Environmental Science and Pollution Research&lt;/secondary-title&gt;&lt;/titles&gt;&lt;periodical&gt;&lt;full-title&gt;Environmental Science and Pollution Research&lt;/full-title&gt;&lt;/periodical&gt;&lt;pages&gt;45276-45295&lt;/pages&gt;&lt;volume&gt;28&lt;/volume&gt;&lt;number&gt;33&lt;/number&gt;&lt;dates&gt;&lt;year&gt;2021&lt;/year&gt;&lt;/dates&gt;&lt;isbn&gt;0944-1344&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28</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w:t>
      </w:r>
    </w:p>
    <w:p w14:paraId="28A8B3C5" w14:textId="77777777" w:rsidR="00596AE2" w:rsidRPr="00D0415B" w:rsidRDefault="00596AE2" w:rsidP="00596AE2">
      <w:pPr>
        <w:pStyle w:val="Default"/>
        <w:spacing w:line="360" w:lineRule="auto"/>
        <w:jc w:val="both"/>
        <w:rPr>
          <w:rFonts w:cstheme="minorBidi"/>
          <w:color w:val="000000" w:themeColor="text1"/>
          <w:szCs w:val="22"/>
        </w:rPr>
        <w:sectPr w:rsidR="00596AE2" w:rsidRPr="00D0415B" w:rsidSect="00596AE2">
          <w:footerReference w:type="default" r:id="rId11"/>
          <w:type w:val="continuous"/>
          <w:pgSz w:w="12240" w:h="15840"/>
          <w:pgMar w:top="1440" w:right="1440" w:bottom="1440" w:left="1440" w:header="720" w:footer="720" w:gutter="0"/>
          <w:lnNumType w:countBy="1" w:restart="continuous"/>
          <w:cols w:space="360"/>
          <w:docGrid w:linePitch="360"/>
        </w:sectPr>
      </w:pPr>
    </w:p>
    <w:p w14:paraId="6B055F36" w14:textId="77777777" w:rsidR="00596AE2" w:rsidRPr="00D0415B" w:rsidRDefault="00596AE2" w:rsidP="00596AE2">
      <w:pPr>
        <w:pStyle w:val="Default"/>
        <w:spacing w:line="360" w:lineRule="auto"/>
        <w:jc w:val="both"/>
        <w:rPr>
          <w:rFonts w:asciiTheme="majorBidi" w:eastAsia="Calibri" w:hAnsiTheme="majorBidi" w:cstheme="majorBidi"/>
          <w:b/>
          <w:bCs/>
          <w:color w:val="auto"/>
          <w:sz w:val="20"/>
          <w:szCs w:val="20"/>
        </w:rPr>
      </w:pPr>
      <w:r w:rsidRPr="00D0415B">
        <w:rPr>
          <w:rFonts w:asciiTheme="majorBidi" w:eastAsia="Calibri" w:hAnsiTheme="majorBidi" w:cstheme="majorBidi"/>
          <w:b/>
          <w:bCs/>
          <w:color w:val="auto"/>
          <w:sz w:val="20"/>
          <w:szCs w:val="20"/>
        </w:rPr>
        <w:lastRenderedPageBreak/>
        <w:t>Content of total phenolic and flavonoids</w:t>
      </w:r>
    </w:p>
    <w:p w14:paraId="482281DE" w14:textId="77777777" w:rsidR="00596AE2" w:rsidRPr="00D0415B" w:rsidRDefault="00596AE2"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Total phenolic compounds were significantly influenced by both the plant variety and the applied foliar treatments. The results of evaluating total phenol changes in different tobacco varieties during the first and second years of cultivation showed that foliar application treatments with amino acids, especially mixed amino acids (Mix), resulted in higher phenol levels compared to nitrogen treatments. In the Barley variety during the first year of cultivation, the highest TPC was observed in Mix1 and Mix2 treatments, with an average of 15.5 mg GAE/g DW (Table 1). This value was 50% higher than the control treatment and more than 100% higher compared to the urea and ammonium nitrate treatments. In the second year of cultivation, the Barley variety also showed the highest TPC in the Mix2 treatment, with an average of 18.1 mg GAE/g DW, while the urea treatment exhibited the lowest phenol content among all treatments.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the highest TPC in the first year of cultivation was obtained in the Mix2 treatment with a value of 15 mg GAE/g DW, while in the second year, the highest value was recorded in the As2 treatment with 14.1 mg GAE/g DW (Table 2). In the BT variety, the highest TPC in the first year of cultivation was obtained in the Mix2 treatment with a value of 14.5 mg GAE/g DW, while in the second year, the highest value was recorded in the in the Mix2 treatment with 17.0 mg GAE/g DW (Table 3). In the Virginia variety, the highest TPC in the first year of cultivation was observed in the Mix and Ornithine 1 mg/lit treatments, both with a value of 13.5 mg GAE/g DW, while in the second year, the highest value was recorded in the Mix2 treatment with 12.5 mg GAE/g DW Table 4.</w:t>
      </w:r>
    </w:p>
    <w:p w14:paraId="6EDD072C" w14:textId="77777777" w:rsidR="00596AE2" w:rsidRPr="00D0415B" w:rsidRDefault="00596AE2" w:rsidP="00596AE2">
      <w:pPr>
        <w:spacing w:after="0" w:line="276" w:lineRule="auto"/>
        <w:jc w:val="both"/>
        <w:rPr>
          <w:rFonts w:asciiTheme="majorBidi" w:eastAsia="Calibri" w:hAnsiTheme="majorBidi" w:cstheme="majorBidi"/>
          <w:sz w:val="20"/>
          <w:szCs w:val="20"/>
          <w:rtl/>
        </w:rPr>
      </w:pPr>
      <w:r w:rsidRPr="00D0415B">
        <w:rPr>
          <w:rFonts w:asciiTheme="majorBidi" w:eastAsia="Calibri" w:hAnsiTheme="majorBidi" w:cstheme="majorBidi"/>
          <w:sz w:val="20"/>
          <w:szCs w:val="20"/>
        </w:rPr>
        <w:t xml:space="preserve">The results of flavonoid variation analysis in the Barley variety showed that the highest TFC was obtained in the Mix2 and Ornithine treatments, with an average of 12.6 mg QE/g DW in the first year and 11 mg QE/g DW in the second year of cultivation (Table 1). Notably, the difference between the highest TFC observed in the Mix and Ornithine treatments and the lowest level recorded in the nitrogen treatments was nearly twofold, indicating a substantial impact of treatment type on flavonoid accumulation.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the TFC obtained in the first year of cultivation was approximately the same in the control and nitrogen treatments, with values around 7.5 QE/g DW. In contrast, the highest flavonoid levels were recorded in the Mix and Aspartic acid treatments during the same year (Table 2). In the BT variety, the highest flavonoid content in the first and second years of cultivation was obtained in the ornithine and mixed treatments (Table 3).</w:t>
      </w:r>
    </w:p>
    <w:p w14:paraId="306927E9" w14:textId="20E747F0" w:rsidR="00596AE2" w:rsidRPr="00D0415B" w:rsidRDefault="00596AE2" w:rsidP="00596AE2">
      <w:pPr>
        <w:spacing w:after="0" w:line="276" w:lineRule="auto"/>
        <w:jc w:val="both"/>
        <w:rPr>
          <w:rFonts w:asciiTheme="majorBidi" w:eastAsia="Calibri" w:hAnsiTheme="majorBidi" w:cstheme="majorBidi"/>
          <w:sz w:val="20"/>
          <w:szCs w:val="20"/>
          <w:rtl/>
        </w:rPr>
      </w:pPr>
      <w:r w:rsidRPr="00D0415B">
        <w:rPr>
          <w:rFonts w:asciiTheme="majorBidi" w:eastAsia="Calibri" w:hAnsiTheme="majorBidi" w:cstheme="majorBidi"/>
          <w:sz w:val="20"/>
          <w:szCs w:val="20"/>
        </w:rPr>
        <w:t xml:space="preserve">In the Virginia variety, the highest TFC was obtained in the Mix2 treatment, with an average of 12.1 mg QE/g DW in the first year and Mix2 and Ornithine treatments in the second year of cultivation (Table 4). A comparison of phenol content and flavonoid across the cultivated varieties over both years indicated a consistent trend, with amino acid treatments resulting in a significant increase in phenol and flavonoid levels in tobacco compared to both the control and nitrogen treatments. In a study conducted by </w:t>
      </w:r>
      <w:hyperlink w:anchor="_ENREF_29" w:tooltip="Nasr, 2014 #1689"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&lt;EndNote&gt;&lt;Cite&gt;&lt;Author&gt;Nasr&lt;/Author&gt;&lt;Year&gt;2014&lt;/Year&gt;&lt;RecNum&gt;1689&lt;/RecNum&gt;&lt;DisplayText&gt;&lt;style face="superscript"&gt;29&lt;/style&gt;&lt;/DisplayText&gt;&lt;record&gt;&lt;rec-number&gt;1689&lt;/rec-number&gt;&lt;foreign-keys&gt;&lt;key app="EN" db-id="vp9wwrtfldxaf5eefrnx2w052tptpvpzzrr2"&gt;1689&lt;/key&gt;&lt;/foreign-keys&gt;&lt;ref-type name="Journal Article"&gt;17&lt;/ref-type&gt;&lt;contributors&gt;&lt;authors&gt;&lt;author&gt;Nasr, Soumeya Ben&lt;/author&gt;&lt;author&gt;Aazza, Smail&lt;/author&gt;&lt;author&gt;Mnif, Wissem&lt;/author&gt;&lt;author&gt;Miguel, Maria&lt;/author&gt;&lt;/authors&gt;&lt;/contributors&gt;&lt;titles&gt;&lt;title&gt;Phenol content and antioxidant activity of different young and adult plant parts of tobacco from Tunisia, dried at 40 and 70 C&lt;/title&gt;&lt;secondary-title&gt;Journal of Applied Pharmaceutical Science&lt;/secondary-title&gt;&lt;/titles&gt;&lt;periodical&gt;&lt;full-title&gt;Journal of Applied Pharmaceutical Science&lt;/full-title&gt;&lt;/periodical&gt;&lt;pages&gt;023-031&lt;/pages&gt;&lt;volume&gt;4&lt;/volume&gt;&lt;number&gt;8&lt;/number&gt;&lt;dates&gt;&lt;year&gt;2014&lt;/year&gt;&lt;/dates&gt;&lt;urls&gt;&lt;/urls&gt;&lt;/record&gt;&lt;/Cite&gt;&lt;/EndNote&gt;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29</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the phenolic content in tobacco varied between 4.5 mg GAE/g DW and 23 mg GAE/g DW, depending on the plant organ. Based on the findings of </w:t>
      </w:r>
      <w:hyperlink w:anchor="_ENREF_29" w:tooltip="Nasr, 2014 #1689"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AuthorYear="1"&gt;&lt;Author&gt;Nasr&lt;/Author&gt;&lt;Year&gt;2014&lt;/Year&gt;&lt;RecNum&gt;1689&lt;/RecNum&gt;&lt;DisplayText&gt;Nasr, et al. &lt;style face="superscript"&gt;29&lt;/style&gt;&lt;/DisplayText&gt;&lt;record&gt;&lt;rec-number&gt;1689&lt;/rec-number&gt;&lt;foreign-keys&gt;&lt;key app="EN" db-id="vp9wwrtfldxaf5eefrnx2w052tptpvpzzrr2"&gt;1689&lt;/key&gt;&lt;/foreign-keys&gt;&lt;ref-type name="Journal Article"&gt;17&lt;/ref-type&gt;&lt;contributors&gt;&lt;authors&gt;&lt;author&gt;Nasr, Soumeya Ben&lt;/author&gt;&lt;author&gt;Aazza, Smail&lt;/author&gt;&lt;author&gt;Mnif, Wissem&lt;/author&gt;&lt;author&gt;Miguel, Maria&lt;/author&gt;&lt;/authors&gt;&lt;/contributors&gt;&lt;titles&gt;&lt;title&gt;Phenol content and antioxidant activity of different young and adult plant parts of tobacco from Tunisia, dried at 40 and 70 C&lt;/title&gt;&lt;secondary-title&gt;Journal of Applied Pharmaceutical Science&lt;/secondary-title&gt;&lt;/titles&gt;&lt;periodical&gt;&lt;full-title&gt;Journal of Applied Pharmaceutical Science&lt;/full-title&gt;&lt;/periodical&gt;&lt;pages&gt;023-031&lt;/pages&gt;&lt;volume&gt;4&lt;/volume&gt;&lt;number&gt;8&lt;/number&gt;&lt;dates&gt;&lt;year&gt;2014&lt;/year&gt;&lt;/dates&gt;&lt;urls&gt;&lt;/urls&gt;&lt;/record&gt;&lt;/Cite&gt;&lt;/EndNote&gt;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Nasr, et al. </w:t>
        </w:r>
        <w:r w:rsidRPr="00D0415B">
          <w:rPr>
            <w:rFonts w:asciiTheme="majorBidi" w:eastAsia="Calibri" w:hAnsiTheme="majorBidi" w:cstheme="majorBidi"/>
            <w:noProof/>
            <w:sz w:val="20"/>
            <w:szCs w:val="20"/>
            <w:vertAlign w:val="superscript"/>
          </w:rPr>
          <w:t>29</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the flavonoid content in tobacco ranged from 1.17 to 4.17 mg QE/g DW, showing considerable variation among different plant organs. In line with our study, </w:t>
      </w:r>
      <w:hyperlink w:anchor="_ENREF_30" w:tooltip="Taraseviciene, 2021 #1690"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AuthorYear="1"&gt;&lt;Author&gt;Taraseviciene&lt;/Author&gt;&lt;Year&gt;2021&lt;/Year&gt;&lt;RecNum&gt;1690&lt;/RecNum&gt;&lt;DisplayText&gt;Taraseviciene, et al. &lt;style face="superscript"&gt;30&lt;/style&gt;&lt;/DisplayText&gt;&lt;record&gt;&lt;rec-number&gt;1690&lt;/rec-number&gt;&lt;foreign-keys&gt;&lt;key app="EN" db-id="vp9wwrtfldxaf5eefrnx2w052tptpvpzzrr2"&gt;1690&lt;/key&gt;&lt;/foreign-keys&gt;&lt;ref-type name="Journal Article"&gt;17&lt;/ref-type&gt;&lt;contributors&gt;&lt;authors&gt;&lt;author&gt;Taraseviciene, Ž&lt;/author&gt;&lt;author&gt;Velicka, Aloyzas&lt;/author&gt;&lt;author&gt;Paulauskiene, Aurelija&lt;/author&gt;&lt;/authors&gt;&lt;/contributors&gt;&lt;titles&gt;&lt;title&gt;Impact of foliar application of amino acids on total phenols, phenolic acids content of different mints varieties under the field condition&lt;/title&gt;&lt;secondary-title&gt;Plants&lt;/secondary-title&gt;&lt;/titles&gt;&lt;periodical&gt;&lt;full-title&gt;Plants&lt;/full-title&gt;&lt;/periodical&gt;&lt;pages&gt;599&lt;/pages&gt;&lt;volume&gt;10&lt;/volume&gt;&lt;number&gt;3&lt;/number&gt;&lt;dates&gt;&lt;year&gt;2021&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Taraseviciene, et al. </w:t>
        </w:r>
        <w:r w:rsidRPr="00D0415B">
          <w:rPr>
            <w:rFonts w:asciiTheme="majorBidi" w:eastAsia="Calibri" w:hAnsiTheme="majorBidi" w:cstheme="majorBidi"/>
            <w:noProof/>
            <w:sz w:val="20"/>
            <w:szCs w:val="20"/>
            <w:vertAlign w:val="superscript"/>
          </w:rPr>
          <w:t>30</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investigated the effects of foliar application of amino acids on </w:t>
      </w:r>
      <w:r w:rsidRPr="00D0415B">
        <w:rPr>
          <w:rFonts w:asciiTheme="majorBidi" w:eastAsia="Calibri" w:hAnsiTheme="majorBidi" w:cstheme="majorBidi"/>
          <w:i/>
          <w:iCs/>
          <w:sz w:val="20"/>
          <w:szCs w:val="20"/>
        </w:rPr>
        <w:t xml:space="preserve">M. </w:t>
      </w:r>
      <w:proofErr w:type="spellStart"/>
      <w:r w:rsidRPr="00D0415B">
        <w:rPr>
          <w:rFonts w:asciiTheme="majorBidi" w:eastAsia="Calibri" w:hAnsiTheme="majorBidi" w:cstheme="majorBidi"/>
          <w:i/>
          <w:iCs/>
          <w:sz w:val="20"/>
          <w:szCs w:val="20"/>
        </w:rPr>
        <w:t>piperita</w:t>
      </w:r>
      <w:proofErr w:type="spellEnd"/>
      <w:r w:rsidRPr="00D0415B">
        <w:rPr>
          <w:rFonts w:asciiTheme="majorBidi" w:eastAsia="Calibri" w:hAnsiTheme="majorBidi" w:cstheme="majorBidi"/>
          <w:sz w:val="20"/>
          <w:szCs w:val="20"/>
        </w:rPr>
        <w:t xml:space="preserve">, and their results showed that total phenol content increased by 1.22- to 3.51- times, depending on the </w:t>
      </w:r>
      <w:r w:rsidRPr="00D0415B">
        <w:rPr>
          <w:rFonts w:asciiTheme="majorBidi" w:eastAsia="Calibri" w:hAnsiTheme="majorBidi" w:cstheme="majorBidi"/>
          <w:sz w:val="20"/>
          <w:szCs w:val="20"/>
        </w:rPr>
        <w:lastRenderedPageBreak/>
        <w:t xml:space="preserve">treatment and mint variety. In a similar study on </w:t>
      </w:r>
      <w:r w:rsidRPr="00D0415B">
        <w:rPr>
          <w:rFonts w:asciiTheme="majorBidi" w:eastAsia="Calibri" w:hAnsiTheme="majorBidi" w:cstheme="majorBidi"/>
          <w:i/>
          <w:iCs/>
          <w:sz w:val="20"/>
          <w:szCs w:val="20"/>
        </w:rPr>
        <w:t xml:space="preserve">brassica </w:t>
      </w:r>
      <w:proofErr w:type="spellStart"/>
      <w:r w:rsidRPr="00D0415B">
        <w:rPr>
          <w:rFonts w:asciiTheme="majorBidi" w:eastAsia="Calibri" w:hAnsiTheme="majorBidi" w:cstheme="majorBidi"/>
          <w:i/>
          <w:iCs/>
          <w:sz w:val="20"/>
          <w:szCs w:val="20"/>
        </w:rPr>
        <w:t>oleracea</w:t>
      </w:r>
      <w:proofErr w:type="spellEnd"/>
      <w:r w:rsidRPr="00D0415B">
        <w:rPr>
          <w:rFonts w:asciiTheme="majorBidi" w:eastAsia="Calibri" w:hAnsiTheme="majorBidi" w:cstheme="majorBidi"/>
          <w:sz w:val="20"/>
          <w:szCs w:val="20"/>
        </w:rPr>
        <w:t xml:space="preserve">, foliar application of amino acids at 300 mg/L significantly increased phenolic compounds, flavonoids, and other biochemical traits compared to the control </w:t>
      </w:r>
      <w:hyperlink w:anchor="_ENREF_31" w:tooltip="Haghighi, 2022 #1691"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&lt;EndNote&gt;&lt;Cite&gt;&lt;Author&gt;Haghighi&lt;/Author&gt;&lt;Year&gt;2022&lt;/Year&gt;&lt;RecNum&gt;1691&lt;/RecNum&gt;&lt;DisplayText&gt;&lt;style face="superscript"&gt;31&lt;/style&gt;&lt;/DisplayText&gt;&lt;record&gt;&lt;rec-number&gt;1691&lt;/rec-number&gt;&lt;foreign-keys&gt;&lt;key app="EN" db-id="vp9wwrtfldxaf5eefrnx2w052tptpvpzzrr2"&gt;1691&lt;/key&gt;&lt;/foreign-keys&gt;&lt;ref-type name="Journal Article"&gt;17&lt;/ref-type&gt;&lt;contributors&gt;&lt;authors&gt;&lt;author&gt;Haghighi, Maryam&lt;/author&gt;&lt;author&gt;Barzegar Sadeghabad, Amir&lt;/author&gt;&lt;author&gt;Abolghasemi, Reza&lt;/author&gt;&lt;/authors&gt;&lt;/contributors&gt;&lt;titles&gt;&lt;title&gt;Effect of exogenous amino acids application on the biochemical, antioxidant, and nutritional value of some leafy cabbage cultivars&lt;/title&gt;&lt;secondary-title&gt;Scientific reports&lt;/secondary-title&gt;&lt;/titles&gt;&lt;periodical&gt;&lt;full-title&gt;Scientific Reports&lt;/full-title&gt;&lt;/periodical&gt;&lt;pages&gt;17720&lt;/pages&gt;&lt;volume&gt;12&lt;/volume&gt;&lt;number&gt;1&lt;/number&gt;&lt;dates&gt;&lt;year&gt;2022&lt;/year&gt;&lt;/dates&gt;&lt;isbn&gt;2045-2322&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31</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Contrary to our results, </w:t>
      </w:r>
      <w:hyperlink w:anchor="_ENREF_25" w:tooltip="Jahanbani, 2024 #1687"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AuthorYear="1"&gt;&lt;Author&gt;Jahanbani&lt;/Author&gt;&lt;Year&gt;2024&lt;/Year&gt;&lt;RecNum&gt;1687&lt;/RecNum&gt;&lt;DisplayText&gt;Jahanbani, et al. &lt;style face="superscript"&gt;25&lt;/style&gt;&lt;/DisplayText&gt;&lt;record&gt;&lt;rec-number&gt;1687&lt;/rec-number&gt;&lt;foreign-keys&gt;&lt;key app="EN" db-id="vp9wwrtfldxaf5eefrnx2w052tptpvpzzrr2"&gt;1687&lt;/key&gt;&lt;/foreign-keys&gt;&lt;ref-type name="Journal Article"&gt;17&lt;/ref-type&gt;&lt;contributors&gt;&lt;authors&gt;&lt;author&gt;Jahanbani, Saeedeh&lt;/author&gt;&lt;author&gt;Mumivand, Hasan&lt;/author&gt;&lt;author&gt;Zahedi, Bahman&lt;/author&gt;&lt;author&gt;Argento, Sergio&lt;/author&gt;&lt;/authors&gt;&lt;/contributors&gt;&lt;titles&gt;&lt;title&gt;Foliar Application of Urea and Amino Acids Regulates Growth, Photosynthesis, Pigments, Antioxidant Activity, and the Essential Oil Content and Composition of Basil (Ocimum basilicum L.)&lt;/title&gt;&lt;secondary-title&gt;Agronomy&lt;/secondary-title&gt;&lt;/titles&gt;&lt;periodical&gt;&lt;full-title&gt;Agronomy&lt;/full-title&gt;&lt;/periodical&gt;&lt;pages&gt;2950&lt;/pages&gt;&lt;volume&gt;14&lt;/volume&gt;&lt;number&gt;12&lt;/number&gt;&lt;dates&gt;&lt;year&gt;2024&lt;/year&gt;&lt;/dates&gt;&lt;isbn&gt;2073-4395&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Jahanbani, et al. </w:t>
        </w:r>
        <w:r w:rsidRPr="00D0415B">
          <w:rPr>
            <w:rFonts w:asciiTheme="majorBidi" w:eastAsia="Calibri" w:hAnsiTheme="majorBidi" w:cstheme="majorBidi"/>
            <w:noProof/>
            <w:sz w:val="20"/>
            <w:szCs w:val="20"/>
            <w:vertAlign w:val="superscript"/>
          </w:rPr>
          <w:t>25</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reported that foliar application of urea at 1 g L⁻¹ increased total phenol and flavonoid contents in basil, while a higher concentration (2 g L⁻¹) had no further effect. These differences may be attributed to the physiological nature of the plant, environmental influences, interactions between the plant and the applied fertilizer, and climatic factors </w:t>
      </w:r>
      <w:hyperlink w:anchor="_ENREF_32" w:tooltip="Kanta, 2024 #1692"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&lt;EndNote&gt;&lt;Cite&gt;&lt;Author&gt;Kanta&lt;/Author&gt;&lt;Year&gt;2024&lt;/Year&gt;&lt;RecNum&gt;1692&lt;/RecNum&gt;&lt;DisplayText&gt;&lt;style face="superscript"&gt;32&lt;/style&gt;&lt;/DisplayText&gt;&lt;record&gt;&lt;rec-number&gt;1692&lt;/rec-number&gt;&lt;foreign-keys&gt;&lt;key app="EN" db-id="vp9wwrtfldxaf5eefrnx2w052tptpvpzzrr2"&gt;1692&lt;/key&gt;&lt;/foreign-keys&gt;&lt;ref-type name="Book Section"&gt;5&lt;/ref-type&gt;&lt;contributors&gt;&lt;authors&gt;&lt;author&gt;Kanta, Chandra&lt;/author&gt;&lt;author&gt;Kumar, Abhishek&lt;/author&gt;&lt;author&gt;Chauhan, Anjali&lt;/author&gt;&lt;author&gt;Singh, Hukum&lt;/author&gt;&lt;author&gt;Sharma, Ishwar Prakash&lt;/author&gt;&lt;/authors&gt;&lt;/contributors&gt;&lt;titles&gt;&lt;title&gt;The interplay between plant functional traits and climate change&lt;/title&gt;&lt;secondary-title&gt;Plant functional traits for improving productivity&lt;/secondary-title&gt;&lt;/titles&gt;&lt;pages&gt;41-58&lt;/pages&gt;&lt;dates&gt;&lt;year&gt;2024&lt;/year&gt;&lt;/dates&gt;&lt;publisher&gt;Springer&lt;/publisher&gt;&lt;urls&gt;&lt;/urls&gt;&lt;/record&gt;&lt;/Cite&gt;&lt;/EndNote&gt;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32</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Foliar application of amino acids like ornithine, arginine, and aspartate can enhance phenolic and flavonoid content more effectively than inorganic fertilizers due to their direct role as metabolic precursors and regulators in secondary metabolite biosynthesis </w:t>
      </w:r>
      <w:hyperlink w:anchor="_ENREF_33" w:tooltip="Cheng, 2024 #1693"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&lt;EndNote&gt;&lt;Cite&gt;&lt;Author&gt;Cheng&lt;/Author&gt;&lt;Year&gt;2024&lt;/Year&gt;&lt;RecNum&gt;1693&lt;/RecNum&gt;&lt;DisplayText&gt;&lt;style face="superscript"&gt;33&lt;/style&gt;&lt;/DisplayText&gt;&lt;record&gt;&lt;rec-number&gt;1693&lt;/rec-number&gt;&lt;foreign-keys&gt;&lt;key app="EN" db-id="vp9wwrtfldxaf5eefrnx2w052tptpvpzzrr2"&gt;1693&lt;/key&gt;&lt;/foreign-keys&gt;&lt;ref-type name="Generic"&gt;13&lt;/ref-type&gt;&lt;contributors&gt;&lt;authors&gt;&lt;author&gt;Cheng, J&lt;/author&gt;&lt;author&gt;Cheng, J&lt;/author&gt;&lt;author&gt;Sun, R&lt;/author&gt;&lt;author&gt;Cao, S&lt;/author&gt;&lt;author&gt;Wang, X&lt;/author&gt;&lt;author&gt;Yang, H&lt;/author&gt;&lt;/authors&gt;&lt;/contributors&gt;&lt;titles&gt;&lt;title&gt;Foliar application of amino acid biostimulants increased growth and antioxidant activity of Epipremnum aureum. Cogent Food Agric 10: 1–10&lt;/title&gt;&lt;/titles&gt;&lt;dates&gt;&lt;year&gt;2024&lt;/year&gt;&lt;/dates&gt;&lt;urls&gt;&lt;/urls&gt;&lt;/record&gt;&lt;/Cite&gt;&lt;/EndNote&gt;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33</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Additionally, these amino acids improve nitrogen use efficiency and activate stress-related pathways that stimulate phenol production in plants </w:t>
      </w:r>
      <w:hyperlink w:anchor="_ENREF_34" w:tooltip="Kumar, 2023 #1694"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&lt;EndNote&gt;&lt;Cite&gt;&lt;Author&gt;Kumar&lt;/Author&gt;&lt;Year&gt;2023&lt;/Year&gt;&lt;RecNum&gt;1694&lt;/RecNum&gt;&lt;DisplayText&gt;&lt;style face="superscript"&gt;34&lt;/style&gt;&lt;/DisplayText&gt;&lt;record&gt;&lt;rec-number&gt;1694&lt;/rec-number&gt;&lt;foreign-keys&gt;&lt;key app="EN" db-id="vp9wwrtfldxaf5eefrnx2w052tptpvpzzrr2"&gt;1694&lt;/key&gt;&lt;/foreign-keys&gt;&lt;ref-type name="Journal Article"&gt;17&lt;/ref-type&gt;&lt;contributors&gt;&lt;authors&gt;&lt;author&gt;Kumar, Krishna&lt;/author&gt;&lt;author&gt;Debnath, Pratima&lt;/author&gt;&lt;author&gt;Singh, Sailendra&lt;/author&gt;&lt;author&gt;Kumar, Navin&lt;/author&gt;&lt;/authors&gt;&lt;/contributors&gt;&lt;titles&gt;&lt;title&gt;An overview of plant phenolics and their involvement in abiotic stress tolerance&lt;/title&gt;&lt;secondary-title&gt;Stresses&lt;/secondary-title&gt;&lt;/titles&gt;&lt;periodical&gt;&lt;full-title&gt;Stresses&lt;/full-title&gt;&lt;/periodical&gt;&lt;pages&gt;570-585&lt;/pages&gt;&lt;volume&gt;3&lt;/volume&gt;&lt;number&gt;3&lt;/number&gt;&lt;dates&gt;&lt;year&gt;2023&lt;/year&gt;&lt;/dates&gt;&lt;isbn&gt;2673-7140&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34</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w:t>
      </w:r>
    </w:p>
    <w:p w14:paraId="4D2CD21C" w14:textId="77777777" w:rsidR="00596AE2" w:rsidRPr="00D0415B" w:rsidRDefault="00596AE2" w:rsidP="00596AE2">
      <w:pPr>
        <w:pStyle w:val="Default"/>
        <w:spacing w:line="360" w:lineRule="auto"/>
        <w:jc w:val="both"/>
        <w:rPr>
          <w:b/>
          <w:bCs/>
        </w:rPr>
      </w:pPr>
      <w:r w:rsidRPr="00D0415B">
        <w:rPr>
          <w:rFonts w:asciiTheme="majorBidi" w:eastAsia="Calibri" w:hAnsiTheme="majorBidi" w:cstheme="majorBidi"/>
          <w:b/>
          <w:bCs/>
          <w:color w:val="auto"/>
          <w:sz w:val="20"/>
          <w:szCs w:val="20"/>
        </w:rPr>
        <w:t>Antioxidant capacity</w:t>
      </w:r>
    </w:p>
    <w:p w14:paraId="4B856C6A" w14:textId="3122A367" w:rsidR="00596AE2" w:rsidRPr="00D0415B" w:rsidRDefault="00596AE2" w:rsidP="00596AE2">
      <w:pPr>
        <w:spacing w:after="0" w:line="276" w:lineRule="auto"/>
        <w:jc w:val="both"/>
        <w:rPr>
          <w:rFonts w:asciiTheme="majorBidi" w:eastAsia="Calibri" w:hAnsiTheme="majorBidi" w:cstheme="majorBidi"/>
          <w:sz w:val="20"/>
          <w:szCs w:val="20"/>
        </w:rPr>
      </w:pPr>
      <w:r w:rsidRPr="00D0415B">
        <w:rPr>
          <w:color w:val="000000" w:themeColor="text1"/>
          <w:lang w:val="en-GB"/>
        </w:rPr>
        <w:t xml:space="preserve"> </w:t>
      </w:r>
      <w:r w:rsidRPr="00D0415B">
        <w:rPr>
          <w:rFonts w:asciiTheme="majorBidi" w:eastAsia="Calibri" w:hAnsiTheme="majorBidi" w:cstheme="majorBidi"/>
          <w:sz w:val="20"/>
          <w:szCs w:val="20"/>
        </w:rPr>
        <w:t>Analysis of antioxidant activity in tobacco cultivars over two consecutive years revealed that plants treated with the amino acid mixture (Mix) exhibited the highest free radical scavenging potential. In the first year of cultivation, the mean antioxidant activity was recorded as IC</w:t>
      </w:r>
      <w:r w:rsidRPr="00D0415B">
        <w:rPr>
          <w:rFonts w:asciiTheme="majorBidi" w:eastAsia="Calibri" w:hAnsiTheme="majorBidi" w:cstheme="majorBidi"/>
          <w:sz w:val="20"/>
          <w:szCs w:val="20"/>
          <w:vertAlign w:val="subscript"/>
        </w:rPr>
        <w:t>50</w:t>
      </w:r>
      <w:r w:rsidRPr="00D0415B">
        <w:rPr>
          <w:rFonts w:asciiTheme="majorBidi" w:eastAsia="Calibri" w:hAnsiTheme="majorBidi" w:cstheme="majorBidi"/>
          <w:sz w:val="20"/>
          <w:szCs w:val="20"/>
        </w:rPr>
        <w:t xml:space="preserve"> 32.0 </w:t>
      </w:r>
      <w:proofErr w:type="spellStart"/>
      <w:r w:rsidRPr="00D0415B">
        <w:rPr>
          <w:rFonts w:asciiTheme="majorBidi" w:eastAsia="Calibri" w:hAnsiTheme="majorBidi" w:cstheme="majorBidi"/>
          <w:sz w:val="20"/>
          <w:szCs w:val="20"/>
        </w:rPr>
        <w:t>μg</w:t>
      </w:r>
      <w:proofErr w:type="spellEnd"/>
      <w:r w:rsidRPr="00D0415B">
        <w:rPr>
          <w:rFonts w:asciiTheme="majorBidi" w:eastAsia="Calibri" w:hAnsiTheme="majorBidi" w:cstheme="majorBidi"/>
          <w:sz w:val="20"/>
          <w:szCs w:val="20"/>
        </w:rPr>
        <w:t>/ml using the DPPH assay and 47.0 mg Fe</w:t>
      </w:r>
      <w:r w:rsidRPr="00D0415B">
        <w:rPr>
          <w:rFonts w:asciiTheme="majorBidi" w:eastAsia="Calibri" w:hAnsiTheme="majorBidi" w:cstheme="majorBidi"/>
          <w:sz w:val="20"/>
          <w:szCs w:val="20"/>
          <w:vertAlign w:val="superscript"/>
        </w:rPr>
        <w:t>2⁺</w:t>
      </w:r>
      <w:r w:rsidRPr="00D0415B">
        <w:rPr>
          <w:rFonts w:asciiTheme="majorBidi" w:eastAsia="Calibri" w:hAnsiTheme="majorBidi" w:cstheme="majorBidi"/>
          <w:sz w:val="20"/>
          <w:szCs w:val="20"/>
        </w:rPr>
        <w:t>/g DW using the FRAP assay, whereas the lowest antioxidant potential was observed under the 4% urea (UR4%) treatment (Table 1). Similar to the first year, the highest AA in the barley variety during the second year of cultivation was again observed under the amino acid mix2, with mean values of approximately 29.4 IC</w:t>
      </w:r>
      <w:r w:rsidRPr="00D0415B">
        <w:rPr>
          <w:rFonts w:asciiTheme="majorBidi" w:eastAsia="Calibri" w:hAnsiTheme="majorBidi" w:cstheme="majorBidi"/>
          <w:sz w:val="20"/>
          <w:szCs w:val="20"/>
          <w:vertAlign w:val="subscript"/>
        </w:rPr>
        <w:t>50</w:t>
      </w:r>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μg</w:t>
      </w:r>
      <w:proofErr w:type="spellEnd"/>
      <w:r w:rsidRPr="00D0415B">
        <w:rPr>
          <w:rFonts w:asciiTheme="majorBidi" w:eastAsia="Calibri" w:hAnsiTheme="majorBidi" w:cstheme="majorBidi"/>
          <w:sz w:val="20"/>
          <w:szCs w:val="20"/>
        </w:rPr>
        <w:t>/ml and 53.1 mg Fe</w:t>
      </w:r>
      <w:r w:rsidRPr="00D0415B">
        <w:rPr>
          <w:rFonts w:asciiTheme="majorBidi" w:eastAsia="Calibri" w:hAnsiTheme="majorBidi" w:cstheme="majorBidi"/>
          <w:sz w:val="20"/>
          <w:szCs w:val="20"/>
          <w:vertAlign w:val="superscript"/>
        </w:rPr>
        <w:t>2⁺</w:t>
      </w:r>
      <w:r w:rsidRPr="00D0415B">
        <w:rPr>
          <w:rFonts w:asciiTheme="majorBidi" w:eastAsia="Calibri" w:hAnsiTheme="majorBidi" w:cstheme="majorBidi"/>
          <w:sz w:val="20"/>
          <w:szCs w:val="20"/>
        </w:rPr>
        <w:t xml:space="preserve">/g DW based on the DPPH and FRAP assays, respectively.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antioxidant activity varied from 40 to 104 IC</w:t>
      </w:r>
      <w:r w:rsidRPr="00D0415B">
        <w:rPr>
          <w:rFonts w:asciiTheme="majorBidi" w:eastAsia="Calibri" w:hAnsiTheme="majorBidi" w:cstheme="majorBidi"/>
          <w:sz w:val="20"/>
          <w:szCs w:val="20"/>
          <w:vertAlign w:val="subscript"/>
        </w:rPr>
        <w:t>50</w:t>
      </w:r>
      <w:r w:rsidRPr="00D0415B">
        <w:rPr>
          <w:rFonts w:asciiTheme="majorBidi" w:eastAsia="Calibri" w:hAnsiTheme="majorBidi" w:cstheme="majorBidi"/>
          <w:sz w:val="20"/>
          <w:szCs w:val="20"/>
        </w:rPr>
        <w:t xml:space="preserve"> in the DPPH assay and from 15.9 to 40.1 mg Fe</w:t>
      </w:r>
      <w:r w:rsidRPr="00D0415B">
        <w:rPr>
          <w:rFonts w:asciiTheme="majorBidi" w:eastAsia="Calibri" w:hAnsiTheme="majorBidi" w:cstheme="majorBidi"/>
          <w:sz w:val="20"/>
          <w:szCs w:val="20"/>
          <w:vertAlign w:val="superscript"/>
        </w:rPr>
        <w:t>2⁺</w:t>
      </w:r>
      <w:r w:rsidRPr="00D0415B">
        <w:rPr>
          <w:rFonts w:asciiTheme="majorBidi" w:eastAsia="Calibri" w:hAnsiTheme="majorBidi" w:cstheme="majorBidi"/>
          <w:sz w:val="20"/>
          <w:szCs w:val="20"/>
        </w:rPr>
        <w:t>/g in the FRAP assay (Table 2). In the BT variety, antioxidant activity varied from 33.7 to 87.5 IC</w:t>
      </w:r>
      <w:r w:rsidRPr="00D0415B">
        <w:rPr>
          <w:rFonts w:asciiTheme="majorBidi" w:eastAsia="Calibri" w:hAnsiTheme="majorBidi" w:cstheme="majorBidi"/>
          <w:sz w:val="20"/>
          <w:szCs w:val="20"/>
          <w:vertAlign w:val="subscript"/>
        </w:rPr>
        <w:t>50</w:t>
      </w:r>
      <w:r w:rsidRPr="00D0415B">
        <w:rPr>
          <w:rFonts w:asciiTheme="majorBidi" w:eastAsia="Calibri" w:hAnsiTheme="majorBidi" w:cstheme="majorBidi"/>
          <w:sz w:val="20"/>
          <w:szCs w:val="20"/>
        </w:rPr>
        <w:t xml:space="preserve"> in the DPPH assay and from 18.9 to 45.3 mg Fe2⁺/g in the FRAP assay (Table 3). In the Virginia variety, as in the other two varieties, foliar treatments with amino acids demonstrated significantly higher radical scavenging activity (IC</w:t>
      </w:r>
      <w:r w:rsidRPr="00D0415B">
        <w:rPr>
          <w:rFonts w:asciiTheme="majorBidi" w:eastAsia="Calibri" w:hAnsiTheme="majorBidi" w:cstheme="majorBidi"/>
          <w:sz w:val="20"/>
          <w:szCs w:val="20"/>
          <w:vertAlign w:val="subscript"/>
        </w:rPr>
        <w:t>50</w:t>
      </w:r>
      <w:r w:rsidRPr="00D0415B">
        <w:rPr>
          <w:rFonts w:asciiTheme="majorBidi" w:eastAsia="Calibri" w:hAnsiTheme="majorBidi" w:cstheme="majorBidi"/>
          <w:sz w:val="20"/>
          <w:szCs w:val="20"/>
        </w:rPr>
        <w:t xml:space="preserve"> 38.4 and 40.1 mg Fe</w:t>
      </w:r>
      <w:r w:rsidRPr="00D0415B">
        <w:rPr>
          <w:rFonts w:asciiTheme="majorBidi" w:eastAsia="Calibri" w:hAnsiTheme="majorBidi" w:cstheme="majorBidi"/>
          <w:sz w:val="20"/>
          <w:szCs w:val="20"/>
          <w:vertAlign w:val="superscript"/>
        </w:rPr>
        <w:t>2⁺</w:t>
      </w:r>
      <w:r w:rsidRPr="00D0415B">
        <w:rPr>
          <w:rFonts w:asciiTheme="majorBidi" w:eastAsia="Calibri" w:hAnsiTheme="majorBidi" w:cstheme="majorBidi"/>
          <w:sz w:val="20"/>
          <w:szCs w:val="20"/>
        </w:rPr>
        <w:t xml:space="preserve">/g DW in Mix) in tobacco plant extracts compared to both the control and nitrogen-based treatments (Table 4). Other research has determined that the tobacco </w:t>
      </w:r>
      <w:proofErr w:type="spellStart"/>
      <w:r w:rsidRPr="00D0415B">
        <w:rPr>
          <w:rFonts w:asciiTheme="majorBidi" w:eastAsia="Calibri" w:hAnsiTheme="majorBidi" w:cstheme="majorBidi"/>
          <w:sz w:val="20"/>
          <w:szCs w:val="20"/>
        </w:rPr>
        <w:t>metanolic</w:t>
      </w:r>
      <w:proofErr w:type="spellEnd"/>
      <w:r w:rsidRPr="00D0415B">
        <w:rPr>
          <w:rFonts w:asciiTheme="majorBidi" w:eastAsia="Calibri" w:hAnsiTheme="majorBidi" w:cstheme="majorBidi"/>
          <w:sz w:val="20"/>
          <w:szCs w:val="20"/>
        </w:rPr>
        <w:t xml:space="preserve"> extract were an excellent antioxidant that contains a strong ability to scavenge DPPH free radicals with 18.2 mg AAE/g DW, total phenolic content (24.82 mg GAE/g DW) and total flavonoid content (4.42 mg QE/g DW) </w:t>
      </w:r>
      <w:hyperlink w:anchor="_ENREF_35" w:tooltip="Wang, 2008 #1695"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&lt;EndNote&gt;&lt;Cite&gt;&lt;Author&gt;Wang&lt;/Author&gt;&lt;Year&gt;2008&lt;/Year&gt;&lt;RecNum&gt;1695&lt;/RecNum&gt;&lt;DisplayText&gt;&lt;style face="superscript"&gt;35&lt;/style&gt;&lt;/DisplayText&gt;&lt;record&gt;&lt;rec-number&gt;1695&lt;/rec-number&gt;&lt;foreign-keys&gt;&lt;key app="EN" db-id="vp9wwrtfldxaf5eefrnx2w052tptpvpzzrr2"&gt;1695&lt;/key&gt;&lt;/foreign-keys&gt;&lt;ref-type name="Journal Article"&gt;17&lt;/ref-type&gt;&lt;contributors&gt;&lt;authors&gt;&lt;author&gt;Wang, Haiyan&lt;/author&gt;&lt;author&gt;Zhao, Mouming&lt;/author&gt;&lt;author&gt;Yang, Bao&lt;/author&gt;&lt;author&gt;Jiang, Yueming&lt;/author&gt;&lt;author&gt;Rao, Guohua&lt;/author&gt;&lt;/authors&gt;&lt;/contributors&gt;&lt;titles&gt;&lt;title&gt;Identification of polyphenols in tobacco leaf and their antioxidant and antimicrobial activities&lt;/title&gt;&lt;secondary-title&gt;Food Chemistry&lt;/secondary-title&gt;&lt;/titles&gt;&lt;periodical&gt;&lt;full-title&gt;Food chemistry&lt;/full-title&gt;&lt;/periodical&gt;&lt;pages&gt;1399-1406&lt;/pages&gt;&lt;volume&gt;107&lt;/volume&gt;&lt;number&gt;4&lt;/number&gt;&lt;dates&gt;&lt;year&gt;2008&lt;/year&gt;&lt;/dates&gt;&lt;isbn&gt;0308-8146&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35</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Previous studies have reported a strong positive correlation between phenolic compounds, flavonoids, and antioxidant activity, suggesting that increases in these metabolites contribute significantly to the plant's overall antioxidant potential </w:t>
      </w:r>
      <w:hyperlink w:anchor="_ENREF_36" w:tooltip="Ahmadi, 2024 #1696"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&lt;EndNote&gt;&lt;Cite&gt;&lt;Author&gt;Ahmadi&lt;/Author&gt;&lt;Year&gt;2024&lt;/Year&gt;&lt;RecNum&gt;1696&lt;/RecNum&gt;&lt;DisplayText&gt;&lt;style face="superscript"&gt;36&lt;/style&gt;&lt;/DisplayText&gt;&lt;record&gt;&lt;rec-number&gt;1696&lt;/rec-number&gt;&lt;foreign-keys&gt;&lt;key app="EN" db-id="vp9wwrtfldxaf5eefrnx2w052tptpvpzzrr2"&gt;1696&lt;/key&gt;&lt;/foreign-keys&gt;&lt;ref-type name="Journal Article"&gt;17&lt;/ref-type&gt;&lt;contributors&gt;&lt;authors&gt;&lt;author&gt;Ahmadi, Seyede Zahra&lt;/author&gt;&lt;author&gt;Zahedi, Bahman&lt;/author&gt;&lt;author&gt;Ghorbanpour, Mansour&lt;/author&gt;&lt;author&gt;Mumivand, Hasan&lt;/author&gt;&lt;/authors&gt;&lt;/contributors&gt;&lt;titles&gt;&lt;title&gt;Comparative morpho-physiological and biochemical responses of Capsicum annuum L. plants to multi-walled carbon nanotubes, fullerene C60 and graphene nanoplatelets exposure under water deficit stress&lt;/title&gt;&lt;secondary-title&gt;BMC Plant Biology&lt;/secondary-title&gt;&lt;/titles&gt;&lt;periodical&gt;&lt;full-title&gt;BMC Plant Biology&lt;/full-title&gt;&lt;/periodical&gt;&lt;pages&gt;116&lt;/pages&gt;&lt;volume&gt;24&lt;/volume&gt;&lt;number&gt;1&lt;/number&gt;&lt;dates&gt;&lt;year&gt;2024&lt;/year&gt;&lt;/dates&gt;&lt;isbn&gt;1471-2229&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36</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According to </w:t>
      </w:r>
      <w:hyperlink w:anchor="_ENREF_37" w:tooltip="Aboalhaija, 2025 #1697"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AuthorYear="1"&gt;&lt;Author&gt;Aboalhaija&lt;/Author&gt;&lt;Year&gt;2025&lt;/Year&gt;&lt;RecNum&gt;1697&lt;/RecNum&gt;&lt;DisplayText&gt;Aboalhaija, et al. &lt;style face="superscript"&gt;37&lt;/style&gt;&lt;/DisplayText&gt;&lt;record&gt;&lt;rec-number&gt;1697&lt;/rec-number&gt;&lt;foreign-keys&gt;&lt;key app="EN" db-id="vp9wwrtfldxaf5eefrnx2w052tptpvpzzrr2"&gt;1697&lt;/key&gt;&lt;/foreign-keys&gt;&lt;ref-type name="Journal Article"&gt;17&lt;/ref-type&gt;&lt;contributors&gt;&lt;authors&gt;&lt;author&gt;Aboalhaija, Nour H&lt;/author&gt;&lt;author&gt;Hajjo, Rima&lt;/author&gt;&lt;author&gt;Afifi, Fatma&lt;/author&gt;&lt;author&gt;Syaj, Heba&lt;/author&gt;&lt;author&gt;Abu-Dahab, Rana&lt;/author&gt;&lt;/authors&gt;&lt;/contributors&gt;&lt;titles&gt;&lt;title&gt;Phytochemical characterization and bioinformatics guided evaluation of antioxidant and cytotoxic effects of Psoralea bituminosa&lt;/title&gt;&lt;secondary-title&gt;Scientific Reports&lt;/secondary-title&gt;&lt;/titles&gt;&lt;periodical&gt;&lt;full-title&gt;Scientific Reports&lt;/full-title&gt;&lt;/periodical&gt;&lt;pages&gt;19075&lt;/pages&gt;&lt;volume&gt;15&lt;/volume&gt;&lt;number&gt;1&lt;/number&gt;&lt;dates&gt;&lt;year&gt;2025&lt;/year&gt;&lt;/dates&gt;&lt;isbn&gt;2045-2322&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Aboalhaija, et al. </w:t>
        </w:r>
        <w:r w:rsidRPr="00D0415B">
          <w:rPr>
            <w:rFonts w:asciiTheme="majorBidi" w:eastAsia="Calibri" w:hAnsiTheme="majorBidi" w:cstheme="majorBidi"/>
            <w:noProof/>
            <w:sz w:val="20"/>
            <w:szCs w:val="20"/>
            <w:vertAlign w:val="superscript"/>
          </w:rPr>
          <w:t>37</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 lower IC₅₀ value in the DPPH assay reflects stronger antioxidant activity, which is often associated with higher levels of phenolic compounds and flavonoids. In a similar study, foliar application of amino acids was found to enhance the levels of phenolic compounds, total flavonoids, and antioxidant activity in </w:t>
      </w:r>
      <w:proofErr w:type="spellStart"/>
      <w:r w:rsidRPr="00D0415B">
        <w:rPr>
          <w:rFonts w:asciiTheme="majorBidi" w:eastAsia="Calibri" w:hAnsiTheme="majorBidi" w:cstheme="majorBidi"/>
          <w:i/>
          <w:iCs/>
          <w:sz w:val="20"/>
          <w:szCs w:val="20"/>
        </w:rPr>
        <w:t>Achillea</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millefolium</w:t>
      </w:r>
      <w:proofErr w:type="spellEnd"/>
      <w:r w:rsidRPr="00D0415B">
        <w:rPr>
          <w:rFonts w:asciiTheme="majorBidi" w:eastAsia="Calibri" w:hAnsiTheme="majorBidi" w:cstheme="majorBidi"/>
          <w:sz w:val="20"/>
          <w:szCs w:val="20"/>
        </w:rPr>
        <w:t xml:space="preserve"> L. </w:t>
      </w:r>
      <w:hyperlink w:anchor="_ENREF_38" w:tooltip="Shafie, 2021 #1698"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&lt;EndNote&gt;&lt;Cite&gt;&lt;Author&gt;Shafie&lt;/Author&gt;&lt;Year&gt;2021&lt;/Year&gt;&lt;RecNum&gt;1698&lt;/RecNum&gt;&lt;DisplayText&gt;&lt;style face="superscript"&gt;38&lt;/style&gt;&lt;/DisplayText&gt;&lt;record&gt;&lt;rec-number&gt;1698&lt;/rec-number&gt;&lt;foreign-keys&gt;&lt;key app="EN" db-id="vp9wwrtfldxaf5eefrnx2w052tptpvpzzrr2"&gt;1698&lt;/key&gt;&lt;/foreign-keys&gt;&lt;ref-type name="Journal Article"&gt;17&lt;/ref-type&gt;&lt;contributors&gt;&lt;authors&gt;&lt;author&gt;Shafie, Fatemeh&lt;/author&gt;&lt;author&gt;Bayat, Hassan&lt;/author&gt;&lt;author&gt;Aminifard, Mohamad Hossein&lt;/author&gt;&lt;author&gt;Daghighi, Saeid&lt;/author&gt;&lt;/authors&gt;&lt;/contributors&gt;&lt;titles&gt;&lt;title&gt;Biostimulant effects of seaweed extract and amino acids on growth, antioxidants, and nutrient content of yarrow (Achillea millefolium L.) in the field and greenhouse conditions&lt;/title&gt;&lt;secondary-title&gt;Communications in Soil Science and Plant Analysis&lt;/secondary-title&gt;&lt;/titles&gt;&lt;periodical&gt;&lt;full-title&gt;Communications in Soil Science and Plant Analysis&lt;/full-title&gt;&lt;/periodical&gt;&lt;pages&gt;964-975&lt;/pages&gt;&lt;volume&gt;52&lt;/volume&gt;&lt;number&gt;9&lt;/number&gt;&lt;dates&gt;&lt;year&gt;2021&lt;/year&gt;&lt;/dates&gt;&lt;isbn&gt;0010-3624&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38</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and lettuce leaves </w:t>
      </w:r>
      <w:hyperlink w:anchor="_ENREF_39" w:tooltip="Zhou, 2022 #1699"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&lt;EndNote&gt;&lt;Cite&gt;&lt;Author&gt;Zhou&lt;/Author&gt;&lt;Year&gt;2022&lt;/Year&gt;&lt;RecNum&gt;1699&lt;/RecNum&gt;&lt;DisplayText&gt;&lt;style face="superscript"&gt;39&lt;/style&gt;&lt;/DisplayText&gt;&lt;record&gt;&lt;rec-number&gt;1699&lt;/rec-number&gt;&lt;foreign-keys&gt;&lt;key app="EN" db-id="vp9wwrtfldxaf5eefrnx2w052tptpvpzzrr2"&gt;1699&lt;/key&gt;&lt;/foreign-keys&gt;&lt;ref-type name="Journal Article"&gt;17&lt;/ref-type&gt;&lt;contributors&gt;&lt;authors&gt;&lt;author&gt;Zhou, Weiwei&lt;/author&gt;&lt;author&gt;Zheng, Wenlong&lt;/author&gt;&lt;author&gt;Lv, Haofeng&lt;/author&gt;&lt;author&gt;Wang, Qunyan&lt;/author&gt;&lt;author&gt;Liang, Bin&lt;/author&gt;&lt;author&gt;Li, Junliang&lt;/author&gt;&lt;/authors&gt;&lt;/contributors&gt;&lt;titles&gt;&lt;title&gt;Foliar application of pig blood-derived protein hydrolysates improves antioxidant activities in lettuce by regulating phenolic biosynthesis without compromising yield production&lt;/title&gt;&lt;secondary-title&gt;Scientia Horticulturae&lt;/secondary-title&gt;&lt;/titles&gt;&lt;periodical&gt;&lt;full-title&gt;Scientia horticulturae&lt;/full-title&gt;&lt;/periodical&gt;&lt;pages&gt;110602&lt;/pages&gt;&lt;volume&gt;291&lt;/volume&gt;&lt;dates&gt;&lt;year&gt;2022&lt;/year&gt;&lt;/dates&gt;&lt;isbn&gt;0304-4238&lt;/isbn&gt;&lt;urls&gt;&lt;/urls&gt;&lt;/record&gt;&lt;/Cite&gt;&lt;/EndNote&gt;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39</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Amino acids like arginine, ornithine, and aspartate not only provide nitrogen but also act as signaling molecules that activate antioxidant pathways, unlike urea and nitrate which mainly support growth without triggering phenolic synthesis </w:t>
      </w:r>
      <w:hyperlink w:anchor="_ENREF_40" w:tooltip="Tariq, 2023 #1700"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&lt;EndNote&gt;&lt;Cite&gt;&lt;Author&gt;Tariq&lt;/Author&gt;&lt;Year&gt;2023&lt;/Year&gt;&lt;RecNum&gt;1700&lt;/RecNum&gt;&lt;DisplayText&gt;&lt;style face="superscript"&gt;40&lt;/style&gt;&lt;/DisplayText&gt;&lt;record&gt;&lt;rec-number&gt;1700&lt;/rec-number&gt;&lt;foreign-keys&gt;&lt;key app="EN" db-id="vp9wwrtfldxaf5eefrnx2w052tptpvpzzrr2"&gt;1700&lt;/key&gt;&lt;/foreign-keys&gt;&lt;ref-type name="Journal Article"&gt;17&lt;/ref-type&gt;&lt;contributors&gt;&lt;authors&gt;&lt;author&gt;Tariq, Akash&lt;/author&gt;&lt;author&gt;Zeng, Fanjiang&lt;/author&gt;&lt;author&gt;Graciano, Corina&lt;/author&gt;&lt;author&gt;Ullah, Abd&lt;/author&gt;&lt;author&gt;Sadia, Sehrish&lt;/author&gt;&lt;author&gt;Ahmed, Zeeshan&lt;/author&gt;&lt;author&gt;Murtaza, Ghulam&lt;/author&gt;&lt;author&gt;Ismoilov, Khasan&lt;/author&gt;&lt;author&gt;Zhang, Zhihao&lt;/author&gt;&lt;/authors&gt;&lt;/contributors&gt;&lt;titles&gt;&lt;title&gt;Regulation of metabolites by nutrients in plants&lt;/title&gt;&lt;secondary-title&gt;Plant ionomics: sensing, signaling, and regulation&lt;/secondary-title&gt;&lt;/titles&gt;&lt;periodical&gt;&lt;full-title&gt;Plant ionomics: sensing, signaling, and regulation&lt;/full-title&gt;&lt;/periodical&gt;&lt;pages&gt;1-18&lt;/pages&gt;&lt;dates&gt;&lt;year&gt;2023&lt;/year&gt;&lt;/dates&gt;&lt;urls&gt;&lt;/urls&gt;&lt;/record&gt;&lt;/Cite&gt;&lt;/EndNote&gt;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40</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Amino acids contribute to enhancing plant resilience by supporting redox balance, acting as </w:t>
      </w:r>
      <w:proofErr w:type="spellStart"/>
      <w:r w:rsidRPr="00D0415B">
        <w:rPr>
          <w:rFonts w:asciiTheme="majorBidi" w:eastAsia="Calibri" w:hAnsiTheme="majorBidi" w:cstheme="majorBidi"/>
          <w:sz w:val="20"/>
          <w:szCs w:val="20"/>
        </w:rPr>
        <w:t>osmoprotectants</w:t>
      </w:r>
      <w:proofErr w:type="spellEnd"/>
      <w:r w:rsidRPr="00D0415B">
        <w:rPr>
          <w:rFonts w:asciiTheme="majorBidi" w:eastAsia="Calibri" w:hAnsiTheme="majorBidi" w:cstheme="majorBidi"/>
          <w:sz w:val="20"/>
          <w:szCs w:val="20"/>
        </w:rPr>
        <w:t xml:space="preserve">, and modulating key pathways involved in secondary metabolite production and stress adaptation </w:t>
      </w:r>
      <w:hyperlink w:anchor="_ENREF_41" w:tooltip="Khan, 2025 #1701"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&lt;EndNote&gt;&lt;Cite&gt;&lt;Author&gt;Khan&lt;/Author&gt;&lt;Year&gt;2025&lt;/Year&gt;&lt;RecNum&gt;1701&lt;/RecNum&gt;&lt;DisplayText&gt;&lt;style face="superscript"&gt;41&lt;/style&gt;&lt;/DisplayText&gt;&lt;record&gt;&lt;rec-number&gt;1701&lt;/rec-number&gt;&lt;foreign-keys&gt;&lt;key app="EN" db-id="vp9wwrtfldxaf5eefrnx2w052tptpvpzzrr2"&gt;1701&lt;/key&gt;&lt;/foreign-keys&gt;&lt;ref-type name="Journal Article"&gt;17&lt;/ref-type&gt;&lt;contributors&gt;&lt;authors&gt;&lt;author&gt;Khan, Naeem&lt;/author&gt;&lt;/authors&gt;&lt;/contributors&gt;&lt;titles&gt;&lt;title&gt;Exploring plant resilience through secondary metabolite profiling: Advances in stress response and crop improvement&lt;/title&gt;&lt;secondary-title&gt;Plant, Cell &amp;amp; Environment&lt;/secondary-title&gt;&lt;/titles&gt;&lt;periodical&gt;&lt;full-title&gt;Plant, cell &amp;amp; environment&lt;/full-title&gt;&lt;/periodical&gt;&lt;pages&gt;4823-4837&lt;/pages&gt;&lt;volume&gt;48&lt;/volume&gt;&lt;number&gt;7&lt;/number&gt;&lt;dates&gt;&lt;year&gt;2025&lt;/year&gt;&lt;/dates&gt;&lt;isbn&gt;0140-7791&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41</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It was the amino acid treatments that consistently enhanced the phenolic and flavonoid content in tobacco across both growing seasons, along with a notable increase in antioxidant capacity. These results suggest that amino acid application offers a more effective and sustainable alternative to conventional mineral fertilizers for improving the phytochemical quality of tobacco.</w:t>
      </w:r>
    </w:p>
    <w:p w14:paraId="589CFC18" w14:textId="77777777" w:rsidR="00596AE2" w:rsidRPr="00D0415B" w:rsidRDefault="00596AE2" w:rsidP="00596AE2">
      <w:pPr>
        <w:spacing w:after="0" w:line="276" w:lineRule="auto"/>
        <w:rPr>
          <w:rFonts w:asciiTheme="majorBidi" w:eastAsia="Calibri" w:hAnsiTheme="majorBidi" w:cstheme="majorBidi"/>
          <w:b/>
          <w:bCs/>
          <w:sz w:val="20"/>
          <w:szCs w:val="20"/>
        </w:rPr>
      </w:pPr>
      <w:r w:rsidRPr="00D0415B">
        <w:rPr>
          <w:rFonts w:asciiTheme="majorBidi" w:eastAsia="Calibri" w:hAnsiTheme="majorBidi" w:cstheme="majorBidi"/>
          <w:b/>
          <w:bCs/>
          <w:sz w:val="20"/>
          <w:szCs w:val="20"/>
        </w:rPr>
        <w:t>HPLC Analysis</w:t>
      </w:r>
    </w:p>
    <w:p w14:paraId="197FF98A" w14:textId="09866DD7" w:rsidR="00596AE2" w:rsidRPr="00D0415B" w:rsidRDefault="00596AE2" w:rsidP="00D5796F">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The standard curve of nicotine standards showed linearity in the range of 1-50μg/ml (</w:t>
      </w:r>
      <w:r w:rsidR="007264EB"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w:t>
      </w:r>
      <w:r w:rsidR="00D5796F" w:rsidRPr="00D0415B">
        <w:rPr>
          <w:rFonts w:asciiTheme="majorBidi" w:eastAsia="Calibri" w:hAnsiTheme="majorBidi" w:cstheme="majorBidi"/>
          <w:sz w:val="20"/>
          <w:szCs w:val="20"/>
        </w:rPr>
        <w:t>8</w:t>
      </w:r>
      <w:r w:rsidR="009A06C6" w:rsidRPr="00D0415B">
        <w:rPr>
          <w:rFonts w:asciiTheme="majorBidi" w:eastAsia="Calibri" w:hAnsiTheme="majorBidi" w:cstheme="majorBidi"/>
          <w:sz w:val="20"/>
          <w:szCs w:val="20"/>
        </w:rPr>
        <w:t>A</w:t>
      </w:r>
      <w:r w:rsidRPr="00D0415B">
        <w:rPr>
          <w:rFonts w:asciiTheme="majorBidi" w:eastAsia="Calibri" w:hAnsiTheme="majorBidi" w:cstheme="majorBidi"/>
          <w:sz w:val="20"/>
          <w:szCs w:val="20"/>
        </w:rPr>
        <w:t xml:space="preserve">) with a linear equation of y = 404574.7x + 58782 as obtained in linear regression analysis. The coefficient of correlation was r=0.9999855 and </w:t>
      </w:r>
      <w:proofErr w:type="spellStart"/>
      <w:r w:rsidRPr="00D0415B">
        <w:rPr>
          <w:rFonts w:asciiTheme="majorBidi" w:eastAsia="Calibri" w:hAnsiTheme="majorBidi" w:cstheme="majorBidi"/>
          <w:sz w:val="20"/>
          <w:szCs w:val="20"/>
        </w:rPr>
        <w:t>godness</w:t>
      </w:r>
      <w:proofErr w:type="spellEnd"/>
      <w:r w:rsidRPr="00D0415B">
        <w:rPr>
          <w:rFonts w:asciiTheme="majorBidi" w:eastAsia="Calibri" w:hAnsiTheme="majorBidi" w:cstheme="majorBidi"/>
          <w:sz w:val="20"/>
          <w:szCs w:val="20"/>
        </w:rPr>
        <w:t xml:space="preserve"> of fit R2=0.9999711. This was in well agreement with USP recommendation of R2&gt; 99%. The nicotine concentration of </w:t>
      </w:r>
      <w:r w:rsidRPr="00D0415B">
        <w:rPr>
          <w:rFonts w:asciiTheme="majorBidi" w:eastAsia="Calibri" w:hAnsiTheme="majorBidi" w:cstheme="majorBidi"/>
          <w:i/>
          <w:iCs/>
          <w:sz w:val="20"/>
          <w:szCs w:val="20"/>
        </w:rPr>
        <w:t xml:space="preserve">N.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was significantly influenced by both the plant variety and the applied foliar treatments. During the first year of cultivation, nicotine levels in the Barley variety varied between 5.6 mg/g DW in the control treatment and 11.6 mg/g DW in the Mix2 treatment (</w:t>
      </w:r>
      <w:r w:rsidR="007264EB"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10A). In the second year of cultivation, similar trends were observed, with nicotine content ranging from 4.9 mg/g DW in the control treatment to 9.2 mg/g in the Mix2 treatment (Fig</w:t>
      </w:r>
      <w:r w:rsidR="007264EB" w:rsidRPr="00D0415B">
        <w:rPr>
          <w:rFonts w:asciiTheme="majorBidi" w:eastAsia="Calibri" w:hAnsiTheme="majorBidi" w:cstheme="majorBidi"/>
          <w:sz w:val="20"/>
          <w:szCs w:val="20"/>
        </w:rPr>
        <w:t>ure</w:t>
      </w:r>
      <w:r w:rsidRPr="00D0415B">
        <w:rPr>
          <w:rFonts w:asciiTheme="majorBidi" w:eastAsia="Calibri" w:hAnsiTheme="majorBidi" w:cstheme="majorBidi"/>
          <w:sz w:val="20"/>
          <w:szCs w:val="20"/>
        </w:rPr>
        <w:t xml:space="preserve"> 10B). In both cultivation years, amino acid foliar treatments significantly enhanced nicotine production, showing increases of over 100% compared to nitrogen treatments (</w:t>
      </w:r>
      <w:r w:rsidR="007264EB"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w:t>
      </w:r>
      <w:r w:rsidR="00D5796F" w:rsidRPr="00D0415B">
        <w:rPr>
          <w:rFonts w:asciiTheme="majorBidi" w:eastAsia="Calibri" w:hAnsiTheme="majorBidi" w:cstheme="majorBidi"/>
          <w:sz w:val="20"/>
          <w:szCs w:val="20"/>
        </w:rPr>
        <w:t>9</w:t>
      </w:r>
      <w:r w:rsidRPr="00D0415B">
        <w:rPr>
          <w:rFonts w:asciiTheme="majorBidi" w:eastAsia="Calibri" w:hAnsiTheme="majorBidi" w:cstheme="majorBidi"/>
          <w:sz w:val="20"/>
          <w:szCs w:val="20"/>
        </w:rPr>
        <w:t xml:space="preserve">A-H). Outstanding results were observed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with the highest nicotine content 16.1 mg/g DW recorded under the Mix2 treatment in </w:t>
      </w:r>
      <w:r w:rsidRPr="00D0415B">
        <w:rPr>
          <w:rFonts w:asciiTheme="majorBidi" w:eastAsia="Calibri" w:hAnsiTheme="majorBidi" w:cstheme="majorBidi"/>
          <w:sz w:val="20"/>
          <w:szCs w:val="20"/>
        </w:rPr>
        <w:lastRenderedPageBreak/>
        <w:t>the first year, exceeding all other treatments in both cultivation years (</w:t>
      </w:r>
      <w:r w:rsidR="007264EB" w:rsidRPr="00D0415B">
        <w:rPr>
          <w:rFonts w:asciiTheme="majorBidi" w:eastAsia="Calibri" w:hAnsiTheme="majorBidi" w:cstheme="majorBidi"/>
          <w:sz w:val="20"/>
          <w:szCs w:val="20"/>
        </w:rPr>
        <w:t xml:space="preserve">Figure </w:t>
      </w:r>
      <w:r w:rsidR="00D5796F" w:rsidRPr="00D0415B">
        <w:rPr>
          <w:rFonts w:asciiTheme="majorBidi" w:eastAsia="Calibri" w:hAnsiTheme="majorBidi" w:cstheme="majorBidi"/>
          <w:sz w:val="20"/>
          <w:szCs w:val="20"/>
        </w:rPr>
        <w:t>9</w:t>
      </w:r>
      <w:r w:rsidRPr="00D0415B">
        <w:rPr>
          <w:rFonts w:asciiTheme="majorBidi" w:eastAsia="Calibri" w:hAnsiTheme="majorBidi" w:cstheme="majorBidi"/>
          <w:sz w:val="20"/>
          <w:szCs w:val="20"/>
        </w:rPr>
        <w:t xml:space="preserve">). Additionally, the lowest nicotine content in both cultivation years was observed in the control treatment. </w:t>
      </w:r>
    </w:p>
    <w:p w14:paraId="5D94EE49" w14:textId="773BB0DB" w:rsidR="00596AE2" w:rsidRPr="00D0415B" w:rsidRDefault="00596AE2" w:rsidP="00D5796F">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changes in nicotine content in the BT variety under different foliar application treatments were very similar to those observed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w:t>
      </w:r>
      <w:r w:rsidR="007264EB"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w:t>
      </w:r>
      <w:r w:rsidR="00D5796F" w:rsidRPr="00D0415B">
        <w:rPr>
          <w:rFonts w:asciiTheme="majorBidi" w:eastAsia="Calibri" w:hAnsiTheme="majorBidi" w:cstheme="majorBidi"/>
          <w:sz w:val="20"/>
          <w:szCs w:val="20"/>
        </w:rPr>
        <w:t>9</w:t>
      </w:r>
      <w:r w:rsidRPr="00D0415B">
        <w:rPr>
          <w:rFonts w:asciiTheme="majorBidi" w:eastAsia="Calibri" w:hAnsiTheme="majorBidi" w:cstheme="majorBidi"/>
          <w:sz w:val="20"/>
          <w:szCs w:val="20"/>
        </w:rPr>
        <w:t xml:space="preserve">E, </w:t>
      </w:r>
      <w:r w:rsidR="00D5796F" w:rsidRPr="00D0415B">
        <w:rPr>
          <w:rFonts w:asciiTheme="majorBidi" w:eastAsia="Calibri" w:hAnsiTheme="majorBidi" w:cstheme="majorBidi"/>
          <w:sz w:val="20"/>
          <w:szCs w:val="20"/>
        </w:rPr>
        <w:t>9</w:t>
      </w:r>
      <w:r w:rsidRPr="00D0415B">
        <w:rPr>
          <w:rFonts w:asciiTheme="majorBidi" w:eastAsia="Calibri" w:hAnsiTheme="majorBidi" w:cstheme="majorBidi"/>
          <w:sz w:val="20"/>
          <w:szCs w:val="20"/>
        </w:rPr>
        <w:t>F). Nicotine content analysis in the Virginia variety during the first cultivation year revealed that the lowest value occurred in the control treatment, whereas the Aspartic acid and Mix treatments resulted in the highest concentrations with 10.9 mg/g DW a trend that was also observed in the second year with slight variations (</w:t>
      </w:r>
      <w:r w:rsidR="007264EB"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w:t>
      </w:r>
      <w:r w:rsidR="00D5796F" w:rsidRPr="00D0415B">
        <w:rPr>
          <w:rFonts w:asciiTheme="majorBidi" w:eastAsia="Calibri" w:hAnsiTheme="majorBidi" w:cstheme="majorBidi"/>
          <w:sz w:val="20"/>
          <w:szCs w:val="20"/>
        </w:rPr>
        <w:t>9</w:t>
      </w:r>
      <w:r w:rsidRPr="00D0415B">
        <w:rPr>
          <w:rFonts w:asciiTheme="majorBidi" w:eastAsia="Calibri" w:hAnsiTheme="majorBidi" w:cstheme="majorBidi"/>
          <w:sz w:val="20"/>
          <w:szCs w:val="20"/>
        </w:rPr>
        <w:t xml:space="preserve">). One of the observed results was the higher nicotine content in the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variety compared to the Barley and Virginia varieties, consistently showing the highest nicotine levels across both growing seasons. </w:t>
      </w:r>
    </w:p>
    <w:p w14:paraId="3586477A" w14:textId="14F4AF0B" w:rsidR="00596AE2" w:rsidRPr="00D0415B" w:rsidRDefault="00596AE2"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In comparison with HPLC results, </w:t>
      </w:r>
      <w:hyperlink w:anchor="_ENREF_42" w:tooltip="Shekhar, 2023 #1702"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AuthorYear="1"&gt;&lt;Author&gt;Shekhar&lt;/Author&gt;&lt;Year&gt;2023&lt;/Year&gt;&lt;RecNum&gt;1702&lt;/RecNum&gt;&lt;DisplayText&gt;Shekhar &lt;style face="superscript"&gt;42&lt;/style&gt;&lt;/DisplayText&gt;&lt;record&gt;&lt;rec-number&gt;1702&lt;/rec-number&gt;&lt;foreign-keys&gt;&lt;key app="EN" db-id="vp9wwrtfldxaf5eefrnx2w052tptpvpzzrr2"&gt;1702&lt;/key&gt;&lt;/foreign-keys&gt;&lt;ref-type name="Journal Article"&gt;17&lt;/ref-type&gt;&lt;contributors&gt;&lt;authors&gt;&lt;author&gt;Shekhar, Ravi&lt;/author&gt;&lt;/authors&gt;&lt;/contributors&gt;&lt;titles&gt;&lt;title&gt;Estimation of Nicotine in Tobacco Extract Using C8 Column in High Performance Liquid Chromatography&lt;/title&gt;&lt;secondary-title&gt;International Journal of Human and Health Sciences (IJHHS)&lt;/secondary-title&gt;&lt;/titles&gt;&lt;periodical&gt;&lt;full-title&gt;International Journal of Human and Health Sciences (IJHHS)&lt;/full-title&gt;&lt;/periodical&gt;&lt;dates&gt;&lt;year&gt;2023&lt;/year&gt;&lt;/dates&gt;&lt;urls&gt;&lt;/urls&gt;&lt;/record&gt;&lt;/Cite&gt;&lt;/EndNote&gt;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Shekhar </w:t>
        </w:r>
        <w:r w:rsidRPr="00D0415B">
          <w:rPr>
            <w:rFonts w:asciiTheme="majorBidi" w:eastAsia="Calibri" w:hAnsiTheme="majorBidi" w:cstheme="majorBidi"/>
            <w:noProof/>
            <w:sz w:val="20"/>
            <w:szCs w:val="20"/>
            <w:vertAlign w:val="superscript"/>
          </w:rPr>
          <w:t>42</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reported the amount of nicotine per tobacco leaf extract ranged from 1.34 to 2.22%. Also, the nicotine content of areal part tobacco was 15.4 mg/g DW </w:t>
      </w:r>
      <w:hyperlink w:anchor="_ENREF_43" w:tooltip="Vlase, 2005 #1703"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&lt;EndNote&gt;&lt;Cite&gt;&lt;Author&gt;Vlase&lt;/Author&gt;&lt;Year&gt;2005&lt;/Year&gt;&lt;RecNum&gt;1703&lt;/RecNum&gt;&lt;DisplayText&gt;&lt;style face="superscript"&gt;43&lt;/style&gt;&lt;/DisplayText&gt;&lt;record&gt;&lt;rec-number&gt;1703&lt;/rec-number&gt;&lt;foreign-keys&gt;&lt;key app="EN" db-id="vp9wwrtfldxaf5eefrnx2w052tptpvpzzrr2"&gt;1703&lt;/key&gt;&lt;/foreign-keys&gt;&lt;ref-type name="Journal Article"&gt;17&lt;/ref-type&gt;&lt;contributors&gt;&lt;authors&gt;&lt;author&gt;Vlase, Laurian&lt;/author&gt;&lt;author&gt;Filip, Lorena&lt;/author&gt;&lt;author&gt;Mindrutau, I&lt;/author&gt;&lt;author&gt;Leucuta, SE&lt;/author&gt;&lt;/authors&gt;&lt;/contributors&gt;&lt;titles&gt;&lt;title&gt;Determination of nicotine from tobacco by LC–MS–MS&lt;/title&gt;&lt;secondary-title&gt;Studia Universitatis Babes-Bolyai Physica&lt;/secondary-title&gt;&lt;/titles&gt;&lt;periodical&gt;&lt;full-title&gt;Studia Universitatis Babes-Bolyai Physica&lt;/full-title&gt;&lt;/periodical&gt;&lt;pages&gt;19-24&lt;/pages&gt;&lt;volume&gt;4&lt;/volume&gt;&lt;dates&gt;&lt;year&gt;2005&lt;/year&gt;&lt;/dates&gt;&lt;urls&gt;&lt;/urls&gt;&lt;/record&gt;&lt;/Cite&gt;&lt;/EndNote&gt;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43</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As shown in Fig. 10, nicotine content showed a decreasing trend in the second growing season, which may be attributed to environmental conditions, seasonal variability, and other physiological or agronomic factors </w:t>
      </w:r>
      <w:hyperlink w:anchor="_ENREF_44" w:tooltip="Shahin, 2023 #1704"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&lt;EndNote&gt;&lt;Cite&gt;&lt;Author&gt;Shahin&lt;/Author&gt;&lt;Year&gt;2023&lt;/Year&gt;&lt;RecNum&gt;1704&lt;/RecNum&gt;&lt;DisplayText&gt;&lt;style face="superscript"&gt;44&lt;/style&gt;&lt;/DisplayText&gt;&lt;record&gt;&lt;rec-number&gt;1704&lt;/rec-number&gt;&lt;foreign-keys&gt;&lt;key app="EN" db-id="vp9wwrtfldxaf5eefrnx2w052tptpvpzzrr2"&gt;1704&lt;/key&gt;&lt;/foreign-keys&gt;&lt;ref-type name="Journal Article"&gt;17&lt;/ref-type&gt;&lt;contributors&gt;&lt;authors&gt;&lt;author&gt;Shahin, Mostafa G&lt;/author&gt;&lt;author&gt;Saudy, Hani S&lt;/author&gt;&lt;author&gt;El-Bially, Mohamed E&lt;/author&gt;&lt;author&gt;Abd El-Momen, Wasfi R&lt;/author&gt;&lt;author&gt;El-Gabry, Yasser A&lt;/author&gt;&lt;author&gt;Abd El-Samad, Gomaa A&lt;/author&gt;&lt;author&gt;Sayed, Amany N&lt;/author&gt;&lt;/authors&gt;&lt;/contributors&gt;&lt;titles&gt;&lt;title&gt;Physiological and agronomic responses and nutrient uptake of soybean genotypes cultivated under various sowing dates&lt;/title&gt;&lt;secondary-title&gt;Journal of Soil Science and Plant Nutrition&lt;/secondary-title&gt;&lt;/titles&gt;&lt;periodical&gt;&lt;full-title&gt;Journal of Soil Science and Plant Nutrition&lt;/full-title&gt;&lt;/periodical&gt;&lt;pages&gt;5145-5158&lt;/pages&gt;&lt;volume&gt;23&lt;/volume&gt;&lt;number&gt;4&lt;/number&gt;&lt;dates&gt;&lt;year&gt;2023&lt;/year&gt;&lt;/dates&gt;&lt;isbn&gt;0718-9508&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vertAlign w:val="superscript"/>
          </w:rPr>
          <w:t>44</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To the best of our knowledge, no prior studies have specifically examined the impact of foliar-applied amino acids on nicotine content in tobacco. Therefore, this research represents a novel contribution to understanding how amino acid treatments may influence alkaloid biosynthesis in this crop. In contrast to our findings, </w:t>
      </w:r>
      <w:hyperlink w:anchor="_ENREF_45" w:tooltip="Xi, 2005 #1705" w:history="1">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 AuthorYear="1"&gt;&lt;Author&gt;Xi&lt;/Author&gt;&lt;Year&gt;2005&lt;/Year&gt;&lt;RecNum&gt;1705&lt;/RecNum&gt;&lt;DisplayText&gt;Xi, et al. &lt;style face="superscript"&gt;45&lt;/style&gt;&lt;/DisplayText&gt;&lt;record&gt;&lt;rec-number&gt;1705&lt;/rec-number&gt;&lt;foreign-keys&gt;&lt;key app="EN" db-id="vp9wwrtfldxaf5eefrnx2w052tptpvpzzrr2"&gt;1705&lt;/key&gt;&lt;/foreign-keys&gt;&lt;ref-type name="Journal Article"&gt;17&lt;/ref-type&gt;&lt;contributors&gt;&lt;authors&gt;&lt;author&gt;Xi, XY&lt;/author&gt;&lt;author&gt;Li, CJ&lt;/author&gt;&lt;author&gt;Zhang, FS&lt;/author&gt;&lt;/authors&gt;&lt;/contributors&gt;&lt;titles&gt;&lt;title&gt;Nitrogen supply after removing the shoot apex increases the nicotine concentration and nitrogen content of tobacco plants&lt;/title&gt;&lt;secondary-title&gt;Annals of botany&lt;/secondary-title&gt;&lt;/titles&gt;&lt;periodical&gt;&lt;full-title&gt;Annals of botany&lt;/full-title&gt;&lt;/periodical&gt;&lt;pages&gt;793-797&lt;/pages&gt;&lt;volume&gt;96&lt;/volume&gt;&lt;number&gt;5&lt;/number&gt;&lt;dates&gt;&lt;year&gt;2005&lt;/year&gt;&lt;/dates&gt;&lt;isbn&gt;1095-8290&lt;/isbn&gt;&lt;urls&gt;&lt;/urls&gt;&lt;/record&gt;&lt;/Cite&gt;&lt;/EndNote&gt;</w:instrText>
        </w:r>
        <w:r w:rsidRPr="00D0415B">
          <w:rPr>
            <w:rFonts w:asciiTheme="majorBidi" w:eastAsia="Calibri" w:hAnsiTheme="majorBidi" w:cstheme="majorBidi"/>
            <w:sz w:val="20"/>
            <w:szCs w:val="20"/>
          </w:rPr>
          <w:fldChar w:fldCharType="separate"/>
        </w:r>
        <w:r w:rsidRPr="00D0415B">
          <w:rPr>
            <w:rFonts w:asciiTheme="majorBidi" w:eastAsia="Calibri" w:hAnsiTheme="majorBidi" w:cstheme="majorBidi"/>
            <w:noProof/>
            <w:sz w:val="20"/>
            <w:szCs w:val="20"/>
          </w:rPr>
          <w:t xml:space="preserve">Xi, et al. </w:t>
        </w:r>
        <w:r w:rsidRPr="00D0415B">
          <w:rPr>
            <w:rFonts w:asciiTheme="majorBidi" w:eastAsia="Calibri" w:hAnsiTheme="majorBidi" w:cstheme="majorBidi"/>
            <w:noProof/>
            <w:sz w:val="20"/>
            <w:szCs w:val="20"/>
            <w:vertAlign w:val="superscript"/>
          </w:rPr>
          <w:t>45</w:t>
        </w:r>
        <w:r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reported that nitrogen fertilizer application under greenhouse conditions led to an increase in nicotine accumulation in tobacco tissues. The combined foliar application of arginine, ornithine, and aspartate likely enhances nicotine synthesis by providing key precursors and activating enzymes such as ornithine decarboxylase and </w:t>
      </w:r>
      <w:proofErr w:type="spellStart"/>
      <w:r w:rsidRPr="00D0415B">
        <w:rPr>
          <w:rFonts w:asciiTheme="majorBidi" w:eastAsia="Calibri" w:hAnsiTheme="majorBidi" w:cstheme="majorBidi"/>
          <w:sz w:val="20"/>
          <w:szCs w:val="20"/>
        </w:rPr>
        <w:t>putrescine</w:t>
      </w:r>
      <w:proofErr w:type="spellEnd"/>
      <w:r w:rsidRPr="00D0415B">
        <w:rPr>
          <w:rFonts w:asciiTheme="majorBidi" w:eastAsia="Calibri" w:hAnsiTheme="majorBidi" w:cstheme="majorBidi"/>
          <w:sz w:val="20"/>
          <w:szCs w:val="20"/>
        </w:rPr>
        <w:t xml:space="preserve"> N-</w:t>
      </w:r>
      <w:proofErr w:type="spellStart"/>
      <w:r w:rsidRPr="00D0415B">
        <w:rPr>
          <w:rFonts w:asciiTheme="majorBidi" w:eastAsia="Calibri" w:hAnsiTheme="majorBidi" w:cstheme="majorBidi"/>
          <w:sz w:val="20"/>
          <w:szCs w:val="20"/>
        </w:rPr>
        <w:t>methyltransferase</w:t>
      </w:r>
      <w:proofErr w:type="spellEnd"/>
      <w:r w:rsidRPr="00D0415B">
        <w:rPr>
          <w:rFonts w:asciiTheme="majorBidi" w:eastAsia="Calibri" w:hAnsiTheme="majorBidi" w:cstheme="majorBidi"/>
          <w:sz w:val="20"/>
          <w:szCs w:val="20"/>
        </w:rPr>
        <w:t xml:space="preserve"> </w:t>
      </w:r>
      <w:r w:rsidRPr="00D0415B">
        <w:rPr>
          <w:rFonts w:asciiTheme="majorBidi" w:eastAsia="Calibri" w:hAnsiTheme="majorBidi" w:cstheme="majorBidi"/>
          <w:sz w:val="20"/>
          <w:szCs w:val="20"/>
        </w:rPr>
        <w:fldChar w:fldCharType="begin"/>
      </w:r>
      <w:r w:rsidRPr="00D0415B">
        <w:rPr>
          <w:rFonts w:asciiTheme="majorBidi" w:eastAsia="Calibri" w:hAnsiTheme="majorBidi" w:cstheme="majorBidi"/>
          <w:sz w:val="20"/>
          <w:szCs w:val="20"/>
        </w:rPr>
        <w:instrText xml:space="preserve"> ADDIN EN.CITE &lt;EndNote&gt;&lt;Cite&gt;&lt;Author&gt;Cai&lt;/Author&gt;&lt;Year&gt;2023&lt;/Year&gt;&lt;RecNum&gt;1706&lt;/RecNum&gt;&lt;DisplayText&gt;&lt;style face="superscript"&gt;46,47&lt;/style&gt;&lt;/DisplayText&gt;&lt;record&gt;&lt;rec-number&gt;1706&lt;/rec-number&gt;&lt;foreign-keys&gt;&lt;key app="EN" db-id="vp9wwrtfldxaf5eefrnx2w052tptpvpzzrr2"&gt;1706&lt;/key&gt;&lt;/foreign-keys&gt;&lt;ref-type name="Journal Article"&gt;17&lt;/ref-type&gt;&lt;contributors&gt;&lt;authors&gt;&lt;author&gt;Cai, Jianghua&lt;/author&gt;&lt;author&gt;Li, Dongqi&lt;/author&gt;&lt;author&gt;Aharoni, Asaph&lt;/author&gt;&lt;/authors&gt;&lt;/contributors&gt;&lt;titles&gt;&lt;title&gt;The role of long‐distance mobile metabolites in the plant stress response and signaling&lt;/title&gt;&lt;secondary-title&gt;The Plant Journal&lt;/secondary-title&gt;&lt;/titles&gt;&lt;periodical&gt;&lt;full-title&gt;The Plant Journal&lt;/full-title&gt;&lt;/periodical&gt;&lt;pages&gt;1115-1131&lt;/pages&gt;&lt;volume&gt;114&lt;/volume&gt;&lt;number&gt;5&lt;/number&gt;&lt;dates&gt;&lt;year&gt;2023&lt;/year&gt;&lt;/dates&gt;&lt;isbn&gt;0960-7412&lt;/isbn&gt;&lt;urls&gt;&lt;/urls&gt;&lt;/record&gt;&lt;/Cite&gt;&lt;Cite&gt;&lt;Author&gt;Mahmoudi&lt;/Author&gt;&lt;Year&gt;2025&lt;/Year&gt;&lt;RecNum&gt;1707&lt;/RecNum&gt;&lt;record&gt;&lt;rec-number&gt;1707&lt;/rec-number&gt;&lt;foreign-keys&gt;&lt;key app="EN" db-id="vp9wwrtfldxaf5eefrnx2w052tptpvpzzrr2"&gt;1707&lt;/key&gt;&lt;/foreign-keys&gt;&lt;ref-type name="Journal Article"&gt;17&lt;/ref-type&gt;&lt;contributors&gt;&lt;authors&gt;&lt;author&gt;Mahmoudi, Parvaneh&lt;/author&gt;&lt;author&gt;Mohajel Kazemi, Elham&lt;/author&gt;&lt;author&gt;Mohajjel Shoja, Hanieh&lt;/author&gt;&lt;author&gt;Kolahi, Maryam&lt;/author&gt;&lt;/authors&gt;&lt;/contributors&gt;&lt;titles&gt;&lt;title&gt;Investigating growth responses and expression patterns of nicotine biosynthesis genes in tobacco plants treated with cadmium&lt;/title&gt;&lt;secondary-title&gt;Acta Physiologiae Plantarum&lt;/secondary-title&gt;&lt;/titles&gt;&lt;periodical&gt;&lt;full-title&gt;Acta Physiologiae Plantarum&lt;/full-title&gt;&lt;/periodical&gt;&lt;pages&gt;1-11&lt;/pages&gt;&lt;volume&gt;47&lt;/volume&gt;&lt;number&gt;4&lt;/number&gt;&lt;dates&gt;&lt;year&gt;2025&lt;/year&gt;&lt;/dates&gt;&lt;isbn&gt;1861-1664&lt;/isbn&gt;&lt;urls&gt;&lt;/urls&gt;&lt;/record&gt;&lt;/Cite&gt;&lt;/EndNote&gt;</w:instrText>
      </w:r>
      <w:r w:rsidRPr="00D0415B">
        <w:rPr>
          <w:rFonts w:asciiTheme="majorBidi" w:eastAsia="Calibri" w:hAnsiTheme="majorBidi" w:cstheme="majorBidi"/>
          <w:sz w:val="20"/>
          <w:szCs w:val="20"/>
        </w:rPr>
        <w:fldChar w:fldCharType="separate"/>
      </w:r>
      <w:hyperlink w:anchor="_ENREF_46" w:tooltip="Cai, 2023 #1706" w:history="1">
        <w:r w:rsidRPr="00D0415B">
          <w:rPr>
            <w:rFonts w:asciiTheme="majorBidi" w:eastAsia="Calibri" w:hAnsiTheme="majorBidi" w:cstheme="majorBidi"/>
            <w:noProof/>
            <w:sz w:val="20"/>
            <w:szCs w:val="20"/>
            <w:vertAlign w:val="superscript"/>
          </w:rPr>
          <w:t>46</w:t>
        </w:r>
      </w:hyperlink>
      <w:r w:rsidRPr="00D0415B">
        <w:rPr>
          <w:rFonts w:asciiTheme="majorBidi" w:eastAsia="Calibri" w:hAnsiTheme="majorBidi" w:cstheme="majorBidi"/>
          <w:noProof/>
          <w:sz w:val="20"/>
          <w:szCs w:val="20"/>
          <w:vertAlign w:val="superscript"/>
        </w:rPr>
        <w:t>,</w:t>
      </w:r>
      <w:hyperlink w:anchor="_ENREF_47" w:tooltip="Mahmoudi, 2025 #1707" w:history="1">
        <w:r w:rsidRPr="00D0415B">
          <w:rPr>
            <w:rFonts w:asciiTheme="majorBidi" w:eastAsia="Calibri" w:hAnsiTheme="majorBidi" w:cstheme="majorBidi"/>
            <w:noProof/>
            <w:sz w:val="20"/>
            <w:szCs w:val="20"/>
            <w:vertAlign w:val="superscript"/>
          </w:rPr>
          <w:t>47</w:t>
        </w:r>
      </w:hyperlink>
      <w:r w:rsidRPr="00D0415B">
        <w:rPr>
          <w:rFonts w:asciiTheme="majorBidi" w:eastAsia="Calibri" w:hAnsiTheme="majorBidi" w:cstheme="majorBidi"/>
          <w:sz w:val="20"/>
          <w:szCs w:val="20"/>
        </w:rPr>
        <w:fldChar w:fldCharType="end"/>
      </w:r>
      <w:r w:rsidRPr="00D0415B">
        <w:rPr>
          <w:rFonts w:asciiTheme="majorBidi" w:eastAsia="Calibri" w:hAnsiTheme="majorBidi" w:cstheme="majorBidi"/>
          <w:sz w:val="20"/>
          <w:szCs w:val="20"/>
        </w:rPr>
        <w:t xml:space="preserve">. These amino acids may by support polyamine and </w:t>
      </w:r>
      <w:proofErr w:type="spellStart"/>
      <w:r w:rsidRPr="00D0415B">
        <w:rPr>
          <w:rFonts w:asciiTheme="majorBidi" w:eastAsia="Calibri" w:hAnsiTheme="majorBidi" w:cstheme="majorBidi"/>
          <w:sz w:val="20"/>
          <w:szCs w:val="20"/>
        </w:rPr>
        <w:t>pyrrolidine</w:t>
      </w:r>
      <w:proofErr w:type="spellEnd"/>
      <w:r w:rsidRPr="00D0415B">
        <w:rPr>
          <w:rFonts w:asciiTheme="majorBidi" w:eastAsia="Calibri" w:hAnsiTheme="majorBidi" w:cstheme="majorBidi"/>
          <w:sz w:val="20"/>
          <w:szCs w:val="20"/>
        </w:rPr>
        <w:t xml:space="preserve"> ring formation, increasing metabolic flux toward nicotine biosynthesis more effectively than inorganic nitrogen sources. Foliar application of amino acids proved to be a practical and efficient approach for improving tobacco quality, particularly by enhancing leaf nicotine content. This method offers a promising alternative to traditional nitrogen fertilization with lower environmental impact.</w:t>
      </w:r>
    </w:p>
    <w:p w14:paraId="54A9CA0C" w14:textId="77777777" w:rsidR="00CE0F78" w:rsidRPr="00D0415B" w:rsidRDefault="00CE0F78" w:rsidP="00A52E39">
      <w:pPr>
        <w:pStyle w:val="Default"/>
        <w:spacing w:line="360" w:lineRule="auto"/>
        <w:jc w:val="both"/>
        <w:rPr>
          <w:rtl/>
        </w:rPr>
      </w:pPr>
    </w:p>
    <w:p w14:paraId="1A36B88C" w14:textId="4AF270D7" w:rsidR="00C67B23" w:rsidRPr="00D0415B" w:rsidRDefault="00C67B23" w:rsidP="00541756">
      <w:pPr>
        <w:spacing w:after="0" w:line="276" w:lineRule="auto"/>
        <w:rPr>
          <w:rFonts w:asciiTheme="majorBidi" w:eastAsia="Calibri" w:hAnsiTheme="majorBidi" w:cstheme="majorBidi"/>
          <w:b/>
          <w:bCs/>
          <w:sz w:val="20"/>
          <w:szCs w:val="20"/>
        </w:rPr>
      </w:pPr>
      <w:r w:rsidRPr="00D0415B">
        <w:rPr>
          <w:rFonts w:asciiTheme="majorBidi" w:eastAsia="Calibri" w:hAnsiTheme="majorBidi" w:cstheme="majorBidi"/>
          <w:b/>
          <w:bCs/>
          <w:sz w:val="20"/>
          <w:szCs w:val="20"/>
        </w:rPr>
        <w:t>Materials and Methods</w:t>
      </w:r>
    </w:p>
    <w:p w14:paraId="66B5EF14" w14:textId="36CC2C4F" w:rsidR="008C753F" w:rsidRPr="00D0415B" w:rsidRDefault="00E37D6B" w:rsidP="00541756">
      <w:pPr>
        <w:spacing w:after="0" w:line="276" w:lineRule="auto"/>
        <w:rPr>
          <w:rFonts w:asciiTheme="majorBidi" w:eastAsia="Calibri" w:hAnsiTheme="majorBidi" w:cstheme="majorBidi"/>
          <w:b/>
          <w:bCs/>
          <w:sz w:val="20"/>
          <w:szCs w:val="20"/>
          <w:rtl/>
        </w:rPr>
      </w:pPr>
      <w:r w:rsidRPr="00D0415B">
        <w:rPr>
          <w:rFonts w:asciiTheme="majorBidi" w:eastAsia="Calibri" w:hAnsiTheme="majorBidi" w:cstheme="majorBidi"/>
          <w:b/>
          <w:bCs/>
          <w:sz w:val="20"/>
          <w:szCs w:val="20"/>
        </w:rPr>
        <w:t>Plant material and growing conditions</w:t>
      </w:r>
    </w:p>
    <w:p w14:paraId="6CA1B53E" w14:textId="00A5EC9F" w:rsidR="00337A30" w:rsidRPr="00D0415B" w:rsidRDefault="00E37D6B" w:rsidP="00D5796F">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Tobacco variety Burley,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Virginia BT,  and Virginia were grown from seeds in Styrofoam trays with 2.5 × 2.5 cm cells containing a commercial potting mix and maintained in a greenhouse. After one-month seedlings were transplanted into the field and were cultivated. Each plot in the field consisted of a single row which was 3 × 2 m. The seedlings were planted at 46-cm spacing with 9 plants in a plot, and 1-m alleys were maintained between plots. A randomized complete block design was employed with five replications in the field of </w:t>
      </w:r>
      <w:proofErr w:type="spellStart"/>
      <w:r w:rsidRPr="00D0415B">
        <w:rPr>
          <w:rFonts w:asciiTheme="majorBidi" w:eastAsia="Calibri" w:hAnsiTheme="majorBidi" w:cstheme="majorBidi"/>
          <w:sz w:val="20"/>
          <w:szCs w:val="20"/>
        </w:rPr>
        <w:t>Tarbiat</w:t>
      </w:r>
      <w:proofErr w:type="spellEnd"/>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Modares</w:t>
      </w:r>
      <w:proofErr w:type="spellEnd"/>
      <w:r w:rsidRPr="00D0415B">
        <w:rPr>
          <w:rFonts w:asciiTheme="majorBidi" w:eastAsia="Calibri" w:hAnsiTheme="majorBidi" w:cstheme="majorBidi"/>
          <w:sz w:val="20"/>
          <w:szCs w:val="20"/>
        </w:rPr>
        <w:t xml:space="preserve"> University (TMU), Tehran, Iran (latitude 35◦44′ 27.227’’N, longitude 51◦9′ 56.737’’E, 1273 m above sea level) in spring of 2022 and 2023. Weeds were removed consecutively, and irrigation was conducted twice a week</w:t>
      </w:r>
      <w:r w:rsidR="00BD08F9" w:rsidRPr="00D0415B">
        <w:rPr>
          <w:rFonts w:asciiTheme="majorBidi" w:eastAsia="Calibri" w:hAnsiTheme="majorBidi" w:cstheme="majorBidi"/>
          <w:sz w:val="20"/>
          <w:szCs w:val="20"/>
        </w:rPr>
        <w:t xml:space="preserve"> (</w:t>
      </w:r>
      <w:r w:rsidR="007264EB" w:rsidRPr="00D0415B">
        <w:rPr>
          <w:rFonts w:asciiTheme="majorBidi" w:eastAsia="Calibri" w:hAnsiTheme="majorBidi" w:cstheme="majorBidi"/>
          <w:sz w:val="20"/>
          <w:szCs w:val="20"/>
        </w:rPr>
        <w:t xml:space="preserve">Figure </w:t>
      </w:r>
      <w:r w:rsidR="00D5796F" w:rsidRPr="00D0415B">
        <w:rPr>
          <w:rFonts w:asciiTheme="majorBidi" w:eastAsia="Calibri" w:hAnsiTheme="majorBidi" w:cstheme="majorBidi"/>
          <w:sz w:val="20"/>
          <w:szCs w:val="20"/>
        </w:rPr>
        <w:t>10</w:t>
      </w:r>
      <w:r w:rsidR="00BD08F9" w:rsidRPr="00D0415B">
        <w:rPr>
          <w:rFonts w:asciiTheme="majorBidi" w:eastAsia="Calibri" w:hAnsiTheme="majorBidi" w:cstheme="majorBidi"/>
          <w:sz w:val="20"/>
          <w:szCs w:val="20"/>
        </w:rPr>
        <w:t>).</w:t>
      </w:r>
    </w:p>
    <w:p w14:paraId="4A44E609" w14:textId="2740E142" w:rsidR="00C67B23" w:rsidRPr="00D0415B" w:rsidRDefault="00E37D6B" w:rsidP="00541756">
      <w:pPr>
        <w:pStyle w:val="Default"/>
        <w:spacing w:line="360" w:lineRule="auto"/>
        <w:jc w:val="both"/>
        <w:rPr>
          <w:b/>
          <w:bCs/>
          <w:rtl/>
        </w:rPr>
      </w:pPr>
      <w:r w:rsidRPr="00D0415B">
        <w:rPr>
          <w:rFonts w:asciiTheme="majorBidi" w:eastAsia="Calibri" w:hAnsiTheme="majorBidi" w:cstheme="majorBidi"/>
          <w:b/>
          <w:bCs/>
          <w:color w:val="auto"/>
          <w:sz w:val="20"/>
          <w:szCs w:val="20"/>
        </w:rPr>
        <w:t>Treatments application</w:t>
      </w:r>
    </w:p>
    <w:p w14:paraId="7469E8DD" w14:textId="042C69C3" w:rsidR="0021603B" w:rsidRPr="00D0415B" w:rsidRDefault="00E37D6B"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Each of the twelve treatments was replicated three times. The treatments include two forms of nitrogen: Ammonium nitrate (NH₄NO₃) and Urea (CH₄N₂O) in two levels including values 2 % and 4 % and three amino acids consist of Arginine, Ornithine and Aspartic acid in two levels including values 1 and 2 mg/lit along with an equal concentration of combination of three amino acids. The solutions were sprayed by a hand-pump sprayer and made sure each piece of leaf was evenly wet.</w:t>
      </w:r>
    </w:p>
    <w:p w14:paraId="7F87C066" w14:textId="24200760" w:rsidR="008C753F" w:rsidRPr="00D0415B" w:rsidRDefault="00E37D6B" w:rsidP="0094472A">
      <w:pPr>
        <w:pStyle w:val="Default"/>
        <w:spacing w:line="360" w:lineRule="auto"/>
        <w:jc w:val="both"/>
        <w:rPr>
          <w:b/>
          <w:bCs/>
        </w:rPr>
      </w:pPr>
      <w:r w:rsidRPr="00D0415B">
        <w:rPr>
          <w:rFonts w:asciiTheme="majorBidi" w:eastAsia="Calibri" w:hAnsiTheme="majorBidi" w:cstheme="majorBidi"/>
          <w:b/>
          <w:bCs/>
          <w:color w:val="auto"/>
          <w:sz w:val="20"/>
          <w:szCs w:val="20"/>
        </w:rPr>
        <w:t>Morphological and physiological features</w:t>
      </w:r>
    </w:p>
    <w:p w14:paraId="681077AB" w14:textId="544025E0" w:rsidR="00E37D6B" w:rsidRPr="00D0415B" w:rsidRDefault="00E37D6B"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For study the morphological characteristics between different samples, traits such as leaf length (LL), leaf width (LW), stem height (SH), number of leaves (LN), leaf fresh weight (FW) and leaf dry weight (DW) had been measured. Morphological traits were measured under the same conditions and for this research, were used leaf area meter, ruler and balance</w:t>
      </w:r>
      <w:r w:rsidR="008E1535" w:rsidRPr="00D0415B">
        <w:rPr>
          <w:rFonts w:asciiTheme="majorBidi" w:eastAsia="Calibri" w:hAnsiTheme="majorBidi" w:cstheme="majorBidi"/>
          <w:sz w:val="20"/>
          <w:szCs w:val="20"/>
        </w:rPr>
        <w:t xml:space="preserve"> </w:t>
      </w:r>
      <w:hyperlink w:anchor="_ENREF_48" w:tooltip="Partap, 2019 #165"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&lt;EndNote&gt;&lt;Cite&gt;&lt;Author&gt;Partap&lt;/Author&gt;&lt;Year&gt;2019&lt;/Year&gt;&lt;RecNum&gt;165&lt;/RecNum&gt;&lt;DisplayText&gt;&lt;style face="superscript"&gt;48&lt;/style&gt;&lt;/DisplayText&gt;&lt;record&gt;&lt;rec-number&gt;165&lt;/rec-number&gt;&lt;foreign-keys&gt;&lt;key app="EN" db-id="vp9wwrtfldxaf5eefrnx2w052tptpvpzzrr2"&gt;165&lt;/key&gt;&lt;/foreign-keys&gt;&lt;ref-type name="Journal Article"&gt;17&lt;/ref-type&gt;&lt;contributors&gt;&lt;authors&gt;&lt;author&gt;Partap, Mahinder&lt;/author&gt;&lt;author&gt;Gupta, Raghbir Chand&lt;/author&gt;&lt;author&gt;Pradhan, Saroj Kumar&lt;/author&gt;&lt;/authors&gt;&lt;/contributors&gt;&lt;titles&gt;&lt;title&gt;Comparative analysis of morphology and phytochemical constituents in different populations and morphotypes of Datura innoxia Mill. and Datura metel L. from Punjab plains&lt;/title&gt;&lt;secondary-title&gt;Asian J Pharm Clin Res&lt;/secondary-title&gt;&lt;/titles&gt;&lt;periodical&gt;&lt;full-title&gt;Asian J Pharm Clin Res&lt;/full-title&gt;&lt;/periodical&gt;&lt;pages&gt;193-199&lt;/pages&gt;&lt;volume&gt;12&lt;/volume&gt;&lt;number&gt;1&lt;/number&gt;&lt;dates&gt;&lt;year&gt;2019&lt;/year&gt;&lt;/dates&gt;&lt;urls&gt;&lt;/urls&gt;&lt;/record&gt;&lt;/Cite&gt;&lt;/EndNote&gt;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48</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The SPAD CCM-200 Chlorophyll Meter was used in order to determine chlorophyll content (Jiang et al., 2022). Also, the yield (Y) of tobacco was calculated for first and second years</w:t>
      </w:r>
      <w:r w:rsidR="008E1535" w:rsidRPr="00D0415B">
        <w:rPr>
          <w:rFonts w:asciiTheme="majorBidi" w:eastAsia="Calibri" w:hAnsiTheme="majorBidi" w:cstheme="majorBidi"/>
          <w:sz w:val="20"/>
          <w:szCs w:val="20"/>
        </w:rPr>
        <w:t xml:space="preserve"> </w:t>
      </w:r>
      <w:hyperlink w:anchor="_ENREF_49" w:tooltip="Berbeć, 2020 #1190"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&lt;EndNote&gt;&lt;Cite&gt;&lt;Author&gt;Berbeć&lt;/Author&gt;&lt;Year&gt;2020&lt;/Year&gt;&lt;RecNum&gt;1190&lt;/RecNum&gt;&lt;DisplayText&gt;&lt;style face="superscript"&gt;49&lt;/style&gt;&lt;/DisplayText&gt;&lt;record&gt;&lt;rec-number&gt;1190&lt;/rec-number&gt;&lt;foreign-keys&gt;&lt;key app="EN" db-id="vp9wwrtfldxaf5eefrnx2w052tptpvpzzrr2"&gt;1190&lt;/key&gt;&lt;/foreign-keys&gt;&lt;ref-type name="Journal Article"&gt;17&lt;/ref-type&gt;&lt;contributors&gt;&lt;authors&gt;&lt;author&gt;Berbeć, Adam Kleofas&lt;/author&gt;&lt;author&gt;Matyka, Mariusz&lt;/author&gt;&lt;/authors&gt;&lt;/contributors&gt;&lt;titles&gt;&lt;title&gt;Biomass characteristics and energy yields of tobacco (Nicotiana tabacum L.) cultivated in eastern Poland&lt;/title&gt;&lt;secondary-title&gt;Agriculture&lt;/secondary-title&gt;&lt;/titles&gt;&lt;periodical&gt;&lt;full-title&gt;Agriculture&lt;/full-title&gt;&lt;/periodical&gt;&lt;pages&gt;551&lt;/pages&gt;&lt;volume&gt;10&lt;/volume&gt;&lt;number&gt;11&lt;/number&gt;&lt;dates&gt;&lt;year&gt;2020&lt;/year&gt;&lt;/dates&gt;&lt;isbn&gt;2077-0472&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49</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w:t>
      </w:r>
    </w:p>
    <w:p w14:paraId="15ED0D62" w14:textId="1FCB04C2" w:rsidR="00B65D94" w:rsidRPr="00D0415B" w:rsidRDefault="00E37D6B"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Extraction of pigments was carried out in stoppered tubes. Fresh leaves of samples were prepared with a laboratory homogenizer using about 1 g fresh material. Three extraction solutions were used for each sample 90% aqueous </w:t>
      </w:r>
      <w:r w:rsidRPr="00D0415B">
        <w:rPr>
          <w:rFonts w:asciiTheme="majorBidi" w:eastAsia="Calibri" w:hAnsiTheme="majorBidi" w:cstheme="majorBidi"/>
          <w:sz w:val="20"/>
          <w:szCs w:val="20"/>
        </w:rPr>
        <w:lastRenderedPageBreak/>
        <w:t>methanol solution. Homogenized mixture is separated by centrifugation at 3000 rpm, for 15 minutes. The analytical determination was performed with spectrophotometer at the following wavelengths: 645, 653, 662 and 664 nm, for chlorophyll a and b (according to each extraction solvent) and 470 nm for carotenoid</w:t>
      </w:r>
      <w:r w:rsidR="008E1535" w:rsidRPr="00D0415B">
        <w:rPr>
          <w:rFonts w:asciiTheme="majorBidi" w:eastAsia="Calibri" w:hAnsiTheme="majorBidi" w:cstheme="majorBidi"/>
          <w:sz w:val="20"/>
          <w:szCs w:val="20"/>
        </w:rPr>
        <w:t xml:space="preserve"> </w:t>
      </w:r>
      <w:hyperlink w:anchor="_ENREF_50" w:tooltip="Costache, 2012 #102"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&lt;EndNote&gt;&lt;Cite&gt;&lt;Author&gt;Costache&lt;/Author&gt;&lt;Year&gt;2012&lt;/Year&gt;&lt;RecNum&gt;102&lt;/RecNum&gt;&lt;DisplayText&gt;&lt;style face="superscript"&gt;50&lt;/style&gt;&lt;/DisplayText&gt;&lt;record&gt;&lt;rec-number&gt;102&lt;/rec-number&gt;&lt;foreign-keys&gt;&lt;key app="EN" db-id="vp9wwrtfldxaf5eefrnx2w052tptpvpzzrr2"&gt;102&lt;/key&gt;&lt;/foreign-keys&gt;&lt;ref-type name="Journal Article"&gt;17&lt;/ref-type&gt;&lt;contributors&gt;&lt;authors&gt;&lt;author&gt;Costache, Manuela Adriana&lt;/author&gt;&lt;author&gt;Campeanu, GHEORGHE&lt;/author&gt;&lt;author&gt;Neata, Gabriela&lt;/author&gt;&lt;/authors&gt;&lt;/contributors&gt;&lt;titles&gt;&lt;title&gt;Studies concerning the extraction of chlorophyll and total carotenoids from vegetables&lt;/title&gt;&lt;secondary-title&gt;Romanian Biotechnological Letters&lt;/secondary-title&gt;&lt;/titles&gt;&lt;periodical&gt;&lt;full-title&gt;Romanian Biotechnological Letters&lt;/full-title&gt;&lt;/periodical&gt;&lt;pages&gt;7702-7708&lt;/pages&gt;&lt;volume&gt;17&lt;/volume&gt;&lt;number&gt;5&lt;/number&gt;&lt;dates&gt;&lt;year&gt;2012&lt;/year&gt;&lt;/dates&gt;&lt;isbn&gt;1224-5984&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50</w:t>
        </w:r>
        <w:r w:rsidR="00596AE2" w:rsidRPr="00D0415B">
          <w:rPr>
            <w:rFonts w:asciiTheme="majorBidi" w:eastAsia="Calibri" w:hAnsiTheme="majorBidi" w:cstheme="majorBidi"/>
            <w:sz w:val="20"/>
            <w:szCs w:val="20"/>
          </w:rPr>
          <w:fldChar w:fldCharType="end"/>
        </w:r>
      </w:hyperlink>
      <w:r w:rsidR="008E1535" w:rsidRPr="00D0415B">
        <w:rPr>
          <w:rFonts w:asciiTheme="majorBidi" w:eastAsia="Calibri" w:hAnsiTheme="majorBidi" w:cstheme="majorBidi"/>
          <w:sz w:val="20"/>
          <w:szCs w:val="20"/>
        </w:rPr>
        <w:t>.</w:t>
      </w:r>
    </w:p>
    <w:p w14:paraId="702B0B6B" w14:textId="7708C1F1" w:rsidR="008C753F" w:rsidRPr="00D0415B" w:rsidRDefault="00E37D6B" w:rsidP="0094472A">
      <w:pPr>
        <w:pStyle w:val="Default"/>
        <w:spacing w:line="360" w:lineRule="auto"/>
        <w:jc w:val="both"/>
        <w:rPr>
          <w:b/>
          <w:bCs/>
        </w:rPr>
      </w:pPr>
      <w:r w:rsidRPr="00D0415B">
        <w:rPr>
          <w:rFonts w:asciiTheme="majorBidi" w:eastAsia="Calibri" w:hAnsiTheme="majorBidi" w:cstheme="majorBidi"/>
          <w:b/>
          <w:bCs/>
          <w:color w:val="auto"/>
          <w:sz w:val="20"/>
          <w:szCs w:val="20"/>
        </w:rPr>
        <w:t>Essential oil content (EOs content)</w:t>
      </w:r>
    </w:p>
    <w:p w14:paraId="3E6208D3" w14:textId="59284D1E" w:rsidR="00B65D94" w:rsidRPr="00D0415B" w:rsidRDefault="00E37D6B"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For determination of essential oil, 50 g of dried leaves of </w:t>
      </w:r>
      <w:proofErr w:type="spellStart"/>
      <w:r w:rsidRPr="00D0415B">
        <w:rPr>
          <w:rFonts w:asciiTheme="majorBidi" w:eastAsia="Calibri" w:hAnsiTheme="majorBidi" w:cstheme="majorBidi"/>
          <w:i/>
          <w:iCs/>
          <w:sz w:val="20"/>
          <w:szCs w:val="20"/>
        </w:rPr>
        <w:t>Nicotiana</w:t>
      </w:r>
      <w:proofErr w:type="spellEnd"/>
      <w:r w:rsidRPr="00D0415B">
        <w:rPr>
          <w:rFonts w:asciiTheme="majorBidi" w:eastAsia="Calibri" w:hAnsiTheme="majorBidi" w:cstheme="majorBidi"/>
          <w:i/>
          <w:iCs/>
          <w:sz w:val="20"/>
          <w:szCs w:val="20"/>
        </w:rPr>
        <w:t xml:space="preserve"> </w:t>
      </w:r>
      <w:proofErr w:type="spellStart"/>
      <w:r w:rsidRPr="00D0415B">
        <w:rPr>
          <w:rFonts w:asciiTheme="majorBidi" w:eastAsia="Calibri" w:hAnsiTheme="majorBidi" w:cstheme="majorBidi"/>
          <w:i/>
          <w:iCs/>
          <w:sz w:val="20"/>
          <w:szCs w:val="20"/>
        </w:rPr>
        <w:t>tabacum</w:t>
      </w:r>
      <w:proofErr w:type="spellEnd"/>
      <w:r w:rsidRPr="00D0415B">
        <w:rPr>
          <w:rFonts w:asciiTheme="majorBidi" w:eastAsia="Calibri" w:hAnsiTheme="majorBidi" w:cstheme="majorBidi"/>
          <w:sz w:val="20"/>
          <w:szCs w:val="20"/>
        </w:rPr>
        <w:t xml:space="preserve"> were extracted by </w:t>
      </w:r>
      <w:proofErr w:type="spellStart"/>
      <w:r w:rsidRPr="00D0415B">
        <w:rPr>
          <w:rFonts w:asciiTheme="majorBidi" w:eastAsia="Calibri" w:hAnsiTheme="majorBidi" w:cstheme="majorBidi"/>
          <w:sz w:val="20"/>
          <w:szCs w:val="20"/>
        </w:rPr>
        <w:t>hydrodistillation</w:t>
      </w:r>
      <w:proofErr w:type="spellEnd"/>
      <w:r w:rsidRPr="00D0415B">
        <w:rPr>
          <w:rFonts w:asciiTheme="majorBidi" w:eastAsia="Calibri" w:hAnsiTheme="majorBidi" w:cstheme="majorBidi"/>
          <w:sz w:val="20"/>
          <w:szCs w:val="20"/>
        </w:rPr>
        <w:t xml:space="preserve"> method using a Clevenger-type for 3 h. EOs content was calculated in percentage (w/w) per air-dried </w:t>
      </w:r>
      <w:r w:rsidR="00FA59E7" w:rsidRPr="00D0415B">
        <w:rPr>
          <w:rFonts w:asciiTheme="majorBidi" w:eastAsia="Calibri" w:hAnsiTheme="majorBidi" w:cstheme="majorBidi"/>
          <w:sz w:val="20"/>
          <w:szCs w:val="20"/>
        </w:rPr>
        <w:t xml:space="preserve">material </w:t>
      </w:r>
      <w:hyperlink w:anchor="_ENREF_51" w:tooltip="Norani, 2023 #1175"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&lt;EndNote&gt;&lt;Cite&gt;&lt;Author&gt;Norani&lt;/Author&gt;&lt;Year&gt;2023&lt;/Year&gt;&lt;RecNum&gt;1175&lt;/RecNum&gt;&lt;DisplayText&gt;&lt;style face="superscript"&gt;51&lt;/style&gt;&lt;/DisplayText&gt;&lt;record&gt;&lt;rec-number&gt;1175&lt;/rec-number&gt;&lt;foreign-keys&gt;&lt;key app="EN" db-id="vp9wwrtfldxaf5eefrnx2w052tptpvpzzrr2"&gt;1175&lt;/key&gt;&lt;/foreign-keys&gt;&lt;ref-type name="Journal Article"&gt;17&lt;/ref-type&gt;&lt;contributors&gt;&lt;authors&gt;&lt;author&gt;Norani, M&lt;/author&gt;&lt;author&gt;Crowford, A&lt;/author&gt;&lt;author&gt;Tahamtani, Y&lt;/author&gt;&lt;author&gt;Ebadi, MT&lt;/author&gt;&lt;author&gt;Ayyari, M&lt;/author&gt;&lt;/authors&gt;&lt;/contributors&gt;&lt;titles&gt;&lt;title&gt;Extraction and Essential Oils Profiling of Different Dorema ammoniacum D. Don. Organs and Evaluation of Antioxidant Capacity&lt;/title&gt;&lt;secondary-title&gt;Journal of Agricultural Science and Technology&lt;/secondary-title&gt;&lt;/titles&gt;&lt;periodical&gt;&lt;full-title&gt;Journal of Agricultural Science and Technology&lt;/full-title&gt;&lt;/periodical&gt;&lt;pages&gt;701-717&lt;/pages&gt;&lt;volume&gt;25&lt;/volume&gt;&lt;number&gt;3&lt;/number&gt;&lt;dates&gt;&lt;year&gt;2023&lt;/year&gt;&lt;/dates&gt;&lt;urls&gt;&lt;/urls&gt;&lt;/record&gt;&lt;/Cite&gt;&lt;/EndNote&gt;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51</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w:t>
      </w:r>
    </w:p>
    <w:p w14:paraId="64B2ED91" w14:textId="39D29F37" w:rsidR="008C753F" w:rsidRPr="00D0415B" w:rsidRDefault="00E37D6B" w:rsidP="0094472A">
      <w:pPr>
        <w:pStyle w:val="Default"/>
        <w:spacing w:line="360" w:lineRule="auto"/>
        <w:jc w:val="both"/>
        <w:rPr>
          <w:b/>
          <w:bCs/>
        </w:rPr>
      </w:pPr>
      <w:r w:rsidRPr="00D0415B">
        <w:rPr>
          <w:rFonts w:asciiTheme="majorBidi" w:eastAsia="Calibri" w:hAnsiTheme="majorBidi" w:cstheme="majorBidi"/>
          <w:b/>
          <w:bCs/>
          <w:color w:val="auto"/>
          <w:sz w:val="20"/>
          <w:szCs w:val="20"/>
        </w:rPr>
        <w:t>Extraction Methodology</w:t>
      </w:r>
    </w:p>
    <w:p w14:paraId="3F50C7E4" w14:textId="20E16DA8" w:rsidR="0081319D" w:rsidRPr="00D0415B" w:rsidRDefault="00E37D6B"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Thirty grams of plant material, previously ground using a laboratory mill were (model: AG 500 g) mixed with 250 mL of 80% methanol. The mixture was subjected to ultrasonic extraction for 60 minutes using an ultrasonic bath (WUC-A03H, </w:t>
      </w:r>
      <w:proofErr w:type="spellStart"/>
      <w:r w:rsidRPr="00D0415B">
        <w:rPr>
          <w:rFonts w:asciiTheme="majorBidi" w:eastAsia="Calibri" w:hAnsiTheme="majorBidi" w:cstheme="majorBidi"/>
          <w:sz w:val="20"/>
          <w:szCs w:val="20"/>
        </w:rPr>
        <w:t>Witeg</w:t>
      </w:r>
      <w:proofErr w:type="spellEnd"/>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Labortechnik</w:t>
      </w:r>
      <w:proofErr w:type="spellEnd"/>
      <w:r w:rsidRPr="00D0415B">
        <w:rPr>
          <w:rFonts w:asciiTheme="majorBidi" w:eastAsia="Calibri" w:hAnsiTheme="majorBidi" w:cstheme="majorBidi"/>
          <w:sz w:val="20"/>
          <w:szCs w:val="20"/>
        </w:rPr>
        <w:t xml:space="preserve">, </w:t>
      </w:r>
      <w:r w:rsidR="00FA59E7" w:rsidRPr="00D0415B">
        <w:rPr>
          <w:rFonts w:asciiTheme="majorBidi" w:eastAsia="Calibri" w:hAnsiTheme="majorBidi" w:cstheme="majorBidi"/>
          <w:sz w:val="20"/>
          <w:szCs w:val="20"/>
        </w:rPr>
        <w:t>and Wertheim</w:t>
      </w:r>
      <w:r w:rsidRPr="00D0415B">
        <w:rPr>
          <w:rFonts w:asciiTheme="majorBidi" w:eastAsia="Calibri" w:hAnsiTheme="majorBidi" w:cstheme="majorBidi"/>
          <w:sz w:val="20"/>
          <w:szCs w:val="20"/>
        </w:rPr>
        <w:t xml:space="preserve">, Germany). The extract was kept protected from light, filtered through </w:t>
      </w:r>
      <w:proofErr w:type="spellStart"/>
      <w:r w:rsidRPr="00D0415B">
        <w:rPr>
          <w:rFonts w:asciiTheme="majorBidi" w:eastAsia="Calibri" w:hAnsiTheme="majorBidi" w:cstheme="majorBidi"/>
          <w:sz w:val="20"/>
          <w:szCs w:val="20"/>
        </w:rPr>
        <w:t>Whatman</w:t>
      </w:r>
      <w:proofErr w:type="spellEnd"/>
      <w:r w:rsidRPr="00D0415B">
        <w:rPr>
          <w:rFonts w:asciiTheme="majorBidi" w:eastAsia="Calibri" w:hAnsiTheme="majorBidi" w:cstheme="majorBidi"/>
          <w:sz w:val="20"/>
          <w:szCs w:val="20"/>
        </w:rPr>
        <w:t xml:space="preserve"> No. 4 filter paper and concentrated using a vacuum evaporator at a maximum temperature of 40 °C. The resulting thick extract was transferred to Petri dishes and dried in a vacuum desiccator until a constant weight was achieved. Finally, the dried extract was re-dissolved in 80% </w:t>
      </w:r>
      <w:proofErr w:type="spellStart"/>
      <w:r w:rsidRPr="00D0415B">
        <w:rPr>
          <w:rFonts w:asciiTheme="majorBidi" w:eastAsia="Calibri" w:hAnsiTheme="majorBidi" w:cstheme="majorBidi"/>
          <w:sz w:val="20"/>
          <w:szCs w:val="20"/>
        </w:rPr>
        <w:t>mthanol</w:t>
      </w:r>
      <w:proofErr w:type="spellEnd"/>
      <w:r w:rsidRPr="00D0415B">
        <w:rPr>
          <w:rFonts w:asciiTheme="majorBidi" w:eastAsia="Calibri" w:hAnsiTheme="majorBidi" w:cstheme="majorBidi"/>
          <w:sz w:val="20"/>
          <w:szCs w:val="20"/>
        </w:rPr>
        <w:t xml:space="preserve"> for subsequent analyses. Extracts were filtered using filter paper and used for antioxidant capacity, total </w:t>
      </w:r>
      <w:proofErr w:type="spellStart"/>
      <w:r w:rsidRPr="00D0415B">
        <w:rPr>
          <w:rFonts w:asciiTheme="majorBidi" w:eastAsia="Calibri" w:hAnsiTheme="majorBidi" w:cstheme="majorBidi"/>
          <w:sz w:val="20"/>
          <w:szCs w:val="20"/>
        </w:rPr>
        <w:t>phenolics</w:t>
      </w:r>
      <w:proofErr w:type="spellEnd"/>
      <w:r w:rsidRPr="00D0415B">
        <w:rPr>
          <w:rFonts w:asciiTheme="majorBidi" w:eastAsia="Calibri" w:hAnsiTheme="majorBidi" w:cstheme="majorBidi"/>
          <w:sz w:val="20"/>
          <w:szCs w:val="20"/>
        </w:rPr>
        <w:t xml:space="preserve"> and flavonoids.</w:t>
      </w:r>
    </w:p>
    <w:p w14:paraId="4694D707" w14:textId="1E01F259" w:rsidR="008C753F" w:rsidRPr="00D0415B" w:rsidRDefault="00E37D6B" w:rsidP="0094472A">
      <w:pPr>
        <w:pStyle w:val="Default"/>
        <w:spacing w:line="360" w:lineRule="auto"/>
        <w:jc w:val="both"/>
        <w:rPr>
          <w:b/>
          <w:bCs/>
        </w:rPr>
      </w:pPr>
      <w:r w:rsidRPr="00D0415B">
        <w:rPr>
          <w:rFonts w:asciiTheme="majorBidi" w:eastAsia="Calibri" w:hAnsiTheme="majorBidi" w:cstheme="majorBidi"/>
          <w:b/>
          <w:bCs/>
          <w:color w:val="auto"/>
          <w:sz w:val="20"/>
          <w:szCs w:val="20"/>
        </w:rPr>
        <w:t xml:space="preserve">Quantification of Total </w:t>
      </w:r>
      <w:proofErr w:type="spellStart"/>
      <w:r w:rsidRPr="00D0415B">
        <w:rPr>
          <w:rFonts w:asciiTheme="majorBidi" w:eastAsia="Calibri" w:hAnsiTheme="majorBidi" w:cstheme="majorBidi"/>
          <w:b/>
          <w:bCs/>
          <w:color w:val="auto"/>
          <w:sz w:val="20"/>
          <w:szCs w:val="20"/>
        </w:rPr>
        <w:t>Phenolics</w:t>
      </w:r>
      <w:proofErr w:type="spellEnd"/>
      <w:r w:rsidRPr="00D0415B">
        <w:rPr>
          <w:rFonts w:asciiTheme="majorBidi" w:eastAsia="Calibri" w:hAnsiTheme="majorBidi" w:cstheme="majorBidi"/>
          <w:b/>
          <w:bCs/>
          <w:color w:val="auto"/>
          <w:sz w:val="20"/>
          <w:szCs w:val="20"/>
        </w:rPr>
        <w:t xml:space="preserve"> and Flavonoids</w:t>
      </w:r>
    </w:p>
    <w:p w14:paraId="570A068D" w14:textId="14A37797" w:rsidR="00B65D94" w:rsidRPr="00D0415B" w:rsidRDefault="00E37D6B"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total phenolic content (TPC) of the extract was measured by a </w:t>
      </w:r>
      <w:proofErr w:type="spellStart"/>
      <w:r w:rsidRPr="00D0415B">
        <w:rPr>
          <w:rFonts w:asciiTheme="majorBidi" w:eastAsia="Calibri" w:hAnsiTheme="majorBidi" w:cstheme="majorBidi"/>
          <w:sz w:val="20"/>
          <w:szCs w:val="20"/>
        </w:rPr>
        <w:t>Folin-Ciocalteu</w:t>
      </w:r>
      <w:proofErr w:type="spellEnd"/>
      <w:r w:rsidRPr="00D0415B">
        <w:rPr>
          <w:rFonts w:asciiTheme="majorBidi" w:eastAsia="Calibri" w:hAnsiTheme="majorBidi" w:cstheme="majorBidi"/>
          <w:sz w:val="20"/>
          <w:szCs w:val="20"/>
        </w:rPr>
        <w:t xml:space="preserve"> a</w:t>
      </w:r>
      <w:r w:rsidR="00FA59E7" w:rsidRPr="00D0415B">
        <w:rPr>
          <w:rFonts w:asciiTheme="majorBidi" w:eastAsia="Calibri" w:hAnsiTheme="majorBidi" w:cstheme="majorBidi"/>
          <w:sz w:val="20"/>
          <w:szCs w:val="20"/>
        </w:rPr>
        <w:t xml:space="preserve">ssay by partial modifications </w:t>
      </w:r>
      <w:hyperlink w:anchor="_ENREF_52" w:tooltip="Michiu, 2022 #1680"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&lt;EndNote&gt;&lt;Cite&gt;&lt;Author&gt;Michiu&lt;/Author&gt;&lt;Year&gt;2022&lt;/Year&gt;&lt;RecNum&gt;1680&lt;/RecNum&gt;&lt;DisplayText&gt;&lt;style face="superscript"&gt;52&lt;/style&gt;&lt;/DisplayText&gt;&lt;record&gt;&lt;rec-number&gt;1680&lt;/rec-number&gt;&lt;foreign-keys&gt;&lt;key app="EN" db-id="vp9wwrtfldxaf5eefrnx2w052tptpvpzzrr2"&gt;1680&lt;/key&gt;&lt;/foreign-keys&gt;&lt;ref-type name="Journal Article"&gt;17&lt;/ref-type&gt;&lt;contributors&gt;&lt;authors&gt;&lt;author&gt;Michiu, Delia&lt;/author&gt;&lt;author&gt;Socaciu, Maria-Ioana&lt;/author&gt;&lt;author&gt;Fogarasi, Melinda&lt;/author&gt;&lt;author&gt;Jimborean, Anamaria Mirela&lt;/author&gt;&lt;author&gt;Ranga, Floricuţa&lt;/author&gt;&lt;author&gt;Mureşan, Vlad&lt;/author&gt;&lt;author&gt;Semeniuc, Cristina Anamaria&lt;/author&gt;&lt;/authors&gt;&lt;/contributors&gt;&lt;titles&gt;&lt;title&gt;Implementation of an analytical method for spectrophotometric evaluation of total phenolic content in essential oils&lt;/title&gt;&lt;secondary-title&gt;Molecules&lt;/secondary-title&gt;&lt;/titles&gt;&lt;periodical&gt;&lt;full-title&gt;Molecules&lt;/full-title&gt;&lt;/periodical&gt;&lt;pages&gt;1345&lt;/pages&gt;&lt;volume&gt;27&lt;/volume&gt;&lt;number&gt;4&lt;/number&gt;&lt;dates&gt;&lt;year&gt;2022&lt;/year&gt;&lt;/dates&gt;&lt;isbn&gt;1420-3049&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52</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and expressed as mg of Gallic acid equivalents per gram of dry weight of extract (mg GAE/g DW </w:t>
      </w:r>
      <w:proofErr w:type="spellStart"/>
      <w:r w:rsidRPr="00D0415B">
        <w:rPr>
          <w:rFonts w:asciiTheme="majorBidi" w:eastAsia="Calibri" w:hAnsiTheme="majorBidi" w:cstheme="majorBidi"/>
          <w:sz w:val="20"/>
          <w:szCs w:val="20"/>
        </w:rPr>
        <w:t>ext</w:t>
      </w:r>
      <w:proofErr w:type="spellEnd"/>
      <w:r w:rsidRPr="00D0415B">
        <w:rPr>
          <w:rFonts w:asciiTheme="majorBidi" w:eastAsia="Calibri" w:hAnsiTheme="majorBidi" w:cstheme="majorBidi"/>
          <w:sz w:val="20"/>
          <w:szCs w:val="20"/>
        </w:rPr>
        <w:t xml:space="preserve">). The total flavonoid content (TFC) was determined by the </w:t>
      </w:r>
      <w:proofErr w:type="spellStart"/>
      <w:r w:rsidRPr="00D0415B">
        <w:rPr>
          <w:rFonts w:asciiTheme="majorBidi" w:eastAsia="Calibri" w:hAnsiTheme="majorBidi" w:cstheme="majorBidi"/>
          <w:sz w:val="20"/>
          <w:szCs w:val="20"/>
        </w:rPr>
        <w:t>aluminium</w:t>
      </w:r>
      <w:proofErr w:type="spellEnd"/>
      <w:r w:rsidRPr="00D0415B">
        <w:rPr>
          <w:rFonts w:asciiTheme="majorBidi" w:eastAsia="Calibri" w:hAnsiTheme="majorBidi" w:cstheme="majorBidi"/>
          <w:sz w:val="20"/>
          <w:szCs w:val="20"/>
        </w:rPr>
        <w:t xml:space="preserve"> </w:t>
      </w:r>
      <w:r w:rsidR="00FA59E7" w:rsidRPr="00D0415B">
        <w:rPr>
          <w:rFonts w:asciiTheme="majorBidi" w:eastAsia="Calibri" w:hAnsiTheme="majorBidi" w:cstheme="majorBidi"/>
          <w:sz w:val="20"/>
          <w:szCs w:val="20"/>
        </w:rPr>
        <w:t xml:space="preserve">chloride colorimetric method </w:t>
      </w:r>
      <w:hyperlink w:anchor="_ENREF_53" w:tooltip="Sultana, 2024 #1681"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&lt;EndNote&gt;&lt;Cite&gt;&lt;Author&gt;Sultana&lt;/Author&gt;&lt;Year&gt;2024&lt;/Year&gt;&lt;RecNum&gt;1681&lt;/RecNum&gt;&lt;DisplayText&gt;&lt;style face="superscript"&gt;53&lt;/style&gt;&lt;/DisplayText&gt;&lt;record&gt;&lt;rec-number&gt;1681&lt;/rec-number&gt;&lt;foreign-keys&gt;&lt;key app="EN" db-id="vp9wwrtfldxaf5eefrnx2w052tptpvpzzrr2"&gt;1681&lt;/key&gt;&lt;/foreign-keys&gt;&lt;ref-type name="Journal Article"&gt;17&lt;/ref-type&gt;&lt;contributors&gt;&lt;authors&gt;&lt;author&gt;Sultana, Sharmin&lt;/author&gt;&lt;author&gt;Lawag, Ivan Lozada&lt;/author&gt;&lt;author&gt;Lim, Lee Yong&lt;/author&gt;&lt;author&gt;Foster, Kevin J&lt;/author&gt;&lt;author&gt;Locher, Cornelia&lt;/author&gt;&lt;/authors&gt;&lt;/contributors&gt;&lt;titles&gt;&lt;title&gt;A Critical Exploration of the Total Flavonoid Content Assay for Honey&lt;/title&gt;&lt;secondary-title&gt;Methods and protocols&lt;/secondary-title&gt;&lt;/titles&gt;&lt;periodical&gt;&lt;full-title&gt;Methods and protocols&lt;/full-title&gt;&lt;/periodical&gt;&lt;pages&gt;95&lt;/pages&gt;&lt;volume&gt;7&lt;/volume&gt;&lt;number&gt;6&lt;/number&gt;&lt;dates&gt;&lt;year&gt;2024&lt;/year&gt;&lt;/dates&gt;&lt;isbn&gt;2409-9279&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53</w:t>
        </w:r>
        <w:r w:rsidR="00596AE2" w:rsidRPr="00D0415B">
          <w:rPr>
            <w:rFonts w:asciiTheme="majorBidi" w:eastAsia="Calibri" w:hAnsiTheme="majorBidi" w:cstheme="majorBidi"/>
            <w:sz w:val="20"/>
            <w:szCs w:val="20"/>
          </w:rPr>
          <w:fldChar w:fldCharType="end"/>
        </w:r>
      </w:hyperlink>
      <w:r w:rsidR="00FA59E7" w:rsidRPr="00D0415B">
        <w:rPr>
          <w:rFonts w:asciiTheme="majorBidi" w:eastAsia="Calibri" w:hAnsiTheme="majorBidi" w:cstheme="majorBidi"/>
          <w:sz w:val="20"/>
          <w:szCs w:val="20"/>
        </w:rPr>
        <w:t xml:space="preserve"> </w:t>
      </w:r>
      <w:r w:rsidRPr="00D0415B">
        <w:rPr>
          <w:rFonts w:asciiTheme="majorBidi" w:eastAsia="Calibri" w:hAnsiTheme="majorBidi" w:cstheme="majorBidi"/>
          <w:sz w:val="20"/>
          <w:szCs w:val="20"/>
        </w:rPr>
        <w:t xml:space="preserve">and expressed as mg of </w:t>
      </w:r>
      <w:proofErr w:type="spellStart"/>
      <w:r w:rsidRPr="00D0415B">
        <w:rPr>
          <w:rFonts w:asciiTheme="majorBidi" w:eastAsia="Calibri" w:hAnsiTheme="majorBidi" w:cstheme="majorBidi"/>
          <w:sz w:val="20"/>
          <w:szCs w:val="20"/>
        </w:rPr>
        <w:t>quercetin</w:t>
      </w:r>
      <w:proofErr w:type="spellEnd"/>
      <w:r w:rsidRPr="00D0415B">
        <w:rPr>
          <w:rFonts w:asciiTheme="majorBidi" w:eastAsia="Calibri" w:hAnsiTheme="majorBidi" w:cstheme="majorBidi"/>
          <w:sz w:val="20"/>
          <w:szCs w:val="20"/>
        </w:rPr>
        <w:t xml:space="preserve"> equivalents dry per gram dried weight of extract (mg QE/g DW Ext).</w:t>
      </w:r>
    </w:p>
    <w:p w14:paraId="3ACD8747" w14:textId="37B592E9" w:rsidR="008C753F" w:rsidRPr="00D0415B" w:rsidRDefault="00E37D6B" w:rsidP="0094472A">
      <w:pPr>
        <w:pStyle w:val="Default"/>
        <w:spacing w:line="360" w:lineRule="auto"/>
        <w:jc w:val="both"/>
        <w:rPr>
          <w:b/>
          <w:bCs/>
        </w:rPr>
      </w:pPr>
      <w:r w:rsidRPr="00D0415B">
        <w:rPr>
          <w:rFonts w:asciiTheme="majorBidi" w:eastAsia="Calibri" w:hAnsiTheme="majorBidi" w:cstheme="majorBidi"/>
          <w:b/>
          <w:bCs/>
          <w:color w:val="auto"/>
          <w:sz w:val="20"/>
          <w:szCs w:val="20"/>
        </w:rPr>
        <w:t>Antioxidant capacity (DPPH method)</w:t>
      </w:r>
    </w:p>
    <w:p w14:paraId="1A03AB26" w14:textId="472C7857" w:rsidR="00E37D6B" w:rsidRPr="00D0415B" w:rsidRDefault="00E37D6B"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The antioxidant activity (AA) of the </w:t>
      </w:r>
      <w:proofErr w:type="spellStart"/>
      <w:r w:rsidRPr="00D0415B">
        <w:rPr>
          <w:rFonts w:asciiTheme="majorBidi" w:eastAsia="Calibri" w:hAnsiTheme="majorBidi" w:cstheme="majorBidi"/>
          <w:sz w:val="20"/>
          <w:szCs w:val="20"/>
        </w:rPr>
        <w:t>methanolic</w:t>
      </w:r>
      <w:proofErr w:type="spellEnd"/>
      <w:r w:rsidRPr="00D0415B">
        <w:rPr>
          <w:rFonts w:asciiTheme="majorBidi" w:eastAsia="Calibri" w:hAnsiTheme="majorBidi" w:cstheme="majorBidi"/>
          <w:sz w:val="20"/>
          <w:szCs w:val="20"/>
        </w:rPr>
        <w:t xml:space="preserve"> extracts was assessed using the </w:t>
      </w:r>
      <w:r w:rsidR="00FA59E7" w:rsidRPr="00D0415B">
        <w:rPr>
          <w:rFonts w:asciiTheme="majorBidi" w:eastAsia="Calibri" w:hAnsiTheme="majorBidi" w:cstheme="majorBidi"/>
          <w:sz w:val="20"/>
          <w:szCs w:val="20"/>
        </w:rPr>
        <w:t xml:space="preserve">DPPH radical scavenging assay </w:t>
      </w:r>
      <w:hyperlink w:anchor="_ENREF_54" w:tooltip="Ibrahim, 2022 #1682"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&lt;EndNote&gt;&lt;Cite&gt;&lt;Author&gt;Ibrahim&lt;/Author&gt;&lt;Year&gt;2022&lt;/Year&gt;&lt;RecNum&gt;1682&lt;/RecNum&gt;&lt;DisplayText&gt;&lt;style face="superscript"&gt;54&lt;/style&gt;&lt;/DisplayText&gt;&lt;record&gt;&lt;rec-number&gt;1682&lt;/rec-number&gt;&lt;foreign-keys&gt;&lt;key app="EN" db-id="vp9wwrtfldxaf5eefrnx2w052tptpvpzzrr2"&gt;1682&lt;/key&gt;&lt;/foreign-keys&gt;&lt;ref-type name="Journal Article"&gt;17&lt;/ref-type&gt;&lt;contributors&gt;&lt;authors&gt;&lt;author&gt;Ibrahim, Eman A&lt;/author&gt;&lt;author&gt;Omran, Azza A&lt;/author&gt;&lt;author&gt;Salama, Zeinab A&lt;/author&gt;&lt;/authors&gt;&lt;/contributors&gt;&lt;titles&gt;&lt;title&gt;Evaluation of turkish delight prepared with pigments and essential oils extracted from clementine (Citrus clementine) peels as natural antioxidants&lt;/title&gt;&lt;secondary-title&gt;Baghdad Science Journal&lt;/secondary-title&gt;&lt;/titles&gt;&lt;periodical&gt;&lt;full-title&gt;Baghdad Science Journal&lt;/full-title&gt;&lt;/periodical&gt;&lt;pages&gt;9&lt;/pages&gt;&lt;volume&gt;19&lt;/volume&gt;&lt;number&gt;4&lt;/number&gt;&lt;dates&gt;&lt;year&gt;2022&lt;/year&gt;&lt;/dates&gt;&lt;isbn&gt;2411-7986&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54</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Absorbance was measured at 517 nm using a </w:t>
      </w:r>
      <w:proofErr w:type="spellStart"/>
      <w:r w:rsidRPr="00D0415B">
        <w:rPr>
          <w:rFonts w:asciiTheme="majorBidi" w:eastAsia="Calibri" w:hAnsiTheme="majorBidi" w:cstheme="majorBidi"/>
          <w:sz w:val="20"/>
          <w:szCs w:val="20"/>
        </w:rPr>
        <w:t>microplate</w:t>
      </w:r>
      <w:proofErr w:type="spellEnd"/>
      <w:r w:rsidRPr="00D0415B">
        <w:rPr>
          <w:rFonts w:asciiTheme="majorBidi" w:eastAsia="Calibri" w:hAnsiTheme="majorBidi" w:cstheme="majorBidi"/>
          <w:sz w:val="20"/>
          <w:szCs w:val="20"/>
        </w:rPr>
        <w:t xml:space="preserve"> reader (Epoch, </w:t>
      </w:r>
      <w:proofErr w:type="spellStart"/>
      <w:r w:rsidRPr="00D0415B">
        <w:rPr>
          <w:rFonts w:asciiTheme="majorBidi" w:eastAsia="Calibri" w:hAnsiTheme="majorBidi" w:cstheme="majorBidi"/>
          <w:sz w:val="20"/>
          <w:szCs w:val="20"/>
        </w:rPr>
        <w:t>BioTek</w:t>
      </w:r>
      <w:proofErr w:type="spellEnd"/>
      <w:r w:rsidRPr="00D0415B">
        <w:rPr>
          <w:rFonts w:asciiTheme="majorBidi" w:eastAsia="Calibri" w:hAnsiTheme="majorBidi" w:cstheme="majorBidi"/>
          <w:sz w:val="20"/>
          <w:szCs w:val="20"/>
        </w:rPr>
        <w:t>). Radical scavenging capacity (RSC) was calculated using the formula:</w:t>
      </w:r>
    </w:p>
    <w:p w14:paraId="19C98ABA" w14:textId="77777777" w:rsidR="00E37D6B" w:rsidRPr="00D0415B" w:rsidRDefault="00E37D6B"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Inhibition (%) = [(</w:t>
      </w:r>
      <w:proofErr w:type="spellStart"/>
      <w:r w:rsidRPr="00D0415B">
        <w:rPr>
          <w:rFonts w:asciiTheme="majorBidi" w:eastAsia="Calibri" w:hAnsiTheme="majorBidi" w:cstheme="majorBidi"/>
          <w:sz w:val="20"/>
          <w:szCs w:val="20"/>
        </w:rPr>
        <w:t>Ab</w:t>
      </w:r>
      <w:proofErr w:type="spellEnd"/>
      <w:r w:rsidRPr="00D0415B">
        <w:rPr>
          <w:rFonts w:asciiTheme="majorBidi" w:eastAsia="Calibri" w:hAnsiTheme="majorBidi" w:cstheme="majorBidi"/>
          <w:sz w:val="20"/>
          <w:szCs w:val="20"/>
        </w:rPr>
        <w:t xml:space="preserve"> − As) / </w:t>
      </w:r>
      <w:proofErr w:type="spellStart"/>
      <w:r w:rsidRPr="00D0415B">
        <w:rPr>
          <w:rFonts w:asciiTheme="majorBidi" w:eastAsia="Calibri" w:hAnsiTheme="majorBidi" w:cstheme="majorBidi"/>
          <w:sz w:val="20"/>
          <w:szCs w:val="20"/>
        </w:rPr>
        <w:t>Ab</w:t>
      </w:r>
      <w:proofErr w:type="spellEnd"/>
      <w:r w:rsidRPr="00D0415B">
        <w:rPr>
          <w:rFonts w:asciiTheme="majorBidi" w:eastAsia="Calibri" w:hAnsiTheme="majorBidi" w:cstheme="majorBidi"/>
          <w:sz w:val="20"/>
          <w:szCs w:val="20"/>
        </w:rPr>
        <w:t>] × 100                                       (1)</w:t>
      </w:r>
    </w:p>
    <w:p w14:paraId="79CB7080" w14:textId="51A5126C" w:rsidR="00B65D94" w:rsidRPr="00D0415B" w:rsidRDefault="00E37D6B"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Where </w:t>
      </w:r>
      <w:proofErr w:type="spellStart"/>
      <w:r w:rsidRPr="00D0415B">
        <w:rPr>
          <w:rFonts w:asciiTheme="majorBidi" w:eastAsia="Calibri" w:hAnsiTheme="majorBidi" w:cstheme="majorBidi"/>
          <w:sz w:val="20"/>
          <w:szCs w:val="20"/>
        </w:rPr>
        <w:t>Ab</w:t>
      </w:r>
      <w:proofErr w:type="spellEnd"/>
      <w:r w:rsidRPr="00D0415B">
        <w:rPr>
          <w:rFonts w:asciiTheme="majorBidi" w:eastAsia="Calibri" w:hAnsiTheme="majorBidi" w:cstheme="majorBidi"/>
          <w:sz w:val="20"/>
          <w:szCs w:val="20"/>
        </w:rPr>
        <w:t xml:space="preserve"> is the absorbance of the blank and </w:t>
      </w:r>
      <w:proofErr w:type="gramStart"/>
      <w:r w:rsidRPr="00D0415B">
        <w:rPr>
          <w:rFonts w:asciiTheme="majorBidi" w:eastAsia="Calibri" w:hAnsiTheme="majorBidi" w:cstheme="majorBidi"/>
          <w:sz w:val="20"/>
          <w:szCs w:val="20"/>
        </w:rPr>
        <w:t>As</w:t>
      </w:r>
      <w:proofErr w:type="gramEnd"/>
      <w:r w:rsidRPr="00D0415B">
        <w:rPr>
          <w:rFonts w:asciiTheme="majorBidi" w:eastAsia="Calibri" w:hAnsiTheme="majorBidi" w:cstheme="majorBidi"/>
          <w:sz w:val="20"/>
          <w:szCs w:val="20"/>
        </w:rPr>
        <w:t xml:space="preserve"> is that of the sample. The IC₅₀ value, representing the concentration required to inhibit 50% of DPPH radicals, was determined from the dose response curve.</w:t>
      </w:r>
    </w:p>
    <w:p w14:paraId="20CF3D47" w14:textId="6385131B" w:rsidR="008C753F" w:rsidRPr="00D0415B" w:rsidRDefault="00E37D6B" w:rsidP="0094472A">
      <w:pPr>
        <w:pStyle w:val="Default"/>
        <w:spacing w:line="360" w:lineRule="auto"/>
        <w:jc w:val="both"/>
        <w:rPr>
          <w:b/>
          <w:bCs/>
        </w:rPr>
      </w:pPr>
      <w:r w:rsidRPr="00D0415B">
        <w:rPr>
          <w:rFonts w:asciiTheme="majorBidi" w:eastAsia="Calibri" w:hAnsiTheme="majorBidi" w:cstheme="majorBidi"/>
          <w:b/>
          <w:bCs/>
          <w:color w:val="auto"/>
          <w:sz w:val="20"/>
          <w:szCs w:val="20"/>
        </w:rPr>
        <w:t>Antioxidant capacity (FRAP method)</w:t>
      </w:r>
    </w:p>
    <w:p w14:paraId="496E9579" w14:textId="7A80EB96" w:rsidR="00742A64" w:rsidRPr="00D0415B" w:rsidRDefault="00E37D6B" w:rsidP="00596AE2">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The antioxidant capacity of the extracts was m</w:t>
      </w:r>
      <w:r w:rsidR="00BD08F9" w:rsidRPr="00D0415B">
        <w:rPr>
          <w:rFonts w:asciiTheme="majorBidi" w:eastAsia="Calibri" w:hAnsiTheme="majorBidi" w:cstheme="majorBidi"/>
          <w:sz w:val="20"/>
          <w:szCs w:val="20"/>
        </w:rPr>
        <w:t xml:space="preserve">easured using the FRAP method </w:t>
      </w:r>
      <w:hyperlink w:anchor="_ENREF_55" w:tooltip="Tomasina, 2012 #149"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&lt;EndNote&gt;&lt;Cite&gt;&lt;Author&gt;Tomasina&lt;/Author&gt;&lt;Year&gt;2012&lt;/Year&gt;&lt;RecNum&gt;149&lt;/RecNum&gt;&lt;DisplayText&gt;&lt;style face="superscript"&gt;55&lt;/style&gt;&lt;/DisplayText&gt;&lt;record&gt;&lt;rec-number&gt;149&lt;/rec-number&gt;&lt;foreign-keys&gt;&lt;key app="EN" db-id="vp9wwrtfldxaf5eefrnx2w052tptpvpzzrr2"&gt;149&lt;/key&gt;&lt;/foreign-keys&gt;&lt;ref-type name="Journal Article"&gt;17&lt;/ref-type&gt;&lt;contributors&gt;&lt;authors&gt;&lt;author&gt;Tomasina, Florencia&lt;/author&gt;&lt;author&gt;Carabio, Claudio&lt;/author&gt;&lt;author&gt;Celano, Laura&lt;/author&gt;&lt;author&gt;Thomson, Leonor&lt;/author&gt;&lt;/authors&gt;&lt;/contributors&gt;&lt;titles&gt;&lt;title&gt;Analysis of two methods to evaluate antioxidants&lt;/title&gt;&lt;secondary-title&gt;Biochemistry and Molecular Biology Education&lt;/secondary-title&gt;&lt;/titles&gt;&lt;periodical&gt;&lt;full-title&gt;Biochemistry and Molecular Biology Education&lt;/full-title&gt;&lt;/periodical&gt;&lt;pages&gt;266-270&lt;/pages&gt;&lt;volume&gt;40&lt;/volume&gt;&lt;number&gt;4&lt;/number&gt;&lt;dates&gt;&lt;year&gt;2012&lt;/year&gt;&lt;/dates&gt;&lt;isbn&gt;1470-8175&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55</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A mixture of 40 </w:t>
      </w:r>
      <w:proofErr w:type="spellStart"/>
      <w:r w:rsidRPr="00D0415B">
        <w:rPr>
          <w:rFonts w:asciiTheme="majorBidi" w:eastAsia="Calibri" w:hAnsiTheme="majorBidi" w:cstheme="majorBidi"/>
          <w:sz w:val="20"/>
          <w:szCs w:val="20"/>
        </w:rPr>
        <w:t>μL</w:t>
      </w:r>
      <w:proofErr w:type="spellEnd"/>
      <w:r w:rsidRPr="00D0415B">
        <w:rPr>
          <w:rFonts w:asciiTheme="majorBidi" w:eastAsia="Calibri" w:hAnsiTheme="majorBidi" w:cstheme="majorBidi"/>
          <w:sz w:val="20"/>
          <w:szCs w:val="20"/>
        </w:rPr>
        <w:t xml:space="preserve"> extract and 2.5 mL FRAP reagent was incubated at 37 °C for 30 minutes in the dark. Absorbance was read at 593 nm using a </w:t>
      </w:r>
      <w:proofErr w:type="spellStart"/>
      <w:r w:rsidRPr="00D0415B">
        <w:rPr>
          <w:rFonts w:asciiTheme="majorBidi" w:eastAsia="Calibri" w:hAnsiTheme="majorBidi" w:cstheme="majorBidi"/>
          <w:sz w:val="20"/>
          <w:szCs w:val="20"/>
        </w:rPr>
        <w:t>microplate</w:t>
      </w:r>
      <w:proofErr w:type="spellEnd"/>
      <w:r w:rsidRPr="00D0415B">
        <w:rPr>
          <w:rFonts w:asciiTheme="majorBidi" w:eastAsia="Calibri" w:hAnsiTheme="majorBidi" w:cstheme="majorBidi"/>
          <w:sz w:val="20"/>
          <w:szCs w:val="20"/>
        </w:rPr>
        <w:t xml:space="preserve"> reader (Epoch, </w:t>
      </w:r>
      <w:proofErr w:type="spellStart"/>
      <w:r w:rsidRPr="00D0415B">
        <w:rPr>
          <w:rFonts w:asciiTheme="majorBidi" w:eastAsia="Calibri" w:hAnsiTheme="majorBidi" w:cstheme="majorBidi"/>
          <w:sz w:val="20"/>
          <w:szCs w:val="20"/>
        </w:rPr>
        <w:t>BioTek</w:t>
      </w:r>
      <w:proofErr w:type="spellEnd"/>
      <w:r w:rsidRPr="00D0415B">
        <w:rPr>
          <w:rFonts w:asciiTheme="majorBidi" w:eastAsia="Calibri" w:hAnsiTheme="majorBidi" w:cstheme="majorBidi"/>
          <w:sz w:val="20"/>
          <w:szCs w:val="20"/>
        </w:rPr>
        <w:t>). Results were expressed as mg Fe2⁺/g dry weight (DW) based on a standard curve of FeSO4</w:t>
      </w:r>
      <w:r w:rsidR="00B86125" w:rsidRPr="00D0415B">
        <w:rPr>
          <w:rFonts w:asciiTheme="majorBidi" w:eastAsia="Calibri" w:hAnsiTheme="majorBidi" w:cstheme="majorBidi"/>
          <w:sz w:val="20"/>
          <w:szCs w:val="20"/>
        </w:rPr>
        <w:t>.</w:t>
      </w:r>
    </w:p>
    <w:p w14:paraId="069C431C" w14:textId="31290E46" w:rsidR="008C753F" w:rsidRPr="00D0415B" w:rsidRDefault="00B86125" w:rsidP="0094472A">
      <w:pPr>
        <w:pStyle w:val="Default"/>
        <w:spacing w:line="360" w:lineRule="auto"/>
        <w:jc w:val="both"/>
        <w:rPr>
          <w:b/>
          <w:bCs/>
        </w:rPr>
      </w:pPr>
      <w:r w:rsidRPr="00D0415B">
        <w:rPr>
          <w:rFonts w:asciiTheme="majorBidi" w:eastAsia="Calibri" w:hAnsiTheme="majorBidi" w:cstheme="majorBidi"/>
          <w:b/>
          <w:bCs/>
          <w:color w:val="auto"/>
          <w:sz w:val="20"/>
          <w:szCs w:val="20"/>
        </w:rPr>
        <w:t>Chemicals</w:t>
      </w:r>
    </w:p>
    <w:p w14:paraId="33C74E55" w14:textId="09BE2600" w:rsidR="009C7DB9" w:rsidRPr="00D0415B" w:rsidRDefault="00B86125"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High-performance liquid chromatography (HPLC) grade methanol and standards of Nicotine were purchased from Merck (Darmstadt, Germany) and Sigma (Sigma-Aldrich Corporation, MO, </w:t>
      </w:r>
      <w:proofErr w:type="gramStart"/>
      <w:r w:rsidRPr="00D0415B">
        <w:rPr>
          <w:rFonts w:asciiTheme="majorBidi" w:eastAsia="Calibri" w:hAnsiTheme="majorBidi" w:cstheme="majorBidi"/>
          <w:sz w:val="20"/>
          <w:szCs w:val="20"/>
        </w:rPr>
        <w:t>USA</w:t>
      </w:r>
      <w:proofErr w:type="gramEnd"/>
      <w:r w:rsidRPr="00D0415B">
        <w:rPr>
          <w:rFonts w:asciiTheme="majorBidi" w:eastAsia="Calibri" w:hAnsiTheme="majorBidi" w:cstheme="majorBidi"/>
          <w:sz w:val="20"/>
          <w:szCs w:val="20"/>
        </w:rPr>
        <w:t>). Methanol and phosphoric acid of analytical grade were obtained from Merck (Darmstadt, Germany). HPLC grade water was used throughout the analysis.</w:t>
      </w:r>
    </w:p>
    <w:p w14:paraId="3BCD5768" w14:textId="7674CC62" w:rsidR="008C753F" w:rsidRPr="00D0415B" w:rsidRDefault="00B86125" w:rsidP="0094472A">
      <w:pPr>
        <w:pStyle w:val="Default"/>
        <w:spacing w:line="360" w:lineRule="auto"/>
        <w:jc w:val="both"/>
        <w:rPr>
          <w:b/>
          <w:bCs/>
        </w:rPr>
      </w:pPr>
      <w:r w:rsidRPr="00D0415B">
        <w:rPr>
          <w:rFonts w:asciiTheme="majorBidi" w:eastAsia="Calibri" w:hAnsiTheme="majorBidi" w:cstheme="majorBidi"/>
          <w:b/>
          <w:bCs/>
          <w:color w:val="auto"/>
          <w:sz w:val="20"/>
          <w:szCs w:val="20"/>
        </w:rPr>
        <w:t>Extraction and HPLC analysis</w:t>
      </w:r>
    </w:p>
    <w:p w14:paraId="4F9F0AB2" w14:textId="6614735A" w:rsidR="00920635" w:rsidRPr="00D0415B" w:rsidRDefault="00B86125" w:rsidP="00C27250">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Dried leaves of tobacco were extracted for the HPLC analyses according to the method pre</w:t>
      </w:r>
      <w:r w:rsidR="00BD08F9" w:rsidRPr="00D0415B">
        <w:rPr>
          <w:rFonts w:asciiTheme="majorBidi" w:eastAsia="Calibri" w:hAnsiTheme="majorBidi" w:cstheme="majorBidi"/>
          <w:sz w:val="20"/>
          <w:szCs w:val="20"/>
        </w:rPr>
        <w:t xml:space="preserve">viously reported by Xia, Feng </w:t>
      </w:r>
      <w:hyperlink w:anchor="_ENREF_56" w:tooltip="Xia, 2014 #1683" w:history="1">
        <w:r w:rsidR="00596AE2" w:rsidRPr="00D0415B">
          <w:rPr>
            <w:rFonts w:asciiTheme="majorBidi" w:eastAsia="Calibri" w:hAnsiTheme="majorBidi" w:cstheme="majorBidi"/>
            <w:sz w:val="20"/>
            <w:szCs w:val="20"/>
          </w:rPr>
          <w:fldChar w:fldCharType="begin"/>
        </w:r>
        <w:r w:rsidR="00596AE2" w:rsidRPr="00D0415B">
          <w:rPr>
            <w:rFonts w:asciiTheme="majorBidi" w:eastAsia="Calibri" w:hAnsiTheme="majorBidi" w:cstheme="majorBidi"/>
            <w:sz w:val="20"/>
            <w:szCs w:val="20"/>
          </w:rPr>
          <w:instrText xml:space="preserve"> ADDIN EN.CITE &lt;EndNote&gt;&lt;Cite&gt;&lt;Author&gt;Xia&lt;/Author&gt;&lt;Year&gt;2014&lt;/Year&gt;&lt;RecNum&gt;1683&lt;/RecNum&gt;&lt;DisplayText&gt;&lt;style face="superscript"&gt;56&lt;/style&gt;&lt;/DisplayText&gt;&lt;record&gt;&lt;rec-number&gt;1683&lt;/rec-number&gt;&lt;foreign-keys&gt;&lt;key app="EN" db-id="vp9wwrtfldxaf5eefrnx2w052tptpvpzzrr2"&gt;1683&lt;/key&gt;&lt;/foreign-keys&gt;&lt;ref-type name="Journal Article"&gt;17&lt;/ref-type&gt;&lt;contributors&gt;&lt;authors&gt;&lt;author&gt;Xia, Bing&lt;/author&gt;&lt;author&gt;Feng, Mengmeng&lt;/author&gt;&lt;author&gt;Xu, Gang&lt;/author&gt;&lt;author&gt;Xu, Jindi&lt;/author&gt;&lt;author&gt;Li, Songlin&lt;/author&gt;&lt;author&gt;Chen, Xiaozhen&lt;/author&gt;&lt;author&gt;Ding, Lisheng&lt;/author&gt;&lt;author&gt;Zhou, Yan&lt;/author&gt;&lt;/authors&gt;&lt;/contributors&gt;&lt;titles&gt;&lt;title&gt;Investigation of the chemical compositions in tobacco of different origins and maturities at harvest by GC–MS and HPLC–PDA-QTOF-MS&lt;/title&gt;&lt;secondary-title&gt;Journal of Agricultural and Food Chemistry&lt;/secondary-title&gt;&lt;/titles&gt;&lt;periodical&gt;&lt;full-title&gt;Journal of agricultural and food chemistry&lt;/full-title&gt;&lt;/periodical&gt;&lt;pages&gt;4979-4987&lt;/pages&gt;&lt;volume&gt;62&lt;/volume&gt;&lt;number&gt;22&lt;/number&gt;&lt;dates&gt;&lt;year&gt;2014&lt;/year&gt;&lt;/dates&gt;&lt;isbn&gt;0021-8561&lt;/isbn&gt;&lt;urls&gt;&lt;/urls&gt;&lt;/record&gt;&lt;/Cite&gt;&lt;/EndNote&gt;</w:instrText>
        </w:r>
        <w:r w:rsidR="00596AE2" w:rsidRPr="00D0415B">
          <w:rPr>
            <w:rFonts w:asciiTheme="majorBidi" w:eastAsia="Calibri" w:hAnsiTheme="majorBidi" w:cstheme="majorBidi"/>
            <w:sz w:val="20"/>
            <w:szCs w:val="20"/>
          </w:rPr>
          <w:fldChar w:fldCharType="separate"/>
        </w:r>
        <w:r w:rsidR="00596AE2" w:rsidRPr="00D0415B">
          <w:rPr>
            <w:rFonts w:asciiTheme="majorBidi" w:eastAsia="Calibri" w:hAnsiTheme="majorBidi" w:cstheme="majorBidi"/>
            <w:noProof/>
            <w:sz w:val="20"/>
            <w:szCs w:val="20"/>
            <w:vertAlign w:val="superscript"/>
          </w:rPr>
          <w:t>56</w:t>
        </w:r>
        <w:r w:rsidR="00596AE2" w:rsidRPr="00D0415B">
          <w:rPr>
            <w:rFonts w:asciiTheme="majorBidi" w:eastAsia="Calibri" w:hAnsiTheme="majorBidi" w:cstheme="majorBidi"/>
            <w:sz w:val="20"/>
            <w:szCs w:val="20"/>
          </w:rPr>
          <w:fldChar w:fldCharType="end"/>
        </w:r>
      </w:hyperlink>
      <w:r w:rsidRPr="00D0415B">
        <w:rPr>
          <w:rFonts w:asciiTheme="majorBidi" w:eastAsia="Calibri" w:hAnsiTheme="majorBidi" w:cstheme="majorBidi"/>
          <w:sz w:val="20"/>
          <w:szCs w:val="20"/>
        </w:rPr>
        <w:t xml:space="preserve">. The extract was dissolved in HPLC grade methanol (10 mL), filtered through a Millipore filter (0.45 mm) and stored in a refrigerator until analysis. HPLC using a Waters HPLC </w:t>
      </w:r>
      <w:proofErr w:type="spellStart"/>
      <w:r w:rsidRPr="00D0415B">
        <w:rPr>
          <w:rFonts w:asciiTheme="majorBidi" w:eastAsia="Calibri" w:hAnsiTheme="majorBidi" w:cstheme="majorBidi"/>
          <w:sz w:val="20"/>
          <w:szCs w:val="20"/>
        </w:rPr>
        <w:t>systemwith</w:t>
      </w:r>
      <w:proofErr w:type="spellEnd"/>
      <w:r w:rsidRPr="00D0415B">
        <w:rPr>
          <w:rFonts w:asciiTheme="majorBidi" w:eastAsia="Calibri" w:hAnsiTheme="majorBidi" w:cstheme="majorBidi"/>
          <w:sz w:val="20"/>
          <w:szCs w:val="20"/>
        </w:rPr>
        <w:t xml:space="preserve"> empower software, a pump (Waters 600), a Rheodyne7125i six-way injector with 20 </w:t>
      </w:r>
      <w:proofErr w:type="spellStart"/>
      <w:r w:rsidRPr="00D0415B">
        <w:rPr>
          <w:rFonts w:asciiTheme="majorBidi" w:eastAsia="Calibri" w:hAnsiTheme="majorBidi" w:cstheme="majorBidi"/>
          <w:sz w:val="20"/>
          <w:szCs w:val="20"/>
        </w:rPr>
        <w:t>μL</w:t>
      </w:r>
      <w:proofErr w:type="spellEnd"/>
      <w:r w:rsidRPr="00D0415B">
        <w:rPr>
          <w:rFonts w:asciiTheme="majorBidi" w:eastAsia="Calibri" w:hAnsiTheme="majorBidi" w:cstheme="majorBidi"/>
          <w:sz w:val="20"/>
          <w:szCs w:val="20"/>
        </w:rPr>
        <w:t xml:space="preserve"> sample loop and a UV-</w:t>
      </w:r>
      <w:proofErr w:type="spellStart"/>
      <w:r w:rsidRPr="00D0415B">
        <w:rPr>
          <w:rFonts w:asciiTheme="majorBidi" w:eastAsia="Calibri" w:hAnsiTheme="majorBidi" w:cstheme="majorBidi"/>
          <w:sz w:val="20"/>
          <w:szCs w:val="20"/>
        </w:rPr>
        <w:t>visdetector</w:t>
      </w:r>
      <w:proofErr w:type="spellEnd"/>
      <w:r w:rsidRPr="00D0415B">
        <w:rPr>
          <w:rFonts w:asciiTheme="majorBidi" w:eastAsia="Calibri" w:hAnsiTheme="majorBidi" w:cstheme="majorBidi"/>
          <w:sz w:val="20"/>
          <w:szCs w:val="20"/>
        </w:rPr>
        <w:t xml:space="preserve"> (Waters model 2487). A column (</w:t>
      </w:r>
      <w:proofErr w:type="spellStart"/>
      <w:r w:rsidRPr="00D0415B">
        <w:rPr>
          <w:rFonts w:asciiTheme="majorBidi" w:eastAsia="Calibri" w:hAnsiTheme="majorBidi" w:cstheme="majorBidi"/>
          <w:sz w:val="20"/>
          <w:szCs w:val="20"/>
        </w:rPr>
        <w:t>Prontosil</w:t>
      </w:r>
      <w:proofErr w:type="spellEnd"/>
      <w:r w:rsidRPr="00D0415B">
        <w:rPr>
          <w:rFonts w:asciiTheme="majorBidi" w:eastAsia="Calibri" w:hAnsiTheme="majorBidi" w:cstheme="majorBidi"/>
          <w:sz w:val="20"/>
          <w:szCs w:val="20"/>
        </w:rPr>
        <w:t xml:space="preserve"> 120-5C18 AQ 250 × 4.6 mm with </w:t>
      </w:r>
      <w:proofErr w:type="spellStart"/>
      <w:r w:rsidRPr="00D0415B">
        <w:rPr>
          <w:rFonts w:asciiTheme="majorBidi" w:eastAsia="Calibri" w:hAnsiTheme="majorBidi" w:cstheme="majorBidi"/>
          <w:sz w:val="20"/>
          <w:szCs w:val="20"/>
        </w:rPr>
        <w:t>precolumn</w:t>
      </w:r>
      <w:proofErr w:type="spellEnd"/>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Knauer</w:t>
      </w:r>
      <w:proofErr w:type="spellEnd"/>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Berlin</w:t>
      </w:r>
      <w:proofErr w:type="gramStart"/>
      <w:r w:rsidRPr="00D0415B">
        <w:rPr>
          <w:rFonts w:asciiTheme="majorBidi" w:eastAsia="Calibri" w:hAnsiTheme="majorBidi" w:cstheme="majorBidi"/>
          <w:sz w:val="20"/>
          <w:szCs w:val="20"/>
        </w:rPr>
        <w:t>,Germany</w:t>
      </w:r>
      <w:proofErr w:type="spellEnd"/>
      <w:proofErr w:type="gramEnd"/>
      <w:r w:rsidRPr="00D0415B">
        <w:rPr>
          <w:rFonts w:asciiTheme="majorBidi" w:eastAsia="Calibri" w:hAnsiTheme="majorBidi" w:cstheme="majorBidi"/>
          <w:sz w:val="20"/>
          <w:szCs w:val="20"/>
        </w:rPr>
        <w:t>) was used for separation20. Chromatogram, retention time, response and other parameters were estimated by Waters breeze 2 software</w:t>
      </w:r>
      <w:r w:rsidR="00466631" w:rsidRPr="00D0415B">
        <w:rPr>
          <w:rFonts w:asciiTheme="majorBidi" w:eastAsia="Calibri" w:hAnsiTheme="majorBidi" w:cstheme="majorBidi"/>
          <w:sz w:val="20"/>
          <w:szCs w:val="20"/>
        </w:rPr>
        <w:t xml:space="preserve"> (</w:t>
      </w:r>
      <w:r w:rsidR="007264EB" w:rsidRPr="00D0415B">
        <w:rPr>
          <w:rFonts w:asciiTheme="majorBidi" w:eastAsia="Calibri" w:hAnsiTheme="majorBidi" w:cstheme="majorBidi"/>
          <w:sz w:val="20"/>
          <w:szCs w:val="20"/>
        </w:rPr>
        <w:t>Figure</w:t>
      </w:r>
      <w:r w:rsidRPr="00D0415B">
        <w:rPr>
          <w:rFonts w:asciiTheme="majorBidi" w:eastAsia="Calibri" w:hAnsiTheme="majorBidi" w:cstheme="majorBidi"/>
          <w:sz w:val="20"/>
          <w:szCs w:val="20"/>
        </w:rPr>
        <w:t xml:space="preserve"> </w:t>
      </w:r>
      <w:r w:rsidR="00C27250" w:rsidRPr="00D0415B">
        <w:rPr>
          <w:rFonts w:asciiTheme="majorBidi" w:eastAsia="Calibri" w:hAnsiTheme="majorBidi" w:cstheme="majorBidi"/>
          <w:sz w:val="20"/>
          <w:szCs w:val="20"/>
        </w:rPr>
        <w:t>8</w:t>
      </w:r>
      <w:r w:rsidR="009A06C6" w:rsidRPr="00D0415B">
        <w:rPr>
          <w:rFonts w:asciiTheme="majorBidi" w:eastAsia="Calibri" w:hAnsiTheme="majorBidi" w:cstheme="majorBidi"/>
          <w:sz w:val="20"/>
          <w:szCs w:val="20"/>
        </w:rPr>
        <w:t>B</w:t>
      </w:r>
      <w:r w:rsidR="00466631" w:rsidRPr="00D0415B">
        <w:rPr>
          <w:rFonts w:asciiTheme="majorBidi" w:eastAsia="Calibri" w:hAnsiTheme="majorBidi" w:cstheme="majorBidi"/>
          <w:sz w:val="20"/>
          <w:szCs w:val="20"/>
        </w:rPr>
        <w:t>)</w:t>
      </w:r>
      <w:r w:rsidRPr="00D0415B">
        <w:rPr>
          <w:rFonts w:asciiTheme="majorBidi" w:eastAsia="Calibri" w:hAnsiTheme="majorBidi" w:cstheme="majorBidi"/>
          <w:sz w:val="20"/>
          <w:szCs w:val="20"/>
        </w:rPr>
        <w:t>.</w:t>
      </w:r>
    </w:p>
    <w:p w14:paraId="24097793" w14:textId="69943D6C" w:rsidR="008C753F" w:rsidRPr="00D0415B" w:rsidRDefault="00B86125" w:rsidP="0094472A">
      <w:pPr>
        <w:pStyle w:val="Default"/>
        <w:spacing w:line="360" w:lineRule="auto"/>
        <w:jc w:val="both"/>
        <w:rPr>
          <w:b/>
          <w:bCs/>
        </w:rPr>
      </w:pPr>
      <w:r w:rsidRPr="00D0415B">
        <w:rPr>
          <w:rFonts w:asciiTheme="majorBidi" w:eastAsia="Calibri" w:hAnsiTheme="majorBidi" w:cstheme="majorBidi"/>
          <w:b/>
          <w:bCs/>
          <w:color w:val="auto"/>
          <w:sz w:val="20"/>
          <w:szCs w:val="20"/>
        </w:rPr>
        <w:t>Statistical analysis</w:t>
      </w:r>
    </w:p>
    <w:p w14:paraId="1A3D13B4" w14:textId="58D4C958" w:rsidR="0081319D" w:rsidRPr="00D0415B" w:rsidRDefault="00B86125" w:rsidP="00541756">
      <w:pPr>
        <w:spacing w:after="0" w:line="276" w:lineRule="auto"/>
        <w:jc w:val="both"/>
        <w:rPr>
          <w:color w:val="000000" w:themeColor="text1"/>
          <w:lang w:val="en-GB"/>
        </w:rPr>
      </w:pPr>
      <w:r w:rsidRPr="00D0415B">
        <w:rPr>
          <w:rFonts w:asciiTheme="majorBidi" w:eastAsia="Calibri" w:hAnsiTheme="majorBidi" w:cstheme="majorBidi"/>
          <w:sz w:val="20"/>
          <w:szCs w:val="20"/>
        </w:rPr>
        <w:lastRenderedPageBreak/>
        <w:t>Data were analyzed using ANOVA based on a randomized complete block design (RCBD) with five replications in SAS version 9.0. The PROC UNIVARIATE procedure confirmed normality of residuals. Means were compared using the least significant difference (LSD) test at a 5% significance level. Pearson’s correlation analysis was conducted using the SAS 9.0 software.</w:t>
      </w:r>
    </w:p>
    <w:p w14:paraId="1B36F9D7" w14:textId="61C19873" w:rsidR="00F2018A" w:rsidRPr="00D0415B" w:rsidRDefault="00F2018A" w:rsidP="0094472A">
      <w:pPr>
        <w:spacing w:after="0" w:line="276" w:lineRule="auto"/>
        <w:rPr>
          <w:rFonts w:asciiTheme="majorBidi" w:eastAsia="Calibri" w:hAnsiTheme="majorBidi" w:cstheme="majorBidi"/>
          <w:b/>
          <w:bCs/>
          <w:sz w:val="20"/>
          <w:szCs w:val="20"/>
        </w:rPr>
      </w:pPr>
      <w:r w:rsidRPr="00D0415B">
        <w:rPr>
          <w:rFonts w:asciiTheme="majorBidi" w:eastAsia="Calibri" w:hAnsiTheme="majorBidi" w:cstheme="majorBidi"/>
          <w:b/>
          <w:bCs/>
          <w:sz w:val="20"/>
          <w:szCs w:val="20"/>
        </w:rPr>
        <w:t>Conclusion</w:t>
      </w:r>
    </w:p>
    <w:p w14:paraId="1A935C45" w14:textId="77777777" w:rsidR="00D22FB9" w:rsidRPr="00D0415B" w:rsidRDefault="00F54A53" w:rsidP="00D22FB9">
      <w:pPr>
        <w:spacing w:after="0"/>
        <w:jc w:val="lowKashida"/>
        <w:rPr>
          <w:rFonts w:asciiTheme="majorBidi" w:hAnsiTheme="majorBidi" w:cstheme="majorBidi"/>
          <w:b/>
          <w:bCs/>
          <w:sz w:val="20"/>
          <w:szCs w:val="20"/>
          <w:lang w:bidi="fa-IR"/>
        </w:rPr>
      </w:pPr>
      <w:r w:rsidRPr="00D0415B">
        <w:rPr>
          <w:rFonts w:asciiTheme="majorBidi" w:eastAsia="Calibri" w:hAnsiTheme="majorBidi" w:cstheme="majorBidi"/>
          <w:sz w:val="20"/>
          <w:szCs w:val="20"/>
        </w:rPr>
        <w:t xml:space="preserve">This integrated analysis highlights the crucial role of foliar nutrition in modulating both the physiological performance and phytochemical composition of tobacco. Foliar application of nitrogen at 2% and 4% concentrations significantly improved growth and yield parameters, particularly in the Burley variety. However, amino acid treatments—especially the combined application of arginine, ornithine, and aspartic acid at 1–2 mg/L—were more effective in enhancing secondary metabolites such as essential oils, total </w:t>
      </w:r>
      <w:proofErr w:type="spellStart"/>
      <w:r w:rsidRPr="00D0415B">
        <w:rPr>
          <w:rFonts w:asciiTheme="majorBidi" w:eastAsia="Calibri" w:hAnsiTheme="majorBidi" w:cstheme="majorBidi"/>
          <w:sz w:val="20"/>
          <w:szCs w:val="20"/>
        </w:rPr>
        <w:t>phenolics</w:t>
      </w:r>
      <w:proofErr w:type="spellEnd"/>
      <w:r w:rsidRPr="00D0415B">
        <w:rPr>
          <w:rFonts w:asciiTheme="majorBidi" w:eastAsia="Calibri" w:hAnsiTheme="majorBidi" w:cstheme="majorBidi"/>
          <w:sz w:val="20"/>
          <w:szCs w:val="20"/>
        </w:rPr>
        <w:t xml:space="preserve">, flavonoids, and antioxidant activity. Among the studied varieties, </w:t>
      </w:r>
      <w:proofErr w:type="spellStart"/>
      <w:r w:rsidRPr="00D0415B">
        <w:rPr>
          <w:rFonts w:asciiTheme="majorBidi" w:eastAsia="Calibri" w:hAnsiTheme="majorBidi" w:cstheme="majorBidi"/>
          <w:sz w:val="20"/>
          <w:szCs w:val="20"/>
        </w:rPr>
        <w:t>Basma</w:t>
      </w:r>
      <w:proofErr w:type="spellEnd"/>
      <w:r w:rsidRPr="00D0415B">
        <w:rPr>
          <w:rFonts w:asciiTheme="majorBidi" w:eastAsia="Calibri" w:hAnsiTheme="majorBidi" w:cstheme="majorBidi"/>
          <w:sz w:val="20"/>
          <w:szCs w:val="20"/>
        </w:rPr>
        <w:t xml:space="preserve"> exhibited the highest essential oil content and nicotine concentration, indicating its greater responsiveness to amino acid treatments compared with nitrogen-based fertilization. Overall, while foliar nitrogen application supports vegetative growth and productivity, amino acid-based foliar feeding offers superior improvement in phytochemical quality. Therefore, integrating optimized nitrogen and amino acid treatments could provide a balanced and sustainable approach for improving both yield and quality in tobacco cultivation.</w:t>
      </w:r>
      <w:r w:rsidR="00D22FB9" w:rsidRPr="00D0415B">
        <w:rPr>
          <w:rFonts w:asciiTheme="majorBidi" w:hAnsiTheme="majorBidi" w:cstheme="majorBidi"/>
          <w:b/>
          <w:bCs/>
          <w:sz w:val="20"/>
          <w:szCs w:val="20"/>
          <w:lang w:bidi="fa-IR"/>
        </w:rPr>
        <w:t xml:space="preserve"> </w:t>
      </w:r>
    </w:p>
    <w:p w14:paraId="54EE1E7F" w14:textId="22479258" w:rsidR="00D22FB9" w:rsidRPr="00D0415B" w:rsidRDefault="00D22FB9" w:rsidP="00D22FB9">
      <w:pPr>
        <w:spacing w:after="0"/>
        <w:jc w:val="lowKashida"/>
        <w:rPr>
          <w:rFonts w:asciiTheme="majorBidi" w:hAnsiTheme="majorBidi" w:cstheme="majorBidi"/>
          <w:b/>
          <w:bCs/>
          <w:sz w:val="20"/>
          <w:szCs w:val="20"/>
          <w:lang w:bidi="fa-IR"/>
        </w:rPr>
      </w:pPr>
      <w:r w:rsidRPr="00D0415B">
        <w:rPr>
          <w:rFonts w:asciiTheme="majorBidi" w:hAnsiTheme="majorBidi" w:cstheme="majorBidi"/>
          <w:b/>
          <w:bCs/>
          <w:sz w:val="20"/>
          <w:szCs w:val="20"/>
          <w:lang w:bidi="fa-IR"/>
        </w:rPr>
        <w:t>Conflict of interest statement</w:t>
      </w:r>
    </w:p>
    <w:p w14:paraId="42A0A255" w14:textId="2EC5F430" w:rsidR="00F54A53" w:rsidRDefault="00D22FB9" w:rsidP="00D22FB9">
      <w:pPr>
        <w:spacing w:after="0"/>
        <w:jc w:val="lowKashida"/>
        <w:rPr>
          <w:rFonts w:asciiTheme="majorBidi" w:hAnsiTheme="majorBidi" w:cstheme="majorBidi"/>
          <w:sz w:val="20"/>
          <w:szCs w:val="20"/>
          <w:lang w:bidi="fa-IR"/>
        </w:rPr>
      </w:pPr>
      <w:r w:rsidRPr="00D0415B">
        <w:rPr>
          <w:rFonts w:asciiTheme="majorBidi" w:hAnsiTheme="majorBidi" w:cstheme="majorBidi"/>
          <w:sz w:val="20"/>
          <w:szCs w:val="20"/>
          <w:lang w:bidi="fa-IR"/>
        </w:rPr>
        <w:t>The authors report that there are no competing interests to declare.</w:t>
      </w:r>
    </w:p>
    <w:p w14:paraId="2A712465" w14:textId="77777777" w:rsidR="002036AC" w:rsidRPr="00B24E42" w:rsidRDefault="002036AC" w:rsidP="002036AC">
      <w:pPr>
        <w:spacing w:after="0"/>
        <w:jc w:val="lowKashida"/>
        <w:rPr>
          <w:rFonts w:asciiTheme="majorBidi" w:hAnsiTheme="majorBidi" w:cstheme="majorBidi"/>
          <w:b/>
          <w:bCs/>
          <w:sz w:val="20"/>
          <w:szCs w:val="20"/>
          <w:highlight w:val="green"/>
          <w:rtl/>
          <w:lang w:bidi="fa-IR"/>
        </w:rPr>
      </w:pPr>
      <w:bookmarkStart w:id="0" w:name="_GoBack"/>
      <w:bookmarkEnd w:id="0"/>
      <w:r w:rsidRPr="00B24E42">
        <w:rPr>
          <w:rFonts w:asciiTheme="majorBidi" w:hAnsiTheme="majorBidi" w:cstheme="majorBidi"/>
          <w:b/>
          <w:bCs/>
          <w:sz w:val="20"/>
          <w:szCs w:val="20"/>
          <w:highlight w:val="green"/>
          <w:lang w:bidi="fa-IR"/>
        </w:rPr>
        <w:t>Funding</w:t>
      </w:r>
    </w:p>
    <w:p w14:paraId="11815A48" w14:textId="5132BD9E" w:rsidR="002036AC" w:rsidRPr="002036AC" w:rsidRDefault="002036AC" w:rsidP="002036AC">
      <w:pPr>
        <w:spacing w:after="0"/>
        <w:jc w:val="lowKashida"/>
        <w:rPr>
          <w:rFonts w:asciiTheme="majorBidi" w:hAnsiTheme="majorBidi" w:cstheme="majorBidi"/>
          <w:sz w:val="20"/>
          <w:szCs w:val="20"/>
          <w:rtl/>
          <w:lang w:bidi="fa-IR"/>
        </w:rPr>
      </w:pPr>
      <w:r w:rsidRPr="00B24E42">
        <w:rPr>
          <w:rFonts w:asciiTheme="majorBidi" w:hAnsiTheme="majorBidi" w:cstheme="majorBidi"/>
          <w:sz w:val="20"/>
          <w:szCs w:val="20"/>
          <w:highlight w:val="green"/>
          <w:lang w:bidi="fa-IR"/>
        </w:rPr>
        <w:t>This research received no external funding.</w:t>
      </w:r>
    </w:p>
    <w:p w14:paraId="55DE945D" w14:textId="77777777" w:rsidR="00367A76" w:rsidRPr="00D0415B" w:rsidRDefault="00367A76" w:rsidP="0094472A">
      <w:pPr>
        <w:spacing w:after="0" w:line="276" w:lineRule="auto"/>
        <w:rPr>
          <w:rFonts w:asciiTheme="majorBidi" w:eastAsia="Calibri" w:hAnsiTheme="majorBidi" w:cstheme="majorBidi"/>
          <w:b/>
          <w:bCs/>
          <w:sz w:val="20"/>
          <w:szCs w:val="20"/>
        </w:rPr>
      </w:pPr>
      <w:r w:rsidRPr="00D0415B">
        <w:rPr>
          <w:rFonts w:asciiTheme="majorBidi" w:eastAsia="Calibri" w:hAnsiTheme="majorBidi" w:cstheme="majorBidi"/>
          <w:b/>
          <w:bCs/>
          <w:sz w:val="20"/>
          <w:szCs w:val="20"/>
        </w:rPr>
        <w:t xml:space="preserve">Acknowledgments </w:t>
      </w:r>
    </w:p>
    <w:p w14:paraId="56EE91D2" w14:textId="77777777" w:rsidR="00367A76" w:rsidRPr="00D0415B" w:rsidRDefault="00367A76" w:rsidP="00541756">
      <w:pPr>
        <w:spacing w:after="0" w:line="276" w:lineRule="auto"/>
        <w:jc w:val="both"/>
        <w:rPr>
          <w:rFonts w:asciiTheme="majorBidi" w:eastAsia="Calibri" w:hAnsiTheme="majorBidi" w:cstheme="majorBidi"/>
          <w:sz w:val="20"/>
          <w:szCs w:val="20"/>
        </w:rPr>
      </w:pPr>
      <w:r w:rsidRPr="00D0415B">
        <w:rPr>
          <w:rFonts w:asciiTheme="majorBidi" w:eastAsia="Calibri" w:hAnsiTheme="majorBidi" w:cstheme="majorBidi"/>
          <w:sz w:val="20"/>
          <w:szCs w:val="20"/>
        </w:rPr>
        <w:t xml:space="preserve">We kindly acknowledge </w:t>
      </w:r>
      <w:proofErr w:type="spellStart"/>
      <w:r w:rsidRPr="00D0415B">
        <w:rPr>
          <w:rFonts w:asciiTheme="majorBidi" w:eastAsia="Calibri" w:hAnsiTheme="majorBidi" w:cstheme="majorBidi"/>
          <w:sz w:val="20"/>
          <w:szCs w:val="20"/>
        </w:rPr>
        <w:t>Tarbiat</w:t>
      </w:r>
      <w:proofErr w:type="spellEnd"/>
      <w:r w:rsidRPr="00D0415B">
        <w:rPr>
          <w:rFonts w:asciiTheme="majorBidi" w:eastAsia="Calibri" w:hAnsiTheme="majorBidi" w:cstheme="majorBidi"/>
          <w:sz w:val="20"/>
          <w:szCs w:val="20"/>
        </w:rPr>
        <w:t xml:space="preserve"> </w:t>
      </w:r>
      <w:proofErr w:type="spellStart"/>
      <w:r w:rsidRPr="00D0415B">
        <w:rPr>
          <w:rFonts w:asciiTheme="majorBidi" w:eastAsia="Calibri" w:hAnsiTheme="majorBidi" w:cstheme="majorBidi"/>
          <w:sz w:val="20"/>
          <w:szCs w:val="20"/>
        </w:rPr>
        <w:t>Modares</w:t>
      </w:r>
      <w:proofErr w:type="spellEnd"/>
      <w:r w:rsidRPr="00D0415B">
        <w:rPr>
          <w:rFonts w:asciiTheme="majorBidi" w:eastAsia="Calibri" w:hAnsiTheme="majorBidi" w:cstheme="majorBidi"/>
          <w:sz w:val="20"/>
          <w:szCs w:val="20"/>
        </w:rPr>
        <w:t xml:space="preserve"> University Research Council for supporting this research work.</w:t>
      </w:r>
    </w:p>
    <w:p w14:paraId="293FF6DC" w14:textId="77777777" w:rsidR="00D22FB9" w:rsidRPr="00D0415B" w:rsidRDefault="00D22FB9" w:rsidP="00D22FB9">
      <w:pPr>
        <w:spacing w:after="0"/>
        <w:jc w:val="lowKashida"/>
        <w:rPr>
          <w:rFonts w:asciiTheme="majorBidi" w:hAnsiTheme="majorBidi" w:cstheme="majorBidi"/>
          <w:b/>
          <w:bCs/>
          <w:sz w:val="20"/>
          <w:szCs w:val="20"/>
          <w:lang w:bidi="fa-IR"/>
        </w:rPr>
      </w:pPr>
      <w:r w:rsidRPr="00D0415B">
        <w:rPr>
          <w:rFonts w:asciiTheme="majorBidi" w:hAnsiTheme="majorBidi" w:cstheme="majorBidi"/>
          <w:b/>
          <w:bCs/>
          <w:sz w:val="20"/>
          <w:szCs w:val="20"/>
          <w:lang w:bidi="fa-IR"/>
        </w:rPr>
        <w:t>Author’s contribution statement</w:t>
      </w:r>
    </w:p>
    <w:p w14:paraId="15EE1BD5" w14:textId="5F396702" w:rsidR="00D22FB9" w:rsidRPr="00D0415B" w:rsidRDefault="00D22FB9" w:rsidP="00D22FB9">
      <w:pPr>
        <w:spacing w:after="0"/>
        <w:jc w:val="lowKashida"/>
        <w:rPr>
          <w:rFonts w:asciiTheme="majorBidi" w:hAnsiTheme="majorBidi" w:cstheme="majorBidi"/>
          <w:sz w:val="20"/>
          <w:szCs w:val="20"/>
          <w:lang w:bidi="fa-IR"/>
        </w:rPr>
      </w:pPr>
      <w:r w:rsidRPr="00D0415B">
        <w:rPr>
          <w:rFonts w:asciiTheme="majorBidi" w:hAnsiTheme="majorBidi" w:cstheme="majorBidi"/>
          <w:sz w:val="20"/>
          <w:szCs w:val="20"/>
          <w:lang w:bidi="fa-IR"/>
        </w:rPr>
        <w:t>H.R.A., A.B.K., and M.A. designed the study. H.D., and M.A. performed the field and laboratory experiments. H.R.A and A.B.K. performed Methodology. A.B.K., M.A., and H.D. analyzed the data. M.A., and H.R.A. wrote the paper with input from all authors.</w:t>
      </w:r>
    </w:p>
    <w:p w14:paraId="6AAE7FE9" w14:textId="77777777" w:rsidR="00D22FB9" w:rsidRPr="00D0415B" w:rsidRDefault="00D22FB9" w:rsidP="00D22FB9">
      <w:pPr>
        <w:spacing w:after="0"/>
        <w:jc w:val="both"/>
        <w:rPr>
          <w:rFonts w:asciiTheme="majorBidi" w:hAnsiTheme="majorBidi" w:cstheme="majorBidi"/>
          <w:b/>
          <w:bCs/>
          <w:sz w:val="20"/>
          <w:szCs w:val="20"/>
        </w:rPr>
      </w:pPr>
      <w:r w:rsidRPr="00D0415B">
        <w:rPr>
          <w:rFonts w:asciiTheme="majorBidi" w:hAnsiTheme="majorBidi" w:cstheme="majorBidi"/>
          <w:b/>
          <w:bCs/>
          <w:sz w:val="20"/>
          <w:szCs w:val="20"/>
        </w:rPr>
        <w:t>Data availability</w:t>
      </w:r>
    </w:p>
    <w:p w14:paraId="7C3E9500" w14:textId="59B2A62F" w:rsidR="00D22FB9" w:rsidRPr="00D0415B" w:rsidRDefault="00D22FB9" w:rsidP="00D22FB9">
      <w:pPr>
        <w:spacing w:after="0"/>
        <w:jc w:val="both"/>
        <w:rPr>
          <w:rFonts w:asciiTheme="majorBidi" w:hAnsiTheme="majorBidi" w:cstheme="majorBidi"/>
          <w:sz w:val="20"/>
          <w:szCs w:val="20"/>
          <w:lang w:bidi="fa-IR"/>
        </w:rPr>
      </w:pPr>
      <w:r w:rsidRPr="00D0415B">
        <w:rPr>
          <w:rFonts w:asciiTheme="majorBidi" w:hAnsiTheme="majorBidi" w:cstheme="majorBidi"/>
          <w:sz w:val="20"/>
          <w:szCs w:val="20"/>
          <w:lang w:bidi="fa-IR"/>
        </w:rPr>
        <w:t>Data are available from the corresponding author and the first author upon reasonable request.</w:t>
      </w:r>
    </w:p>
    <w:p w14:paraId="195CFD8F" w14:textId="786C3CCD" w:rsidR="00367A76" w:rsidRPr="00D0415B" w:rsidRDefault="006020D2" w:rsidP="0094472A">
      <w:pPr>
        <w:spacing w:after="0" w:line="276" w:lineRule="auto"/>
        <w:rPr>
          <w:rFonts w:ascii="Times New Roman" w:eastAsia="Times New Roman" w:hAnsi="Times New Roman" w:cs="Times New Roman"/>
          <w:b/>
          <w:color w:val="000000"/>
          <w:sz w:val="24"/>
          <w:szCs w:val="24"/>
        </w:rPr>
      </w:pPr>
      <w:r w:rsidRPr="00D0415B">
        <w:rPr>
          <w:rFonts w:ascii="Times New Roman" w:eastAsia="Times New Roman" w:hAnsi="Times New Roman" w:cs="Times New Roman"/>
          <w:b/>
          <w:color w:val="000000"/>
          <w:sz w:val="24"/>
          <w:szCs w:val="24"/>
        </w:rPr>
        <w:tab/>
      </w:r>
    </w:p>
    <w:p w14:paraId="0F57A685" w14:textId="3285B878" w:rsidR="00541756" w:rsidRPr="00D0415B" w:rsidRDefault="00747C0D" w:rsidP="00747C0D">
      <w:pPr>
        <w:pStyle w:val="Default"/>
        <w:spacing w:line="360" w:lineRule="auto"/>
        <w:jc w:val="both"/>
        <w:rPr>
          <w:sz w:val="20"/>
          <w:szCs w:val="20"/>
        </w:rPr>
      </w:pPr>
      <w:r w:rsidRPr="00D0415B">
        <w:rPr>
          <w:rFonts w:asciiTheme="majorBidi" w:eastAsia="Calibri" w:hAnsiTheme="majorBidi" w:cstheme="majorBidi"/>
          <w:b/>
          <w:bCs/>
          <w:color w:val="auto"/>
          <w:sz w:val="20"/>
          <w:szCs w:val="20"/>
        </w:rPr>
        <w:t>References</w:t>
      </w:r>
    </w:p>
    <w:p w14:paraId="44A09A7E" w14:textId="074ACE36" w:rsidR="00596AE2" w:rsidRPr="00D0415B" w:rsidRDefault="00541756" w:rsidP="00F023B4">
      <w:pPr>
        <w:spacing w:after="0" w:line="0" w:lineRule="atLeast"/>
        <w:rPr>
          <w:rFonts w:asciiTheme="majorBidi" w:hAnsiTheme="majorBidi" w:cstheme="majorBidi"/>
          <w:sz w:val="20"/>
          <w:szCs w:val="20"/>
          <w:lang w:bidi="fa-IR"/>
        </w:rPr>
      </w:pPr>
      <w:r w:rsidRPr="00D0415B">
        <w:rPr>
          <w:rFonts w:asciiTheme="majorBidi" w:hAnsiTheme="majorBidi" w:cstheme="majorBidi"/>
          <w:sz w:val="20"/>
          <w:szCs w:val="20"/>
          <w:lang w:bidi="fa-IR"/>
        </w:rPr>
        <w:fldChar w:fldCharType="begin"/>
      </w:r>
      <w:r w:rsidRPr="00D0415B">
        <w:rPr>
          <w:rFonts w:asciiTheme="majorBidi" w:hAnsiTheme="majorBidi" w:cstheme="majorBidi"/>
          <w:sz w:val="20"/>
          <w:szCs w:val="20"/>
          <w:lang w:bidi="fa-IR"/>
        </w:rPr>
        <w:instrText xml:space="preserve"> ADDIN EN.REFLIST </w:instrText>
      </w:r>
      <w:r w:rsidRPr="00D0415B">
        <w:rPr>
          <w:rFonts w:asciiTheme="majorBidi" w:hAnsiTheme="majorBidi" w:cstheme="majorBidi"/>
          <w:sz w:val="20"/>
          <w:szCs w:val="20"/>
          <w:lang w:bidi="fa-IR"/>
        </w:rPr>
        <w:fldChar w:fldCharType="separate"/>
      </w:r>
      <w:bookmarkStart w:id="1" w:name="_ENREF_1"/>
      <w:r w:rsidR="00E01742" w:rsidRPr="00D0415B">
        <w:rPr>
          <w:rFonts w:asciiTheme="majorBidi" w:hAnsiTheme="majorBidi" w:cstheme="majorBidi"/>
          <w:sz w:val="20"/>
          <w:szCs w:val="20"/>
          <w:lang w:bidi="fa-IR"/>
        </w:rPr>
        <w:t xml:space="preserve">1. </w:t>
      </w:r>
      <w:r w:rsidR="00596AE2" w:rsidRPr="00D0415B">
        <w:rPr>
          <w:rFonts w:asciiTheme="majorBidi" w:hAnsiTheme="majorBidi" w:cstheme="majorBidi"/>
          <w:sz w:val="20"/>
          <w:szCs w:val="20"/>
          <w:lang w:bidi="fa-IR"/>
        </w:rPr>
        <w:t>Zhang, F. et al. Revealing evolution of tropane alkaloid biosynthesis by analyzing two genomes in the Solanaceae family. Nature Communications 14, 1446 (2023).</w:t>
      </w:r>
      <w:bookmarkEnd w:id="1"/>
    </w:p>
    <w:p w14:paraId="3C002A2E" w14:textId="65732C6D" w:rsidR="00596AE2" w:rsidRPr="00D0415B" w:rsidRDefault="00E01742" w:rsidP="00F023B4">
      <w:pPr>
        <w:spacing w:after="0" w:line="0" w:lineRule="atLeast"/>
        <w:rPr>
          <w:rFonts w:asciiTheme="majorBidi" w:hAnsiTheme="majorBidi" w:cstheme="majorBidi"/>
          <w:sz w:val="20"/>
          <w:szCs w:val="20"/>
          <w:lang w:bidi="fa-IR"/>
        </w:rPr>
      </w:pPr>
      <w:bookmarkStart w:id="2" w:name="_ENREF_2"/>
      <w:r w:rsidRPr="00D0415B">
        <w:rPr>
          <w:rFonts w:asciiTheme="majorBidi" w:hAnsiTheme="majorBidi" w:cstheme="majorBidi"/>
          <w:sz w:val="20"/>
          <w:szCs w:val="20"/>
          <w:lang w:bidi="fa-IR"/>
        </w:rPr>
        <w:t xml:space="preserve">2. </w:t>
      </w:r>
      <w:r w:rsidR="00596AE2" w:rsidRPr="00D0415B">
        <w:rPr>
          <w:rFonts w:asciiTheme="majorBidi" w:hAnsiTheme="majorBidi" w:cstheme="majorBidi"/>
          <w:sz w:val="20"/>
          <w:szCs w:val="20"/>
          <w:lang w:bidi="fa-IR"/>
        </w:rPr>
        <w:t>Mehmood, F. et al. Plastid genomics of Nicotiana (Solanaceae): insights into molecular evolution, positive selection and the origin of the maternal genome of Aztec tobacco (</w:t>
      </w:r>
      <w:r w:rsidR="00596AE2" w:rsidRPr="00D0415B">
        <w:rPr>
          <w:rFonts w:asciiTheme="majorBidi" w:hAnsiTheme="majorBidi" w:cstheme="majorBidi"/>
          <w:i/>
          <w:iCs/>
          <w:sz w:val="20"/>
          <w:szCs w:val="20"/>
          <w:lang w:bidi="fa-IR"/>
        </w:rPr>
        <w:t>Nicotiana rustica</w:t>
      </w:r>
      <w:r w:rsidR="00596AE2" w:rsidRPr="00D0415B">
        <w:rPr>
          <w:rFonts w:asciiTheme="majorBidi" w:hAnsiTheme="majorBidi" w:cstheme="majorBidi"/>
          <w:sz w:val="20"/>
          <w:szCs w:val="20"/>
          <w:lang w:bidi="fa-IR"/>
        </w:rPr>
        <w:t>). PeerJ 8, e9552 (2020).</w:t>
      </w:r>
      <w:bookmarkEnd w:id="2"/>
    </w:p>
    <w:p w14:paraId="265B23C5" w14:textId="0A2F31DA" w:rsidR="00596AE2" w:rsidRPr="00D0415B" w:rsidRDefault="00E01742" w:rsidP="00F023B4">
      <w:pPr>
        <w:spacing w:after="0" w:line="0" w:lineRule="atLeast"/>
        <w:rPr>
          <w:rFonts w:asciiTheme="majorBidi" w:hAnsiTheme="majorBidi" w:cstheme="majorBidi"/>
          <w:sz w:val="20"/>
          <w:szCs w:val="20"/>
          <w:lang w:bidi="fa-IR"/>
        </w:rPr>
      </w:pPr>
      <w:bookmarkStart w:id="3" w:name="_ENREF_3"/>
      <w:r w:rsidRPr="00D0415B">
        <w:rPr>
          <w:rFonts w:asciiTheme="majorBidi" w:hAnsiTheme="majorBidi" w:cstheme="majorBidi"/>
          <w:sz w:val="20"/>
          <w:szCs w:val="20"/>
          <w:lang w:bidi="fa-IR"/>
        </w:rPr>
        <w:t xml:space="preserve">3. </w:t>
      </w:r>
      <w:r w:rsidR="00596AE2" w:rsidRPr="00D0415B">
        <w:rPr>
          <w:rFonts w:asciiTheme="majorBidi" w:hAnsiTheme="majorBidi" w:cstheme="majorBidi"/>
          <w:sz w:val="20"/>
          <w:szCs w:val="20"/>
          <w:lang w:bidi="fa-IR"/>
        </w:rPr>
        <w:t xml:space="preserve">Balewa, A. T. Phytochemical, antimicrobial and proximate composition of </w:t>
      </w:r>
      <w:r w:rsidR="00596AE2" w:rsidRPr="00D0415B">
        <w:rPr>
          <w:rFonts w:asciiTheme="majorBidi" w:hAnsiTheme="majorBidi" w:cstheme="majorBidi"/>
          <w:i/>
          <w:iCs/>
          <w:sz w:val="20"/>
          <w:szCs w:val="20"/>
          <w:lang w:bidi="fa-IR"/>
        </w:rPr>
        <w:t>Nicotiana tabacum</w:t>
      </w:r>
      <w:r w:rsidR="00596AE2" w:rsidRPr="00D0415B">
        <w:rPr>
          <w:rFonts w:asciiTheme="majorBidi" w:hAnsiTheme="majorBidi" w:cstheme="majorBidi"/>
          <w:sz w:val="20"/>
          <w:szCs w:val="20"/>
          <w:lang w:bidi="fa-IR"/>
        </w:rPr>
        <w:t xml:space="preserve"> leaves extract. International Journal of Innovative Science and Research Technology 4, 406-410 (2019).</w:t>
      </w:r>
      <w:bookmarkEnd w:id="3"/>
    </w:p>
    <w:p w14:paraId="524A34BD" w14:textId="392690A9" w:rsidR="00596AE2" w:rsidRPr="00D0415B" w:rsidRDefault="00E01742" w:rsidP="00F023B4">
      <w:pPr>
        <w:spacing w:after="0" w:line="0" w:lineRule="atLeast"/>
        <w:rPr>
          <w:rFonts w:asciiTheme="majorBidi" w:hAnsiTheme="majorBidi" w:cstheme="majorBidi"/>
          <w:sz w:val="20"/>
          <w:szCs w:val="20"/>
          <w:lang w:bidi="fa-IR"/>
        </w:rPr>
      </w:pPr>
      <w:bookmarkStart w:id="4" w:name="_ENREF_4"/>
      <w:r w:rsidRPr="00D0415B">
        <w:rPr>
          <w:rFonts w:asciiTheme="majorBidi" w:hAnsiTheme="majorBidi" w:cstheme="majorBidi"/>
          <w:sz w:val="20"/>
          <w:szCs w:val="20"/>
          <w:lang w:bidi="fa-IR"/>
        </w:rPr>
        <w:t xml:space="preserve">4. </w:t>
      </w:r>
      <w:r w:rsidR="00596AE2" w:rsidRPr="00D0415B">
        <w:rPr>
          <w:rFonts w:asciiTheme="majorBidi" w:hAnsiTheme="majorBidi" w:cstheme="majorBidi"/>
          <w:sz w:val="20"/>
          <w:szCs w:val="20"/>
          <w:lang w:bidi="fa-IR"/>
        </w:rPr>
        <w:t>Karaivazoglou, N., Tsotsolis, N. &amp; Tsadilas, C. Influence of liming and form of nitrogen fertilizer on nutrient uptake, growth, yield, and quality of Virginia (flue-cured) tobacco. Field crops research 100, 52-60 (2007).</w:t>
      </w:r>
      <w:bookmarkEnd w:id="4"/>
    </w:p>
    <w:p w14:paraId="47496467" w14:textId="2BF1C25D" w:rsidR="00596AE2" w:rsidRPr="00D0415B" w:rsidRDefault="00E01742" w:rsidP="00F023B4">
      <w:pPr>
        <w:spacing w:after="0" w:line="0" w:lineRule="atLeast"/>
        <w:rPr>
          <w:rFonts w:asciiTheme="majorBidi" w:hAnsiTheme="majorBidi" w:cstheme="majorBidi"/>
          <w:sz w:val="20"/>
          <w:szCs w:val="20"/>
          <w:lang w:bidi="fa-IR"/>
        </w:rPr>
      </w:pPr>
      <w:bookmarkStart w:id="5" w:name="_ENREF_5"/>
      <w:r w:rsidRPr="00D0415B">
        <w:rPr>
          <w:rFonts w:asciiTheme="majorBidi" w:hAnsiTheme="majorBidi" w:cstheme="majorBidi"/>
          <w:sz w:val="20"/>
          <w:szCs w:val="20"/>
          <w:lang w:bidi="fa-IR"/>
        </w:rPr>
        <w:t xml:space="preserve">5. </w:t>
      </w:r>
      <w:r w:rsidR="00596AE2" w:rsidRPr="00D0415B">
        <w:rPr>
          <w:rFonts w:asciiTheme="majorBidi" w:hAnsiTheme="majorBidi" w:cstheme="majorBidi"/>
          <w:sz w:val="20"/>
          <w:szCs w:val="20"/>
          <w:lang w:bidi="fa-IR"/>
        </w:rPr>
        <w:t>Duangsri, P., Juntarapun, K. &amp; Satirapipathkul, C. in International Conference: Textiles &amp; Fashion.  3-4.</w:t>
      </w:r>
      <w:bookmarkEnd w:id="5"/>
    </w:p>
    <w:p w14:paraId="0DE7D5C8" w14:textId="1D04EF58" w:rsidR="00596AE2" w:rsidRPr="00D0415B" w:rsidRDefault="00E01742" w:rsidP="00F023B4">
      <w:pPr>
        <w:spacing w:after="0" w:line="0" w:lineRule="atLeast"/>
        <w:rPr>
          <w:rFonts w:asciiTheme="majorBidi" w:hAnsiTheme="majorBidi" w:cstheme="majorBidi"/>
          <w:sz w:val="20"/>
          <w:szCs w:val="20"/>
          <w:lang w:bidi="fa-IR"/>
        </w:rPr>
      </w:pPr>
      <w:bookmarkStart w:id="6" w:name="_ENREF_6"/>
      <w:r w:rsidRPr="00D0415B">
        <w:rPr>
          <w:rFonts w:asciiTheme="majorBidi" w:hAnsiTheme="majorBidi" w:cstheme="majorBidi"/>
          <w:sz w:val="20"/>
          <w:szCs w:val="20"/>
          <w:lang w:bidi="fa-IR"/>
        </w:rPr>
        <w:t xml:space="preserve">6. </w:t>
      </w:r>
      <w:r w:rsidR="00596AE2" w:rsidRPr="00D0415B">
        <w:rPr>
          <w:rFonts w:asciiTheme="majorBidi" w:hAnsiTheme="majorBidi" w:cstheme="majorBidi"/>
          <w:sz w:val="20"/>
          <w:szCs w:val="20"/>
          <w:lang w:bidi="fa-IR"/>
        </w:rPr>
        <w:t>Banožić, M., Babić, J. &amp; Jokić, S. Recent advances in extraction of bioactive compounds from tobacco industrial waste-a review. Industrial Crops and Products 144, 112009 (2020).</w:t>
      </w:r>
      <w:bookmarkEnd w:id="6"/>
    </w:p>
    <w:p w14:paraId="4C08B28B" w14:textId="7EFE6951" w:rsidR="00596AE2" w:rsidRPr="00D0415B" w:rsidRDefault="00E01742" w:rsidP="00F023B4">
      <w:pPr>
        <w:spacing w:after="0" w:line="0" w:lineRule="atLeast"/>
        <w:rPr>
          <w:rFonts w:asciiTheme="majorBidi" w:hAnsiTheme="majorBidi" w:cstheme="majorBidi"/>
          <w:sz w:val="20"/>
          <w:szCs w:val="20"/>
          <w:lang w:bidi="fa-IR"/>
        </w:rPr>
      </w:pPr>
      <w:bookmarkStart w:id="7" w:name="_ENREF_7"/>
      <w:r w:rsidRPr="00D0415B">
        <w:rPr>
          <w:rFonts w:asciiTheme="majorBidi" w:hAnsiTheme="majorBidi" w:cstheme="majorBidi"/>
          <w:sz w:val="20"/>
          <w:szCs w:val="20"/>
          <w:lang w:bidi="fa-IR"/>
        </w:rPr>
        <w:t xml:space="preserve">7. </w:t>
      </w:r>
      <w:r w:rsidR="00596AE2" w:rsidRPr="00D0415B">
        <w:rPr>
          <w:rFonts w:asciiTheme="majorBidi" w:hAnsiTheme="majorBidi" w:cstheme="majorBidi"/>
          <w:sz w:val="20"/>
          <w:szCs w:val="20"/>
          <w:lang w:bidi="fa-IR"/>
        </w:rPr>
        <w:t>Ge, L. et al. Study progress of radiomics with machine learning for precision medicine in bladder cancer management. Frontiers in Oncology 9, 1296 (2019).</w:t>
      </w:r>
      <w:bookmarkEnd w:id="7"/>
    </w:p>
    <w:p w14:paraId="0953C12E" w14:textId="724ABA90" w:rsidR="00596AE2" w:rsidRPr="00D0415B" w:rsidRDefault="00E01742" w:rsidP="00F023B4">
      <w:pPr>
        <w:spacing w:after="0" w:line="0" w:lineRule="atLeast"/>
        <w:rPr>
          <w:rFonts w:asciiTheme="majorBidi" w:hAnsiTheme="majorBidi" w:cstheme="majorBidi"/>
          <w:sz w:val="20"/>
          <w:szCs w:val="20"/>
          <w:lang w:bidi="fa-IR"/>
        </w:rPr>
      </w:pPr>
      <w:bookmarkStart w:id="8" w:name="_ENREF_8"/>
      <w:r w:rsidRPr="00D0415B">
        <w:rPr>
          <w:rFonts w:asciiTheme="majorBidi" w:hAnsiTheme="majorBidi" w:cstheme="majorBidi"/>
          <w:sz w:val="20"/>
          <w:szCs w:val="20"/>
          <w:lang w:bidi="fa-IR"/>
        </w:rPr>
        <w:t xml:space="preserve">8. </w:t>
      </w:r>
      <w:r w:rsidR="00596AE2" w:rsidRPr="00D0415B">
        <w:rPr>
          <w:rFonts w:asciiTheme="majorBidi" w:hAnsiTheme="majorBidi" w:cstheme="majorBidi"/>
          <w:sz w:val="20"/>
          <w:szCs w:val="20"/>
          <w:lang w:bidi="fa-IR"/>
        </w:rPr>
        <w:t>Zou, X. et al. Screening of polyphenols in tobacco (</w:t>
      </w:r>
      <w:r w:rsidR="00596AE2" w:rsidRPr="00D0415B">
        <w:rPr>
          <w:rFonts w:asciiTheme="majorBidi" w:hAnsiTheme="majorBidi" w:cstheme="majorBidi"/>
          <w:i/>
          <w:iCs/>
          <w:sz w:val="20"/>
          <w:szCs w:val="20"/>
          <w:lang w:bidi="fa-IR"/>
        </w:rPr>
        <w:t>Nicotiana tabacum</w:t>
      </w:r>
      <w:r w:rsidR="00596AE2" w:rsidRPr="00D0415B">
        <w:rPr>
          <w:rFonts w:asciiTheme="majorBidi" w:hAnsiTheme="majorBidi" w:cstheme="majorBidi"/>
          <w:sz w:val="20"/>
          <w:szCs w:val="20"/>
          <w:lang w:bidi="fa-IR"/>
        </w:rPr>
        <w:t>) and determination of their antioxidant activity in different tobacco varieties. ACS omega 6, 25361-25371 (2021).</w:t>
      </w:r>
      <w:bookmarkEnd w:id="8"/>
    </w:p>
    <w:p w14:paraId="7ABAB07F" w14:textId="0EE1D69A" w:rsidR="00596AE2" w:rsidRPr="00D0415B" w:rsidRDefault="00E01742" w:rsidP="00F023B4">
      <w:pPr>
        <w:spacing w:after="0" w:line="0" w:lineRule="atLeast"/>
        <w:rPr>
          <w:rFonts w:asciiTheme="majorBidi" w:hAnsiTheme="majorBidi" w:cstheme="majorBidi"/>
          <w:sz w:val="20"/>
          <w:szCs w:val="20"/>
          <w:lang w:bidi="fa-IR"/>
        </w:rPr>
      </w:pPr>
      <w:bookmarkStart w:id="9" w:name="_ENREF_9"/>
      <w:r w:rsidRPr="00D0415B">
        <w:rPr>
          <w:rFonts w:asciiTheme="majorBidi" w:hAnsiTheme="majorBidi" w:cstheme="majorBidi"/>
          <w:sz w:val="20"/>
          <w:szCs w:val="20"/>
          <w:lang w:bidi="fa-IR"/>
        </w:rPr>
        <w:t xml:space="preserve">9. </w:t>
      </w:r>
      <w:r w:rsidR="00596AE2" w:rsidRPr="00D0415B">
        <w:rPr>
          <w:rFonts w:asciiTheme="majorBidi" w:hAnsiTheme="majorBidi" w:cstheme="majorBidi"/>
          <w:sz w:val="20"/>
          <w:szCs w:val="20"/>
          <w:lang w:bidi="fa-IR"/>
        </w:rPr>
        <w:t>Makhdum, I., Nawaz, A., Shabab, M., Ahmad, F. &amp; Illahi, F. Physiological response of cotton to methanol foliar application. Journal of Research (Science) 13, 37-43 (2002).</w:t>
      </w:r>
      <w:bookmarkEnd w:id="9"/>
    </w:p>
    <w:p w14:paraId="33A28AA9" w14:textId="048AECF8" w:rsidR="00596AE2" w:rsidRPr="00D0415B" w:rsidRDefault="00E01742" w:rsidP="00F023B4">
      <w:pPr>
        <w:spacing w:after="0" w:line="0" w:lineRule="atLeast"/>
        <w:rPr>
          <w:rFonts w:asciiTheme="majorBidi" w:hAnsiTheme="majorBidi" w:cstheme="majorBidi"/>
          <w:sz w:val="20"/>
          <w:szCs w:val="20"/>
          <w:lang w:bidi="fa-IR"/>
        </w:rPr>
      </w:pPr>
      <w:bookmarkStart w:id="10" w:name="_ENREF_10"/>
      <w:r w:rsidRPr="00D0415B">
        <w:rPr>
          <w:rFonts w:asciiTheme="majorBidi" w:hAnsiTheme="majorBidi" w:cstheme="majorBidi"/>
          <w:sz w:val="20"/>
          <w:szCs w:val="20"/>
          <w:lang w:bidi="fa-IR"/>
        </w:rPr>
        <w:t xml:space="preserve">10. </w:t>
      </w:r>
      <w:r w:rsidR="00596AE2" w:rsidRPr="00D0415B">
        <w:rPr>
          <w:rFonts w:asciiTheme="majorBidi" w:hAnsiTheme="majorBidi" w:cstheme="majorBidi"/>
          <w:sz w:val="20"/>
          <w:szCs w:val="20"/>
          <w:lang w:bidi="fa-IR"/>
        </w:rPr>
        <w:t>Raina, R. &amp; Mazahar, S. in Advances in Plant Nitrogen Metabolism     19-27 (CRC Press, 2022).</w:t>
      </w:r>
      <w:bookmarkEnd w:id="10"/>
    </w:p>
    <w:p w14:paraId="14361BF1" w14:textId="2D68D02F" w:rsidR="00596AE2" w:rsidRPr="00D0415B" w:rsidRDefault="00E01742" w:rsidP="00F023B4">
      <w:pPr>
        <w:spacing w:after="0" w:line="0" w:lineRule="atLeast"/>
        <w:rPr>
          <w:rFonts w:asciiTheme="majorBidi" w:hAnsiTheme="majorBidi" w:cstheme="majorBidi"/>
          <w:sz w:val="20"/>
          <w:szCs w:val="20"/>
          <w:lang w:bidi="fa-IR"/>
        </w:rPr>
      </w:pPr>
      <w:bookmarkStart w:id="11" w:name="_ENREF_11"/>
      <w:r w:rsidRPr="00D0415B">
        <w:rPr>
          <w:rFonts w:asciiTheme="majorBidi" w:hAnsiTheme="majorBidi" w:cstheme="majorBidi"/>
          <w:sz w:val="20"/>
          <w:szCs w:val="20"/>
          <w:lang w:bidi="fa-IR"/>
        </w:rPr>
        <w:t xml:space="preserve">11. </w:t>
      </w:r>
      <w:r w:rsidR="00596AE2" w:rsidRPr="00D0415B">
        <w:rPr>
          <w:rFonts w:asciiTheme="majorBidi" w:hAnsiTheme="majorBidi" w:cstheme="majorBidi"/>
          <w:sz w:val="20"/>
          <w:szCs w:val="20"/>
          <w:lang w:bidi="fa-IR"/>
        </w:rPr>
        <w:t>McDaniel, P. A., Smith, E. A. &amp; Malone, R. E. The tobacco endgame: a qualitative review and synthesis. Tobacco Control 25, 594-604 (2016).</w:t>
      </w:r>
      <w:bookmarkEnd w:id="11"/>
    </w:p>
    <w:p w14:paraId="2EDE2DDD" w14:textId="3AB0FCBA" w:rsidR="00596AE2" w:rsidRPr="00D0415B" w:rsidRDefault="00E01742" w:rsidP="00F023B4">
      <w:pPr>
        <w:spacing w:after="0" w:line="0" w:lineRule="atLeast"/>
        <w:rPr>
          <w:rFonts w:asciiTheme="majorBidi" w:hAnsiTheme="majorBidi" w:cstheme="majorBidi"/>
          <w:sz w:val="20"/>
          <w:szCs w:val="20"/>
          <w:lang w:bidi="fa-IR"/>
        </w:rPr>
      </w:pPr>
      <w:bookmarkStart w:id="12" w:name="_ENREF_12"/>
      <w:r w:rsidRPr="00D0415B">
        <w:rPr>
          <w:rFonts w:asciiTheme="majorBidi" w:hAnsiTheme="majorBidi" w:cstheme="majorBidi"/>
          <w:sz w:val="20"/>
          <w:szCs w:val="20"/>
          <w:lang w:bidi="fa-IR"/>
        </w:rPr>
        <w:t xml:space="preserve">12. </w:t>
      </w:r>
      <w:r w:rsidR="00596AE2" w:rsidRPr="00D0415B">
        <w:rPr>
          <w:rFonts w:asciiTheme="majorBidi" w:hAnsiTheme="majorBidi" w:cstheme="majorBidi"/>
          <w:sz w:val="20"/>
          <w:szCs w:val="20"/>
          <w:lang w:bidi="fa-IR"/>
        </w:rPr>
        <w:t>Kaya, C. &amp; Ashraf, M. Foliar fertilization: a potential strategy for improving plant salt tolerance. Critical Reviews in Plant Sciences 43, 94-115 (2024).</w:t>
      </w:r>
      <w:bookmarkEnd w:id="12"/>
    </w:p>
    <w:p w14:paraId="5BD463A7" w14:textId="2C3B27D9" w:rsidR="00596AE2" w:rsidRPr="00D0415B" w:rsidRDefault="00E01742" w:rsidP="00F023B4">
      <w:pPr>
        <w:spacing w:after="0" w:line="0" w:lineRule="atLeast"/>
        <w:rPr>
          <w:rFonts w:asciiTheme="majorBidi" w:hAnsiTheme="majorBidi" w:cstheme="majorBidi"/>
          <w:sz w:val="20"/>
          <w:szCs w:val="20"/>
          <w:lang w:bidi="fa-IR"/>
        </w:rPr>
      </w:pPr>
      <w:bookmarkStart w:id="13" w:name="_ENREF_13"/>
      <w:r w:rsidRPr="00D0415B">
        <w:rPr>
          <w:rFonts w:asciiTheme="majorBidi" w:hAnsiTheme="majorBidi" w:cstheme="majorBidi"/>
          <w:sz w:val="20"/>
          <w:szCs w:val="20"/>
          <w:lang w:bidi="fa-IR"/>
        </w:rPr>
        <w:lastRenderedPageBreak/>
        <w:t xml:space="preserve">13. </w:t>
      </w:r>
      <w:r w:rsidR="00596AE2" w:rsidRPr="00D0415B">
        <w:rPr>
          <w:rFonts w:asciiTheme="majorBidi" w:hAnsiTheme="majorBidi" w:cstheme="majorBidi"/>
          <w:sz w:val="20"/>
          <w:szCs w:val="20"/>
          <w:lang w:bidi="fa-IR"/>
        </w:rPr>
        <w:t>Parrey, Z. A. et al. Nitrogen supplementation modulates morphological, biochemical, yield and quality attributes of peppermint. Plants 12, 809 (2023).</w:t>
      </w:r>
      <w:bookmarkEnd w:id="13"/>
    </w:p>
    <w:p w14:paraId="55BEFE44" w14:textId="5AAFC2C5" w:rsidR="00596AE2" w:rsidRPr="00D0415B" w:rsidRDefault="00E01742" w:rsidP="00F023B4">
      <w:pPr>
        <w:spacing w:after="0" w:line="0" w:lineRule="atLeast"/>
        <w:rPr>
          <w:rFonts w:asciiTheme="majorBidi" w:hAnsiTheme="majorBidi" w:cstheme="majorBidi"/>
          <w:sz w:val="20"/>
          <w:szCs w:val="20"/>
          <w:lang w:bidi="fa-IR"/>
        </w:rPr>
      </w:pPr>
      <w:bookmarkStart w:id="14" w:name="_ENREF_14"/>
      <w:r w:rsidRPr="00D0415B">
        <w:rPr>
          <w:rFonts w:asciiTheme="majorBidi" w:hAnsiTheme="majorBidi" w:cstheme="majorBidi"/>
          <w:sz w:val="20"/>
          <w:szCs w:val="20"/>
          <w:lang w:bidi="fa-IR"/>
        </w:rPr>
        <w:t xml:space="preserve">14. </w:t>
      </w:r>
      <w:r w:rsidR="00596AE2" w:rsidRPr="00D0415B">
        <w:rPr>
          <w:rFonts w:asciiTheme="majorBidi" w:hAnsiTheme="majorBidi" w:cstheme="majorBidi"/>
          <w:sz w:val="20"/>
          <w:szCs w:val="20"/>
          <w:lang w:bidi="fa-IR"/>
        </w:rPr>
        <w:t>Jiang, C., Zu, C. &amp; Wang, H. Effect of nitrogen fertilization on growth and photosynthetic nitrogen use efficiency in tobacco (Nicotiana tabacum L.). Journal of Life Sciences 9, 373-380 (2015).</w:t>
      </w:r>
      <w:bookmarkEnd w:id="14"/>
    </w:p>
    <w:p w14:paraId="5FC1B6F7" w14:textId="058698EE" w:rsidR="00596AE2" w:rsidRPr="00D0415B" w:rsidRDefault="00E01742" w:rsidP="00F023B4">
      <w:pPr>
        <w:spacing w:after="0" w:line="0" w:lineRule="atLeast"/>
        <w:rPr>
          <w:rFonts w:asciiTheme="majorBidi" w:hAnsiTheme="majorBidi" w:cstheme="majorBidi"/>
          <w:sz w:val="20"/>
          <w:szCs w:val="20"/>
          <w:lang w:bidi="fa-IR"/>
        </w:rPr>
      </w:pPr>
      <w:bookmarkStart w:id="15" w:name="_ENREF_15"/>
      <w:r w:rsidRPr="00D0415B">
        <w:rPr>
          <w:rFonts w:asciiTheme="majorBidi" w:hAnsiTheme="majorBidi" w:cstheme="majorBidi"/>
          <w:sz w:val="20"/>
          <w:szCs w:val="20"/>
          <w:lang w:bidi="fa-IR"/>
        </w:rPr>
        <w:t xml:space="preserve">15. </w:t>
      </w:r>
      <w:r w:rsidR="00596AE2" w:rsidRPr="00D0415B">
        <w:rPr>
          <w:rFonts w:asciiTheme="majorBidi" w:hAnsiTheme="majorBidi" w:cstheme="majorBidi"/>
          <w:sz w:val="20"/>
          <w:szCs w:val="20"/>
          <w:lang w:bidi="fa-IR"/>
        </w:rPr>
        <w:t>Li, Y., Yang, X., Ren, B., Shen, Q. &amp; Guo, S. Why nitrogen use efficiency decreases under high nitrogen supply in rice (</w:t>
      </w:r>
      <w:r w:rsidR="00596AE2" w:rsidRPr="00D0415B">
        <w:rPr>
          <w:rFonts w:asciiTheme="majorBidi" w:hAnsiTheme="majorBidi" w:cstheme="majorBidi"/>
          <w:i/>
          <w:iCs/>
          <w:sz w:val="20"/>
          <w:szCs w:val="20"/>
          <w:lang w:bidi="fa-IR"/>
        </w:rPr>
        <w:t>Oryza sativa</w:t>
      </w:r>
      <w:r w:rsidR="00596AE2" w:rsidRPr="00D0415B">
        <w:rPr>
          <w:rFonts w:asciiTheme="majorBidi" w:hAnsiTheme="majorBidi" w:cstheme="majorBidi"/>
          <w:sz w:val="20"/>
          <w:szCs w:val="20"/>
          <w:lang w:bidi="fa-IR"/>
        </w:rPr>
        <w:t xml:space="preserve"> L.) seedlings. Journal of Plant Growth Regulation 31, 47-52 (2012).</w:t>
      </w:r>
      <w:bookmarkEnd w:id="15"/>
    </w:p>
    <w:p w14:paraId="5FDA1DD4" w14:textId="1E5FDEF3" w:rsidR="00596AE2" w:rsidRPr="00D0415B" w:rsidRDefault="00E01742" w:rsidP="00F023B4">
      <w:pPr>
        <w:spacing w:after="0" w:line="0" w:lineRule="atLeast"/>
        <w:rPr>
          <w:rFonts w:asciiTheme="majorBidi" w:hAnsiTheme="majorBidi" w:cstheme="majorBidi"/>
          <w:sz w:val="20"/>
          <w:szCs w:val="20"/>
          <w:lang w:bidi="fa-IR"/>
        </w:rPr>
      </w:pPr>
      <w:bookmarkStart w:id="16" w:name="_ENREF_16"/>
      <w:r w:rsidRPr="00D0415B">
        <w:rPr>
          <w:rFonts w:asciiTheme="majorBidi" w:hAnsiTheme="majorBidi" w:cstheme="majorBidi"/>
          <w:sz w:val="20"/>
          <w:szCs w:val="20"/>
          <w:lang w:bidi="fa-IR"/>
        </w:rPr>
        <w:t xml:space="preserve">16. </w:t>
      </w:r>
      <w:r w:rsidR="00596AE2" w:rsidRPr="00D0415B">
        <w:rPr>
          <w:rFonts w:asciiTheme="majorBidi" w:hAnsiTheme="majorBidi" w:cstheme="majorBidi"/>
          <w:sz w:val="20"/>
          <w:szCs w:val="20"/>
          <w:lang w:bidi="fa-IR"/>
        </w:rPr>
        <w:t>Li, J.-z., Li, B., Guan, Q. &amp; Gao, J.-m. Signal molecules controlling nitrate uptake by roots. Journal of Plant Interactions 17, 301-308 (2022).</w:t>
      </w:r>
      <w:bookmarkEnd w:id="16"/>
    </w:p>
    <w:p w14:paraId="7246ABF6" w14:textId="41FBCC71" w:rsidR="00596AE2" w:rsidRPr="00D0415B" w:rsidRDefault="00E01742" w:rsidP="00F023B4">
      <w:pPr>
        <w:spacing w:after="0" w:line="0" w:lineRule="atLeast"/>
        <w:rPr>
          <w:rFonts w:asciiTheme="majorBidi" w:hAnsiTheme="majorBidi" w:cstheme="majorBidi"/>
          <w:sz w:val="20"/>
          <w:szCs w:val="20"/>
          <w:lang w:bidi="fa-IR"/>
        </w:rPr>
      </w:pPr>
      <w:bookmarkStart w:id="17" w:name="_ENREF_17"/>
      <w:r w:rsidRPr="00D0415B">
        <w:rPr>
          <w:rFonts w:asciiTheme="majorBidi" w:hAnsiTheme="majorBidi" w:cstheme="majorBidi"/>
          <w:sz w:val="20"/>
          <w:szCs w:val="20"/>
          <w:lang w:bidi="fa-IR"/>
        </w:rPr>
        <w:t xml:space="preserve">17. </w:t>
      </w:r>
      <w:r w:rsidR="00596AE2" w:rsidRPr="00D0415B">
        <w:rPr>
          <w:rFonts w:asciiTheme="majorBidi" w:hAnsiTheme="majorBidi" w:cstheme="majorBidi"/>
          <w:sz w:val="20"/>
          <w:szCs w:val="20"/>
          <w:lang w:bidi="fa-IR"/>
        </w:rPr>
        <w:t>Moradi, S., Pasari, B. &amp; Talebi, R. Study of the effects of mycorrhiza, fulvic acid, seaweed extract and urea on physiological traits and leaf yield of tobacco (Burley 21). European Journal of Environmental Sciences 9, 33-40 (2019).</w:t>
      </w:r>
      <w:bookmarkEnd w:id="17"/>
    </w:p>
    <w:p w14:paraId="5FA12213" w14:textId="4EB41864" w:rsidR="00596AE2" w:rsidRPr="00D0415B" w:rsidRDefault="00E01742" w:rsidP="00F023B4">
      <w:pPr>
        <w:spacing w:after="0" w:line="0" w:lineRule="atLeast"/>
        <w:rPr>
          <w:rFonts w:asciiTheme="majorBidi" w:hAnsiTheme="majorBidi" w:cstheme="majorBidi"/>
          <w:sz w:val="20"/>
          <w:szCs w:val="20"/>
          <w:lang w:bidi="fa-IR"/>
        </w:rPr>
      </w:pPr>
      <w:bookmarkStart w:id="18" w:name="_ENREF_18"/>
      <w:r w:rsidRPr="00D0415B">
        <w:rPr>
          <w:rFonts w:asciiTheme="majorBidi" w:hAnsiTheme="majorBidi" w:cstheme="majorBidi"/>
          <w:sz w:val="20"/>
          <w:szCs w:val="20"/>
          <w:lang w:bidi="fa-IR"/>
        </w:rPr>
        <w:t xml:space="preserve">18. </w:t>
      </w:r>
      <w:r w:rsidR="00596AE2" w:rsidRPr="00D0415B">
        <w:rPr>
          <w:rFonts w:asciiTheme="majorBidi" w:hAnsiTheme="majorBidi" w:cstheme="majorBidi"/>
          <w:sz w:val="20"/>
          <w:szCs w:val="20"/>
          <w:lang w:bidi="fa-IR"/>
        </w:rPr>
        <w:t>Beier, M. P. &amp; Kojima, S. The function of high‐affinity urea transporters in nitrogen‐deficient conditions. Physiologia Plantarum 171, 802-808 (2021).</w:t>
      </w:r>
      <w:bookmarkEnd w:id="18"/>
    </w:p>
    <w:p w14:paraId="063E7DE8" w14:textId="17C19119" w:rsidR="00596AE2" w:rsidRPr="00D0415B" w:rsidRDefault="00E01742" w:rsidP="00F023B4">
      <w:pPr>
        <w:spacing w:after="0" w:line="0" w:lineRule="atLeast"/>
        <w:rPr>
          <w:rFonts w:asciiTheme="majorBidi" w:hAnsiTheme="majorBidi" w:cstheme="majorBidi"/>
          <w:sz w:val="20"/>
          <w:szCs w:val="20"/>
          <w:lang w:bidi="fa-IR"/>
        </w:rPr>
      </w:pPr>
      <w:bookmarkStart w:id="19" w:name="_ENREF_19"/>
      <w:r w:rsidRPr="00D0415B">
        <w:rPr>
          <w:rFonts w:asciiTheme="majorBidi" w:hAnsiTheme="majorBidi" w:cstheme="majorBidi"/>
          <w:sz w:val="20"/>
          <w:szCs w:val="20"/>
          <w:lang w:bidi="fa-IR"/>
        </w:rPr>
        <w:t xml:space="preserve">19. </w:t>
      </w:r>
      <w:r w:rsidR="00596AE2" w:rsidRPr="00D0415B">
        <w:rPr>
          <w:rFonts w:asciiTheme="majorBidi" w:hAnsiTheme="majorBidi" w:cstheme="majorBidi"/>
          <w:sz w:val="20"/>
          <w:szCs w:val="20"/>
          <w:lang w:bidi="fa-IR"/>
        </w:rPr>
        <w:t>Ali, A. Y. A. et al. Interactive impacts of soil salinity and jasmonic acid and humic acid on growth parameters, forage yield and photosynthesis parameters of sorghum plants. South African Journal of Botany 146, 293-303 (2022).</w:t>
      </w:r>
      <w:bookmarkEnd w:id="19"/>
    </w:p>
    <w:p w14:paraId="553FCF11" w14:textId="2C8A844A" w:rsidR="00596AE2" w:rsidRPr="00D0415B" w:rsidRDefault="00E01742" w:rsidP="00F023B4">
      <w:pPr>
        <w:spacing w:after="0" w:line="0" w:lineRule="atLeast"/>
        <w:rPr>
          <w:rFonts w:asciiTheme="majorBidi" w:hAnsiTheme="majorBidi" w:cstheme="majorBidi"/>
          <w:sz w:val="20"/>
          <w:szCs w:val="20"/>
          <w:lang w:bidi="fa-IR"/>
        </w:rPr>
      </w:pPr>
      <w:bookmarkStart w:id="20" w:name="_ENREF_20"/>
      <w:r w:rsidRPr="00D0415B">
        <w:rPr>
          <w:rFonts w:asciiTheme="majorBidi" w:hAnsiTheme="majorBidi" w:cstheme="majorBidi"/>
          <w:sz w:val="20"/>
          <w:szCs w:val="20"/>
          <w:lang w:bidi="fa-IR"/>
        </w:rPr>
        <w:t xml:space="preserve">20. </w:t>
      </w:r>
      <w:r w:rsidR="00596AE2" w:rsidRPr="00D0415B">
        <w:rPr>
          <w:rFonts w:asciiTheme="majorBidi" w:hAnsiTheme="majorBidi" w:cstheme="majorBidi"/>
          <w:sz w:val="20"/>
          <w:szCs w:val="20"/>
          <w:lang w:bidi="fa-IR"/>
        </w:rPr>
        <w:t>Zhang, R. et al. Foliar applications of urea and melatonin to alleviate waterlogging stress on photosynthesis and antioxidant metabolism in sorghum seedlings. Plant Growth Regulation, 1-10 (2021).</w:t>
      </w:r>
      <w:bookmarkEnd w:id="20"/>
    </w:p>
    <w:p w14:paraId="4E92FC3A" w14:textId="1A6491AB" w:rsidR="00596AE2" w:rsidRPr="00D0415B" w:rsidRDefault="00E01742" w:rsidP="00F023B4">
      <w:pPr>
        <w:spacing w:after="0" w:line="0" w:lineRule="atLeast"/>
        <w:rPr>
          <w:rFonts w:asciiTheme="majorBidi" w:hAnsiTheme="majorBidi" w:cstheme="majorBidi"/>
          <w:sz w:val="20"/>
          <w:szCs w:val="20"/>
          <w:lang w:bidi="fa-IR"/>
        </w:rPr>
      </w:pPr>
      <w:bookmarkStart w:id="21" w:name="_ENREF_21"/>
      <w:r w:rsidRPr="00D0415B">
        <w:rPr>
          <w:rFonts w:asciiTheme="majorBidi" w:hAnsiTheme="majorBidi" w:cstheme="majorBidi"/>
          <w:sz w:val="20"/>
          <w:szCs w:val="20"/>
          <w:lang w:bidi="fa-IR"/>
        </w:rPr>
        <w:t xml:space="preserve">21. </w:t>
      </w:r>
      <w:r w:rsidR="00596AE2" w:rsidRPr="00D0415B">
        <w:rPr>
          <w:rFonts w:asciiTheme="majorBidi" w:hAnsiTheme="majorBidi" w:cstheme="majorBidi"/>
          <w:sz w:val="20"/>
          <w:szCs w:val="20"/>
          <w:lang w:bidi="fa-IR"/>
        </w:rPr>
        <w:t>Hamid, Z. H., Amer, M. &amp; Wahab, A. Effect of arginine on growth and yield of tomato plant (Lycopersicon esculentum) under drought stress. Plant Arch 19, 4441-4444 (2019).</w:t>
      </w:r>
      <w:bookmarkEnd w:id="21"/>
    </w:p>
    <w:p w14:paraId="148995CA" w14:textId="0C65E0F5" w:rsidR="00596AE2" w:rsidRPr="00D0415B" w:rsidRDefault="00E01742" w:rsidP="00F023B4">
      <w:pPr>
        <w:spacing w:after="0" w:line="0" w:lineRule="atLeast"/>
        <w:rPr>
          <w:rFonts w:asciiTheme="majorBidi" w:hAnsiTheme="majorBidi" w:cstheme="majorBidi"/>
          <w:sz w:val="20"/>
          <w:szCs w:val="20"/>
          <w:lang w:bidi="fa-IR"/>
        </w:rPr>
      </w:pPr>
      <w:bookmarkStart w:id="22" w:name="_ENREF_22"/>
      <w:r w:rsidRPr="00D0415B">
        <w:rPr>
          <w:rFonts w:asciiTheme="majorBidi" w:hAnsiTheme="majorBidi" w:cstheme="majorBidi"/>
          <w:sz w:val="20"/>
          <w:szCs w:val="20"/>
          <w:lang w:bidi="fa-IR"/>
        </w:rPr>
        <w:t xml:space="preserve">22. </w:t>
      </w:r>
      <w:r w:rsidR="00596AE2" w:rsidRPr="00D0415B">
        <w:rPr>
          <w:rFonts w:asciiTheme="majorBidi" w:hAnsiTheme="majorBidi" w:cstheme="majorBidi"/>
          <w:sz w:val="20"/>
          <w:szCs w:val="20"/>
          <w:lang w:bidi="fa-IR"/>
        </w:rPr>
        <w:t>Palic, R., Stojanovic, G., Alagic, S., Nikolic, M. &amp; Lepojevic, Z. Chemical composition and antimicrobial activity of the essential oil and CO2 extracts of the oriental tobacco, Prilep. Flavour and fragrance Journal 17, 323-326 (2002).</w:t>
      </w:r>
      <w:bookmarkEnd w:id="22"/>
    </w:p>
    <w:p w14:paraId="5D294C7B" w14:textId="09249068" w:rsidR="00596AE2" w:rsidRPr="00D0415B" w:rsidRDefault="00E01742" w:rsidP="00F023B4">
      <w:pPr>
        <w:spacing w:after="0" w:line="0" w:lineRule="atLeast"/>
        <w:rPr>
          <w:rFonts w:asciiTheme="majorBidi" w:hAnsiTheme="majorBidi" w:cstheme="majorBidi"/>
          <w:sz w:val="20"/>
          <w:szCs w:val="20"/>
          <w:lang w:bidi="fa-IR"/>
        </w:rPr>
      </w:pPr>
      <w:bookmarkStart w:id="23" w:name="_ENREF_23"/>
      <w:r w:rsidRPr="00D0415B">
        <w:rPr>
          <w:rFonts w:asciiTheme="majorBidi" w:hAnsiTheme="majorBidi" w:cstheme="majorBidi"/>
          <w:sz w:val="20"/>
          <w:szCs w:val="20"/>
          <w:lang w:bidi="fa-IR"/>
        </w:rPr>
        <w:t xml:space="preserve">23. </w:t>
      </w:r>
      <w:r w:rsidR="00596AE2" w:rsidRPr="00D0415B">
        <w:rPr>
          <w:rFonts w:asciiTheme="majorBidi" w:hAnsiTheme="majorBidi" w:cstheme="majorBidi"/>
          <w:sz w:val="20"/>
          <w:szCs w:val="20"/>
          <w:lang w:bidi="fa-IR"/>
        </w:rPr>
        <w:t>Fung, T. K., Lau, B. W., Ngai, S. P. &amp; Tsang, H. W. Therapeutic effect and mechanisms of essential oils in mood disorders: Interaction between the nervous and respiratory systems. International Journal of Molecular Sciences 22, 4844 (2021).</w:t>
      </w:r>
      <w:bookmarkEnd w:id="23"/>
    </w:p>
    <w:p w14:paraId="012F5FDE" w14:textId="0E8D25E5" w:rsidR="00596AE2" w:rsidRPr="00D0415B" w:rsidRDefault="00E01742" w:rsidP="00F023B4">
      <w:pPr>
        <w:spacing w:after="0" w:line="0" w:lineRule="atLeast"/>
        <w:rPr>
          <w:rFonts w:asciiTheme="majorBidi" w:hAnsiTheme="majorBidi" w:cstheme="majorBidi"/>
          <w:sz w:val="20"/>
          <w:szCs w:val="20"/>
          <w:lang w:bidi="fa-IR"/>
        </w:rPr>
      </w:pPr>
      <w:bookmarkStart w:id="24" w:name="_ENREF_24"/>
      <w:r w:rsidRPr="00D0415B">
        <w:rPr>
          <w:rFonts w:asciiTheme="majorBidi" w:hAnsiTheme="majorBidi" w:cstheme="majorBidi"/>
          <w:sz w:val="20"/>
          <w:szCs w:val="20"/>
          <w:lang w:bidi="fa-IR"/>
        </w:rPr>
        <w:t xml:space="preserve">24. </w:t>
      </w:r>
      <w:r w:rsidR="00596AE2" w:rsidRPr="00D0415B">
        <w:rPr>
          <w:rFonts w:asciiTheme="majorBidi" w:hAnsiTheme="majorBidi" w:cstheme="majorBidi"/>
          <w:sz w:val="20"/>
          <w:szCs w:val="20"/>
          <w:lang w:bidi="fa-IR"/>
        </w:rPr>
        <w:t>EL-Zefzafy, M. M., Shahhat, I. M., Yousef, R. S. &amp; Elsharkawy, E. R. Influence of foliar application with amino acids and citric acid on physiological and phytochemical responses of Artemisia abrotanum produced by in vitro culture. Bioscience Biotechnology Research Communications 9, 702-711 (2016).</w:t>
      </w:r>
      <w:bookmarkEnd w:id="24"/>
    </w:p>
    <w:p w14:paraId="48059A0F" w14:textId="38A8DB26" w:rsidR="00596AE2" w:rsidRPr="00D0415B" w:rsidRDefault="00E01742" w:rsidP="00F023B4">
      <w:pPr>
        <w:spacing w:after="0" w:line="0" w:lineRule="atLeast"/>
        <w:rPr>
          <w:rFonts w:asciiTheme="majorBidi" w:hAnsiTheme="majorBidi" w:cstheme="majorBidi"/>
          <w:sz w:val="20"/>
          <w:szCs w:val="20"/>
          <w:lang w:bidi="fa-IR"/>
        </w:rPr>
      </w:pPr>
      <w:bookmarkStart w:id="25" w:name="_ENREF_25"/>
      <w:r w:rsidRPr="00D0415B">
        <w:rPr>
          <w:rFonts w:asciiTheme="majorBidi" w:hAnsiTheme="majorBidi" w:cstheme="majorBidi"/>
          <w:sz w:val="20"/>
          <w:szCs w:val="20"/>
          <w:lang w:bidi="fa-IR"/>
        </w:rPr>
        <w:t xml:space="preserve">25. </w:t>
      </w:r>
      <w:r w:rsidR="00596AE2" w:rsidRPr="00D0415B">
        <w:rPr>
          <w:rFonts w:asciiTheme="majorBidi" w:hAnsiTheme="majorBidi" w:cstheme="majorBidi"/>
          <w:sz w:val="20"/>
          <w:szCs w:val="20"/>
          <w:lang w:bidi="fa-IR"/>
        </w:rPr>
        <w:t>Jahanbani, S., Mumivand, H., Zahedi, B. &amp; Argento, S. Foliar Application of Urea and Amino Acids Regulates Growth, Photosynthesis, Pigments, Antioxidant Activity, and the Essential Oil Content and Composition of Basil (</w:t>
      </w:r>
      <w:r w:rsidR="00596AE2" w:rsidRPr="00D0415B">
        <w:rPr>
          <w:rFonts w:asciiTheme="majorBidi" w:hAnsiTheme="majorBidi" w:cstheme="majorBidi"/>
          <w:i/>
          <w:iCs/>
          <w:sz w:val="20"/>
          <w:szCs w:val="20"/>
          <w:lang w:bidi="fa-IR"/>
        </w:rPr>
        <w:t>Ocimum basilicum</w:t>
      </w:r>
      <w:r w:rsidR="00596AE2" w:rsidRPr="00D0415B">
        <w:rPr>
          <w:rFonts w:asciiTheme="majorBidi" w:hAnsiTheme="majorBidi" w:cstheme="majorBidi"/>
          <w:sz w:val="20"/>
          <w:szCs w:val="20"/>
          <w:lang w:bidi="fa-IR"/>
        </w:rPr>
        <w:t xml:space="preserve"> L.). Agronomy 14, 2950 (2024).</w:t>
      </w:r>
      <w:bookmarkEnd w:id="25"/>
    </w:p>
    <w:p w14:paraId="2D6AB06C" w14:textId="21FD5D12" w:rsidR="00596AE2" w:rsidRPr="00D0415B" w:rsidRDefault="00E01742" w:rsidP="00F023B4">
      <w:pPr>
        <w:spacing w:after="0" w:line="0" w:lineRule="atLeast"/>
        <w:rPr>
          <w:rFonts w:asciiTheme="majorBidi" w:hAnsiTheme="majorBidi" w:cstheme="majorBidi"/>
          <w:sz w:val="20"/>
          <w:szCs w:val="20"/>
          <w:lang w:bidi="fa-IR"/>
        </w:rPr>
      </w:pPr>
      <w:bookmarkStart w:id="26" w:name="_ENREF_26"/>
      <w:r w:rsidRPr="00D0415B">
        <w:rPr>
          <w:rFonts w:asciiTheme="majorBidi" w:hAnsiTheme="majorBidi" w:cstheme="majorBidi"/>
          <w:sz w:val="20"/>
          <w:szCs w:val="20"/>
          <w:lang w:bidi="fa-IR"/>
        </w:rPr>
        <w:t xml:space="preserve">26. </w:t>
      </w:r>
      <w:r w:rsidR="00596AE2" w:rsidRPr="00D0415B">
        <w:rPr>
          <w:rFonts w:asciiTheme="majorBidi" w:hAnsiTheme="majorBidi" w:cstheme="majorBidi"/>
          <w:sz w:val="20"/>
          <w:szCs w:val="20"/>
          <w:lang w:bidi="fa-IR"/>
        </w:rPr>
        <w:t>Tarraf, S. A., Talaat, I. M., El-Sayed, A. E.-K. B. &amp; Balbaa, L. K. Influence of foliar application of algae extract and amino acids mixture on fenugreek plants in sandy and clay soils. Nusantara Bioscience 7 (2015).</w:t>
      </w:r>
      <w:bookmarkEnd w:id="26"/>
    </w:p>
    <w:p w14:paraId="7899B0B7" w14:textId="1E789C2A" w:rsidR="00596AE2" w:rsidRPr="00D0415B" w:rsidRDefault="00E01742" w:rsidP="00F023B4">
      <w:pPr>
        <w:spacing w:after="0" w:line="0" w:lineRule="atLeast"/>
        <w:rPr>
          <w:rFonts w:asciiTheme="majorBidi" w:hAnsiTheme="majorBidi" w:cstheme="majorBidi"/>
          <w:sz w:val="20"/>
          <w:szCs w:val="20"/>
          <w:lang w:bidi="fa-IR"/>
        </w:rPr>
      </w:pPr>
      <w:bookmarkStart w:id="27" w:name="_ENREF_27"/>
      <w:r w:rsidRPr="00D0415B">
        <w:rPr>
          <w:rFonts w:asciiTheme="majorBidi" w:hAnsiTheme="majorBidi" w:cstheme="majorBidi"/>
          <w:sz w:val="20"/>
          <w:szCs w:val="20"/>
          <w:lang w:bidi="fa-IR"/>
        </w:rPr>
        <w:t xml:space="preserve">27. </w:t>
      </w:r>
      <w:r w:rsidR="00596AE2" w:rsidRPr="00D0415B">
        <w:rPr>
          <w:rFonts w:asciiTheme="majorBidi" w:hAnsiTheme="majorBidi" w:cstheme="majorBidi"/>
          <w:sz w:val="20"/>
          <w:szCs w:val="20"/>
          <w:lang w:bidi="fa-IR"/>
        </w:rPr>
        <w:t>Abd El-Aal, M. Effect of foliar spray with lithovit and amino acids on growth, bioconstituents, anatomical and yield features of soybean plant. Annals of Agricultural Science, Moshtohor 56, 187-202 (2018).</w:t>
      </w:r>
      <w:bookmarkEnd w:id="27"/>
    </w:p>
    <w:p w14:paraId="2C557A1D" w14:textId="28D658BF" w:rsidR="00596AE2" w:rsidRPr="00D0415B" w:rsidRDefault="00E01742" w:rsidP="00F023B4">
      <w:pPr>
        <w:spacing w:after="0" w:line="0" w:lineRule="atLeast"/>
        <w:rPr>
          <w:rFonts w:asciiTheme="majorBidi" w:hAnsiTheme="majorBidi" w:cstheme="majorBidi"/>
          <w:sz w:val="20"/>
          <w:szCs w:val="20"/>
          <w:lang w:bidi="fa-IR"/>
        </w:rPr>
      </w:pPr>
      <w:bookmarkStart w:id="28" w:name="_ENREF_28"/>
      <w:r w:rsidRPr="00D0415B">
        <w:rPr>
          <w:rFonts w:asciiTheme="majorBidi" w:hAnsiTheme="majorBidi" w:cstheme="majorBidi"/>
          <w:sz w:val="20"/>
          <w:szCs w:val="20"/>
          <w:lang w:bidi="fa-IR"/>
        </w:rPr>
        <w:t xml:space="preserve">28. </w:t>
      </w:r>
      <w:r w:rsidR="00596AE2" w:rsidRPr="00D0415B">
        <w:rPr>
          <w:rFonts w:asciiTheme="majorBidi" w:hAnsiTheme="majorBidi" w:cstheme="majorBidi"/>
          <w:sz w:val="20"/>
          <w:szCs w:val="20"/>
          <w:lang w:bidi="fa-IR"/>
        </w:rPr>
        <w:t>Begum, N. et al. Arbuscular mycorrhizal fungi improve growth, essential oil, secondary metabolism, and yield of tobacco (</w:t>
      </w:r>
      <w:r w:rsidR="00596AE2" w:rsidRPr="00D0415B">
        <w:rPr>
          <w:rFonts w:asciiTheme="majorBidi" w:hAnsiTheme="majorBidi" w:cstheme="majorBidi"/>
          <w:i/>
          <w:iCs/>
          <w:sz w:val="20"/>
          <w:szCs w:val="20"/>
          <w:lang w:bidi="fa-IR"/>
        </w:rPr>
        <w:t>Nicotiana tabacum</w:t>
      </w:r>
      <w:r w:rsidR="00596AE2" w:rsidRPr="00D0415B">
        <w:rPr>
          <w:rFonts w:asciiTheme="majorBidi" w:hAnsiTheme="majorBidi" w:cstheme="majorBidi"/>
          <w:sz w:val="20"/>
          <w:szCs w:val="20"/>
          <w:lang w:bidi="fa-IR"/>
        </w:rPr>
        <w:t xml:space="preserve"> L.) under drought stress conditions. Environmental Science and Pollution Research 28, 45276-45295 (2021).</w:t>
      </w:r>
      <w:bookmarkEnd w:id="28"/>
    </w:p>
    <w:p w14:paraId="6B6CB00E" w14:textId="039F06D7" w:rsidR="00596AE2" w:rsidRPr="00D0415B" w:rsidRDefault="00E01742" w:rsidP="00F023B4">
      <w:pPr>
        <w:spacing w:after="0" w:line="0" w:lineRule="atLeast"/>
        <w:rPr>
          <w:rFonts w:asciiTheme="majorBidi" w:hAnsiTheme="majorBidi" w:cstheme="majorBidi"/>
          <w:sz w:val="20"/>
          <w:szCs w:val="20"/>
          <w:lang w:bidi="fa-IR"/>
        </w:rPr>
      </w:pPr>
      <w:bookmarkStart w:id="29" w:name="_ENREF_29"/>
      <w:r w:rsidRPr="00D0415B">
        <w:rPr>
          <w:rFonts w:asciiTheme="majorBidi" w:hAnsiTheme="majorBidi" w:cstheme="majorBidi"/>
          <w:sz w:val="20"/>
          <w:szCs w:val="20"/>
          <w:lang w:bidi="fa-IR"/>
        </w:rPr>
        <w:t xml:space="preserve">29. </w:t>
      </w:r>
      <w:r w:rsidR="00596AE2" w:rsidRPr="00D0415B">
        <w:rPr>
          <w:rFonts w:asciiTheme="majorBidi" w:hAnsiTheme="majorBidi" w:cstheme="majorBidi"/>
          <w:sz w:val="20"/>
          <w:szCs w:val="20"/>
          <w:lang w:bidi="fa-IR"/>
        </w:rPr>
        <w:t>Nasr, S. B., Aazza, S., Mnif, W. &amp; Miguel, M. Phenol content and antioxidant activity of different young and adult plant parts of tobacco from Tunisia, dried at 40 and 70 C. Journal of Applied Pharmaceutical Science 4, 023-031 (2014).</w:t>
      </w:r>
      <w:bookmarkEnd w:id="29"/>
    </w:p>
    <w:p w14:paraId="372411BF" w14:textId="7E7B76F8" w:rsidR="00596AE2" w:rsidRPr="00D0415B" w:rsidRDefault="00E01742" w:rsidP="00F023B4">
      <w:pPr>
        <w:spacing w:after="0" w:line="0" w:lineRule="atLeast"/>
        <w:rPr>
          <w:rFonts w:asciiTheme="majorBidi" w:hAnsiTheme="majorBidi" w:cstheme="majorBidi"/>
          <w:sz w:val="20"/>
          <w:szCs w:val="20"/>
          <w:lang w:bidi="fa-IR"/>
        </w:rPr>
      </w:pPr>
      <w:bookmarkStart w:id="30" w:name="_ENREF_30"/>
      <w:r w:rsidRPr="00D0415B">
        <w:rPr>
          <w:rFonts w:asciiTheme="majorBidi" w:hAnsiTheme="majorBidi" w:cstheme="majorBidi"/>
          <w:sz w:val="20"/>
          <w:szCs w:val="20"/>
          <w:lang w:bidi="fa-IR"/>
        </w:rPr>
        <w:t xml:space="preserve">30. </w:t>
      </w:r>
      <w:r w:rsidR="00596AE2" w:rsidRPr="00D0415B">
        <w:rPr>
          <w:rFonts w:asciiTheme="majorBidi" w:hAnsiTheme="majorBidi" w:cstheme="majorBidi"/>
          <w:sz w:val="20"/>
          <w:szCs w:val="20"/>
          <w:lang w:bidi="fa-IR"/>
        </w:rPr>
        <w:t>Taraseviciene, Ž., Velicka, A. &amp; Paulauskiene, A. Impact of foliar application of amino acids on total phenols, phenolic acids content of different mints varieties under the field condition. Plants 10, 599 (2021).</w:t>
      </w:r>
      <w:bookmarkEnd w:id="30"/>
    </w:p>
    <w:p w14:paraId="3AE6DD28" w14:textId="5393E4A8" w:rsidR="00596AE2" w:rsidRPr="00D0415B" w:rsidRDefault="00E01742" w:rsidP="00F023B4">
      <w:pPr>
        <w:spacing w:after="0" w:line="0" w:lineRule="atLeast"/>
        <w:rPr>
          <w:rFonts w:asciiTheme="majorBidi" w:hAnsiTheme="majorBidi" w:cstheme="majorBidi"/>
          <w:sz w:val="20"/>
          <w:szCs w:val="20"/>
          <w:lang w:bidi="fa-IR"/>
        </w:rPr>
      </w:pPr>
      <w:bookmarkStart w:id="31" w:name="_ENREF_31"/>
      <w:r w:rsidRPr="00D0415B">
        <w:rPr>
          <w:rFonts w:asciiTheme="majorBidi" w:hAnsiTheme="majorBidi" w:cstheme="majorBidi"/>
          <w:sz w:val="20"/>
          <w:szCs w:val="20"/>
          <w:lang w:bidi="fa-IR"/>
        </w:rPr>
        <w:t xml:space="preserve">31. </w:t>
      </w:r>
      <w:r w:rsidR="00596AE2" w:rsidRPr="00D0415B">
        <w:rPr>
          <w:rFonts w:asciiTheme="majorBidi" w:hAnsiTheme="majorBidi" w:cstheme="majorBidi"/>
          <w:sz w:val="20"/>
          <w:szCs w:val="20"/>
          <w:lang w:bidi="fa-IR"/>
        </w:rPr>
        <w:t>Haghighi, M., Barzegar Sadeghabad, A. &amp; Abolghasemi, R. Effect of exogenous amino acids application on the biochemical, antioxidant, and nutritional value of some leafy cabbage cultivars. Scientific reports 12, 17720 (2022).</w:t>
      </w:r>
      <w:bookmarkEnd w:id="31"/>
    </w:p>
    <w:p w14:paraId="28526A69" w14:textId="4AB908E6" w:rsidR="00596AE2" w:rsidRPr="00D0415B" w:rsidRDefault="00E01742" w:rsidP="00F023B4">
      <w:pPr>
        <w:spacing w:after="0" w:line="0" w:lineRule="atLeast"/>
        <w:rPr>
          <w:rFonts w:asciiTheme="majorBidi" w:hAnsiTheme="majorBidi" w:cstheme="majorBidi"/>
          <w:sz w:val="20"/>
          <w:szCs w:val="20"/>
          <w:lang w:bidi="fa-IR"/>
        </w:rPr>
      </w:pPr>
      <w:bookmarkStart w:id="32" w:name="_ENREF_32"/>
      <w:r w:rsidRPr="00D0415B">
        <w:rPr>
          <w:rFonts w:asciiTheme="majorBidi" w:hAnsiTheme="majorBidi" w:cstheme="majorBidi"/>
          <w:sz w:val="20"/>
          <w:szCs w:val="20"/>
          <w:lang w:bidi="fa-IR"/>
        </w:rPr>
        <w:t xml:space="preserve">32. </w:t>
      </w:r>
      <w:r w:rsidR="00596AE2" w:rsidRPr="00D0415B">
        <w:rPr>
          <w:rFonts w:asciiTheme="majorBidi" w:hAnsiTheme="majorBidi" w:cstheme="majorBidi"/>
          <w:sz w:val="20"/>
          <w:szCs w:val="20"/>
          <w:lang w:bidi="fa-IR"/>
        </w:rPr>
        <w:t>Kanta, C., Kumar, A., Chauhan, A., Singh, H. &amp; Sharma, I. P. in Plant functional traits for improving productivity     41-58 (Springer, 2024).</w:t>
      </w:r>
      <w:bookmarkEnd w:id="32"/>
    </w:p>
    <w:p w14:paraId="452F03D2" w14:textId="77777777" w:rsidR="00596AE2" w:rsidRPr="00D0415B" w:rsidRDefault="00596AE2" w:rsidP="00F023B4">
      <w:pPr>
        <w:spacing w:after="0" w:line="0" w:lineRule="atLeast"/>
        <w:rPr>
          <w:rFonts w:asciiTheme="majorBidi" w:hAnsiTheme="majorBidi" w:cstheme="majorBidi"/>
          <w:sz w:val="20"/>
          <w:szCs w:val="20"/>
          <w:lang w:bidi="fa-IR"/>
        </w:rPr>
      </w:pPr>
      <w:bookmarkStart w:id="33" w:name="_ENREF_33"/>
      <w:r w:rsidRPr="00D0415B">
        <w:rPr>
          <w:rFonts w:asciiTheme="majorBidi" w:hAnsiTheme="majorBidi" w:cstheme="majorBidi"/>
          <w:sz w:val="20"/>
          <w:szCs w:val="20"/>
          <w:lang w:bidi="fa-IR"/>
        </w:rPr>
        <w:t>33</w:t>
      </w:r>
      <w:r w:rsidRPr="00D0415B">
        <w:rPr>
          <w:rFonts w:asciiTheme="majorBidi" w:hAnsiTheme="majorBidi" w:cstheme="majorBidi"/>
          <w:sz w:val="20"/>
          <w:szCs w:val="20"/>
          <w:lang w:bidi="fa-IR"/>
        </w:rPr>
        <w:tab/>
        <w:t>Cheng, J. et al.     (2024).</w:t>
      </w:r>
      <w:bookmarkEnd w:id="33"/>
    </w:p>
    <w:p w14:paraId="203E0519" w14:textId="5187F83B" w:rsidR="00596AE2" w:rsidRPr="00D0415B" w:rsidRDefault="00E01742" w:rsidP="00F023B4">
      <w:pPr>
        <w:spacing w:after="0" w:line="0" w:lineRule="atLeast"/>
        <w:rPr>
          <w:rFonts w:asciiTheme="majorBidi" w:hAnsiTheme="majorBidi" w:cstheme="majorBidi"/>
          <w:sz w:val="20"/>
          <w:szCs w:val="20"/>
          <w:lang w:bidi="fa-IR"/>
        </w:rPr>
      </w:pPr>
      <w:bookmarkStart w:id="34" w:name="_ENREF_34"/>
      <w:r w:rsidRPr="00D0415B">
        <w:rPr>
          <w:rFonts w:asciiTheme="majorBidi" w:hAnsiTheme="majorBidi" w:cstheme="majorBidi"/>
          <w:sz w:val="20"/>
          <w:szCs w:val="20"/>
          <w:lang w:bidi="fa-IR"/>
        </w:rPr>
        <w:t xml:space="preserve">34. </w:t>
      </w:r>
      <w:r w:rsidR="00596AE2" w:rsidRPr="00D0415B">
        <w:rPr>
          <w:rFonts w:asciiTheme="majorBidi" w:hAnsiTheme="majorBidi" w:cstheme="majorBidi"/>
          <w:sz w:val="20"/>
          <w:szCs w:val="20"/>
          <w:lang w:bidi="fa-IR"/>
        </w:rPr>
        <w:t>Kumar, K., Debnath, P., Singh, S. &amp; Kumar, N. An overview of plant phenolics and their involvement in abiotic stress tolerance. Stresses 3, 570-585 (2023).</w:t>
      </w:r>
      <w:bookmarkEnd w:id="34"/>
    </w:p>
    <w:p w14:paraId="49CDA7AA" w14:textId="43E79476" w:rsidR="00596AE2" w:rsidRPr="00D0415B" w:rsidRDefault="00E01742" w:rsidP="00F023B4">
      <w:pPr>
        <w:spacing w:after="0" w:line="0" w:lineRule="atLeast"/>
        <w:rPr>
          <w:rFonts w:asciiTheme="majorBidi" w:hAnsiTheme="majorBidi" w:cstheme="majorBidi"/>
          <w:sz w:val="20"/>
          <w:szCs w:val="20"/>
          <w:lang w:bidi="fa-IR"/>
        </w:rPr>
      </w:pPr>
      <w:bookmarkStart w:id="35" w:name="_ENREF_35"/>
      <w:r w:rsidRPr="00D0415B">
        <w:rPr>
          <w:rFonts w:asciiTheme="majorBidi" w:hAnsiTheme="majorBidi" w:cstheme="majorBidi"/>
          <w:sz w:val="20"/>
          <w:szCs w:val="20"/>
          <w:lang w:bidi="fa-IR"/>
        </w:rPr>
        <w:t xml:space="preserve">35. </w:t>
      </w:r>
      <w:r w:rsidR="00596AE2" w:rsidRPr="00D0415B">
        <w:rPr>
          <w:rFonts w:asciiTheme="majorBidi" w:hAnsiTheme="majorBidi" w:cstheme="majorBidi"/>
          <w:sz w:val="20"/>
          <w:szCs w:val="20"/>
          <w:lang w:bidi="fa-IR"/>
        </w:rPr>
        <w:t>Wang, H., Zhao, M., Yang, B., Jiang, Y. &amp; Rao, G. Identification of polyphenols in tobacco leaf and their antioxidant and antimicrobial activities. Food Chemistry 107, 1399-1406 (2008).</w:t>
      </w:r>
      <w:bookmarkEnd w:id="35"/>
    </w:p>
    <w:p w14:paraId="4DD7818B" w14:textId="4E146DFD" w:rsidR="00596AE2" w:rsidRPr="00D0415B" w:rsidRDefault="00E01742" w:rsidP="00F023B4">
      <w:pPr>
        <w:spacing w:after="0" w:line="0" w:lineRule="atLeast"/>
        <w:rPr>
          <w:rFonts w:asciiTheme="majorBidi" w:hAnsiTheme="majorBidi" w:cstheme="majorBidi"/>
          <w:sz w:val="20"/>
          <w:szCs w:val="20"/>
          <w:lang w:bidi="fa-IR"/>
        </w:rPr>
      </w:pPr>
      <w:bookmarkStart w:id="36" w:name="_ENREF_36"/>
      <w:r w:rsidRPr="00D0415B">
        <w:rPr>
          <w:rFonts w:asciiTheme="majorBidi" w:hAnsiTheme="majorBidi" w:cstheme="majorBidi"/>
          <w:sz w:val="20"/>
          <w:szCs w:val="20"/>
          <w:lang w:bidi="fa-IR"/>
        </w:rPr>
        <w:t xml:space="preserve">36. </w:t>
      </w:r>
      <w:r w:rsidR="00596AE2" w:rsidRPr="00D0415B">
        <w:rPr>
          <w:rFonts w:asciiTheme="majorBidi" w:hAnsiTheme="majorBidi" w:cstheme="majorBidi"/>
          <w:sz w:val="20"/>
          <w:szCs w:val="20"/>
          <w:lang w:bidi="fa-IR"/>
        </w:rPr>
        <w:t xml:space="preserve">Ahmadi, S. Z., Zahedi, B., Ghorbanpour, M. &amp; Mumivand, H. Comparative morpho-physiological and biochemical responses of </w:t>
      </w:r>
      <w:r w:rsidR="00596AE2" w:rsidRPr="00D0415B">
        <w:rPr>
          <w:rFonts w:asciiTheme="majorBidi" w:hAnsiTheme="majorBidi" w:cstheme="majorBidi"/>
          <w:i/>
          <w:iCs/>
          <w:sz w:val="20"/>
          <w:szCs w:val="20"/>
          <w:lang w:bidi="fa-IR"/>
        </w:rPr>
        <w:t>Capsicum annuum</w:t>
      </w:r>
      <w:r w:rsidR="00596AE2" w:rsidRPr="00D0415B">
        <w:rPr>
          <w:rFonts w:asciiTheme="majorBidi" w:hAnsiTheme="majorBidi" w:cstheme="majorBidi"/>
          <w:sz w:val="20"/>
          <w:szCs w:val="20"/>
          <w:lang w:bidi="fa-IR"/>
        </w:rPr>
        <w:t xml:space="preserve"> L. plants to multi-walled carbon nanotubes, fullerene C60 and graphene nanoplatelets exposure under water deficit stress. BMC Plant Biology 24, 116 (2024).</w:t>
      </w:r>
      <w:bookmarkEnd w:id="36"/>
    </w:p>
    <w:p w14:paraId="50AA4402" w14:textId="3BC79BDE" w:rsidR="00596AE2" w:rsidRPr="00D0415B" w:rsidRDefault="00E01742" w:rsidP="00F023B4">
      <w:pPr>
        <w:spacing w:after="0" w:line="0" w:lineRule="atLeast"/>
        <w:rPr>
          <w:rFonts w:asciiTheme="majorBidi" w:hAnsiTheme="majorBidi" w:cstheme="majorBidi"/>
          <w:sz w:val="20"/>
          <w:szCs w:val="20"/>
          <w:lang w:bidi="fa-IR"/>
        </w:rPr>
      </w:pPr>
      <w:bookmarkStart w:id="37" w:name="_ENREF_37"/>
      <w:r w:rsidRPr="00D0415B">
        <w:rPr>
          <w:rFonts w:asciiTheme="majorBidi" w:hAnsiTheme="majorBidi" w:cstheme="majorBidi"/>
          <w:sz w:val="20"/>
          <w:szCs w:val="20"/>
          <w:lang w:bidi="fa-IR"/>
        </w:rPr>
        <w:lastRenderedPageBreak/>
        <w:t xml:space="preserve">37. </w:t>
      </w:r>
      <w:r w:rsidR="00596AE2" w:rsidRPr="00D0415B">
        <w:rPr>
          <w:rFonts w:asciiTheme="majorBidi" w:hAnsiTheme="majorBidi" w:cstheme="majorBidi"/>
          <w:sz w:val="20"/>
          <w:szCs w:val="20"/>
          <w:lang w:bidi="fa-IR"/>
        </w:rPr>
        <w:t xml:space="preserve">Aboalhaija, N. H., Hajjo, R., Afifi, F., Syaj, H. &amp; Abu-Dahab, R. Phytochemical characterization and bioinformatics guided evaluation of antioxidant and cytotoxic effects of </w:t>
      </w:r>
      <w:r w:rsidR="00596AE2" w:rsidRPr="00D0415B">
        <w:rPr>
          <w:rFonts w:asciiTheme="majorBidi" w:hAnsiTheme="majorBidi" w:cstheme="majorBidi"/>
          <w:i/>
          <w:iCs/>
          <w:sz w:val="20"/>
          <w:szCs w:val="20"/>
          <w:lang w:bidi="fa-IR"/>
        </w:rPr>
        <w:t>Psoralea bituminosa</w:t>
      </w:r>
      <w:r w:rsidR="00596AE2" w:rsidRPr="00D0415B">
        <w:rPr>
          <w:rFonts w:asciiTheme="majorBidi" w:hAnsiTheme="majorBidi" w:cstheme="majorBidi"/>
          <w:sz w:val="20"/>
          <w:szCs w:val="20"/>
          <w:lang w:bidi="fa-IR"/>
        </w:rPr>
        <w:t>. Scientific Reports 15, 19075 (2025).</w:t>
      </w:r>
      <w:bookmarkEnd w:id="37"/>
    </w:p>
    <w:p w14:paraId="084335BA" w14:textId="6EF63696" w:rsidR="00596AE2" w:rsidRPr="00D0415B" w:rsidRDefault="00E01742" w:rsidP="00F023B4">
      <w:pPr>
        <w:spacing w:after="0" w:line="0" w:lineRule="atLeast"/>
        <w:rPr>
          <w:rFonts w:asciiTheme="majorBidi" w:hAnsiTheme="majorBidi" w:cstheme="majorBidi"/>
          <w:sz w:val="20"/>
          <w:szCs w:val="20"/>
          <w:lang w:bidi="fa-IR"/>
        </w:rPr>
      </w:pPr>
      <w:bookmarkStart w:id="38" w:name="_ENREF_38"/>
      <w:r w:rsidRPr="00D0415B">
        <w:rPr>
          <w:rFonts w:asciiTheme="majorBidi" w:hAnsiTheme="majorBidi" w:cstheme="majorBidi"/>
          <w:sz w:val="20"/>
          <w:szCs w:val="20"/>
          <w:lang w:bidi="fa-IR"/>
        </w:rPr>
        <w:t xml:space="preserve">38. </w:t>
      </w:r>
      <w:r w:rsidR="00596AE2" w:rsidRPr="00D0415B">
        <w:rPr>
          <w:rFonts w:asciiTheme="majorBidi" w:hAnsiTheme="majorBidi" w:cstheme="majorBidi"/>
          <w:sz w:val="20"/>
          <w:szCs w:val="20"/>
          <w:lang w:bidi="fa-IR"/>
        </w:rPr>
        <w:t>Shafie, F., Bayat, H., Aminifard, M. H. &amp; Daghighi, S. Biostimulant effects of seaweed extract and amino acids on growth, antioxidants, and nutrient content of yarrow (</w:t>
      </w:r>
      <w:r w:rsidR="00596AE2" w:rsidRPr="00D0415B">
        <w:rPr>
          <w:rFonts w:asciiTheme="majorBidi" w:hAnsiTheme="majorBidi" w:cstheme="majorBidi"/>
          <w:i/>
          <w:iCs/>
          <w:sz w:val="20"/>
          <w:szCs w:val="20"/>
          <w:lang w:bidi="fa-IR"/>
        </w:rPr>
        <w:t>Achillea millefolium</w:t>
      </w:r>
      <w:r w:rsidR="00596AE2" w:rsidRPr="00D0415B">
        <w:rPr>
          <w:rFonts w:asciiTheme="majorBidi" w:hAnsiTheme="majorBidi" w:cstheme="majorBidi"/>
          <w:sz w:val="20"/>
          <w:szCs w:val="20"/>
          <w:lang w:bidi="fa-IR"/>
        </w:rPr>
        <w:t xml:space="preserve"> L.) in the field and greenhouse conditions. Communications in Soil Science and Plant Analysis 52, 964-975 (2021).</w:t>
      </w:r>
      <w:bookmarkEnd w:id="38"/>
    </w:p>
    <w:p w14:paraId="2449C93F" w14:textId="506AEA22" w:rsidR="00596AE2" w:rsidRPr="00D0415B" w:rsidRDefault="00E01742" w:rsidP="00F023B4">
      <w:pPr>
        <w:spacing w:after="0" w:line="0" w:lineRule="atLeast"/>
        <w:rPr>
          <w:rFonts w:asciiTheme="majorBidi" w:hAnsiTheme="majorBidi" w:cstheme="majorBidi"/>
          <w:sz w:val="20"/>
          <w:szCs w:val="20"/>
          <w:lang w:bidi="fa-IR"/>
        </w:rPr>
      </w:pPr>
      <w:bookmarkStart w:id="39" w:name="_ENREF_39"/>
      <w:r w:rsidRPr="00D0415B">
        <w:rPr>
          <w:rFonts w:asciiTheme="majorBidi" w:hAnsiTheme="majorBidi" w:cstheme="majorBidi"/>
          <w:sz w:val="20"/>
          <w:szCs w:val="20"/>
          <w:lang w:bidi="fa-IR"/>
        </w:rPr>
        <w:t xml:space="preserve">39. </w:t>
      </w:r>
      <w:r w:rsidR="00596AE2" w:rsidRPr="00D0415B">
        <w:rPr>
          <w:rFonts w:asciiTheme="majorBidi" w:hAnsiTheme="majorBidi" w:cstheme="majorBidi"/>
          <w:sz w:val="20"/>
          <w:szCs w:val="20"/>
          <w:lang w:bidi="fa-IR"/>
        </w:rPr>
        <w:t>Zhou, W. et al. Foliar application of pig blood-derived protein hydrolysates improves antioxidant activities in lettuce by regulating phenolic biosynthesis without compromising yield production. Scientia Horticulturae 291, 110602 (2022).</w:t>
      </w:r>
      <w:bookmarkEnd w:id="39"/>
    </w:p>
    <w:p w14:paraId="2ADFDA4D" w14:textId="7EABCA1B" w:rsidR="00596AE2" w:rsidRPr="00D0415B" w:rsidRDefault="00E01742" w:rsidP="00F023B4">
      <w:pPr>
        <w:spacing w:after="0" w:line="0" w:lineRule="atLeast"/>
        <w:rPr>
          <w:rFonts w:asciiTheme="majorBidi" w:hAnsiTheme="majorBidi" w:cstheme="majorBidi"/>
          <w:sz w:val="20"/>
          <w:szCs w:val="20"/>
          <w:lang w:bidi="fa-IR"/>
        </w:rPr>
      </w:pPr>
      <w:bookmarkStart w:id="40" w:name="_ENREF_40"/>
      <w:r w:rsidRPr="00D0415B">
        <w:rPr>
          <w:rFonts w:asciiTheme="majorBidi" w:hAnsiTheme="majorBidi" w:cstheme="majorBidi"/>
          <w:sz w:val="20"/>
          <w:szCs w:val="20"/>
          <w:lang w:bidi="fa-IR"/>
        </w:rPr>
        <w:t xml:space="preserve">40. </w:t>
      </w:r>
      <w:r w:rsidR="00596AE2" w:rsidRPr="00D0415B">
        <w:rPr>
          <w:rFonts w:asciiTheme="majorBidi" w:hAnsiTheme="majorBidi" w:cstheme="majorBidi"/>
          <w:sz w:val="20"/>
          <w:szCs w:val="20"/>
          <w:lang w:bidi="fa-IR"/>
        </w:rPr>
        <w:t>Tariq, A. et al. Regulation of metabolites by nutrients in plants. Plant ionomics: sensing, signaling, and regulation, 1-18 (2023).</w:t>
      </w:r>
      <w:bookmarkEnd w:id="40"/>
    </w:p>
    <w:p w14:paraId="6D23934F" w14:textId="2BBE5699" w:rsidR="00596AE2" w:rsidRPr="00D0415B" w:rsidRDefault="00E01742" w:rsidP="00F023B4">
      <w:pPr>
        <w:spacing w:after="0" w:line="0" w:lineRule="atLeast"/>
        <w:rPr>
          <w:rFonts w:asciiTheme="majorBidi" w:hAnsiTheme="majorBidi" w:cstheme="majorBidi"/>
          <w:sz w:val="20"/>
          <w:szCs w:val="20"/>
          <w:lang w:bidi="fa-IR"/>
        </w:rPr>
      </w:pPr>
      <w:bookmarkStart w:id="41" w:name="_ENREF_41"/>
      <w:r w:rsidRPr="00D0415B">
        <w:rPr>
          <w:rFonts w:asciiTheme="majorBidi" w:hAnsiTheme="majorBidi" w:cstheme="majorBidi"/>
          <w:sz w:val="20"/>
          <w:szCs w:val="20"/>
          <w:lang w:bidi="fa-IR"/>
        </w:rPr>
        <w:t xml:space="preserve">41. </w:t>
      </w:r>
      <w:r w:rsidR="00596AE2" w:rsidRPr="00D0415B">
        <w:rPr>
          <w:rFonts w:asciiTheme="majorBidi" w:hAnsiTheme="majorBidi" w:cstheme="majorBidi"/>
          <w:sz w:val="20"/>
          <w:szCs w:val="20"/>
          <w:lang w:bidi="fa-IR"/>
        </w:rPr>
        <w:t>Khan, N. Exploring plant resilience through secondary metabolite profiling: Advances in stress response and crop improvement. Plant, Cell &amp; Environment 48, 4823-4837 (2025).</w:t>
      </w:r>
      <w:bookmarkEnd w:id="41"/>
    </w:p>
    <w:p w14:paraId="003AC3D0" w14:textId="7A8A5BED" w:rsidR="00596AE2" w:rsidRPr="00D0415B" w:rsidRDefault="00E01742" w:rsidP="00F023B4">
      <w:pPr>
        <w:spacing w:after="0" w:line="0" w:lineRule="atLeast"/>
        <w:rPr>
          <w:rFonts w:asciiTheme="majorBidi" w:hAnsiTheme="majorBidi" w:cstheme="majorBidi"/>
          <w:sz w:val="20"/>
          <w:szCs w:val="20"/>
          <w:lang w:bidi="fa-IR"/>
        </w:rPr>
      </w:pPr>
      <w:bookmarkStart w:id="42" w:name="_ENREF_42"/>
      <w:r w:rsidRPr="00D0415B">
        <w:rPr>
          <w:rFonts w:asciiTheme="majorBidi" w:hAnsiTheme="majorBidi" w:cstheme="majorBidi"/>
          <w:sz w:val="20"/>
          <w:szCs w:val="20"/>
          <w:lang w:bidi="fa-IR"/>
        </w:rPr>
        <w:t xml:space="preserve">42. </w:t>
      </w:r>
      <w:r w:rsidR="00596AE2" w:rsidRPr="00D0415B">
        <w:rPr>
          <w:rFonts w:asciiTheme="majorBidi" w:hAnsiTheme="majorBidi" w:cstheme="majorBidi"/>
          <w:sz w:val="20"/>
          <w:szCs w:val="20"/>
          <w:lang w:bidi="fa-IR"/>
        </w:rPr>
        <w:t>Shekhar, R. Estimation of Nicotine in Tobacco Extract Using C8 Column in High Performance Liquid Chromatography. International Journal of Human and Health Sciences (IJHHS) (2023).</w:t>
      </w:r>
      <w:bookmarkEnd w:id="42"/>
    </w:p>
    <w:p w14:paraId="0707D3C8" w14:textId="680DEF0D" w:rsidR="00596AE2" w:rsidRPr="00D0415B" w:rsidRDefault="00E01742" w:rsidP="00F023B4">
      <w:pPr>
        <w:spacing w:after="0" w:line="0" w:lineRule="atLeast"/>
        <w:rPr>
          <w:rFonts w:asciiTheme="majorBidi" w:hAnsiTheme="majorBidi" w:cstheme="majorBidi"/>
          <w:sz w:val="20"/>
          <w:szCs w:val="20"/>
          <w:lang w:bidi="fa-IR"/>
        </w:rPr>
      </w:pPr>
      <w:bookmarkStart w:id="43" w:name="_ENREF_43"/>
      <w:r w:rsidRPr="00D0415B">
        <w:rPr>
          <w:rFonts w:asciiTheme="majorBidi" w:hAnsiTheme="majorBidi" w:cstheme="majorBidi"/>
          <w:sz w:val="20"/>
          <w:szCs w:val="20"/>
          <w:lang w:bidi="fa-IR"/>
        </w:rPr>
        <w:t xml:space="preserve">43. </w:t>
      </w:r>
      <w:r w:rsidR="00596AE2" w:rsidRPr="00D0415B">
        <w:rPr>
          <w:rFonts w:asciiTheme="majorBidi" w:hAnsiTheme="majorBidi" w:cstheme="majorBidi"/>
          <w:sz w:val="20"/>
          <w:szCs w:val="20"/>
          <w:lang w:bidi="fa-IR"/>
        </w:rPr>
        <w:t>Vlase, L., Filip, L., Mindrutau, I. &amp; Leucuta, S. Determination of nicotine from tobacco by LC–MS–MS. Studia Universitatis Babes-Bolyai Physica 4, 19-24 (2005).</w:t>
      </w:r>
      <w:bookmarkEnd w:id="43"/>
    </w:p>
    <w:p w14:paraId="1B5F1FD1" w14:textId="53F041B7" w:rsidR="00596AE2" w:rsidRPr="00D0415B" w:rsidRDefault="00E01742" w:rsidP="00F023B4">
      <w:pPr>
        <w:spacing w:after="0" w:line="0" w:lineRule="atLeast"/>
        <w:rPr>
          <w:rFonts w:asciiTheme="majorBidi" w:hAnsiTheme="majorBidi" w:cstheme="majorBidi"/>
          <w:sz w:val="20"/>
          <w:szCs w:val="20"/>
          <w:lang w:bidi="fa-IR"/>
        </w:rPr>
      </w:pPr>
      <w:bookmarkStart w:id="44" w:name="_ENREF_44"/>
      <w:r w:rsidRPr="00D0415B">
        <w:rPr>
          <w:rFonts w:asciiTheme="majorBidi" w:hAnsiTheme="majorBidi" w:cstheme="majorBidi"/>
          <w:sz w:val="20"/>
          <w:szCs w:val="20"/>
          <w:lang w:bidi="fa-IR"/>
        </w:rPr>
        <w:t xml:space="preserve">44. </w:t>
      </w:r>
      <w:r w:rsidR="00596AE2" w:rsidRPr="00D0415B">
        <w:rPr>
          <w:rFonts w:asciiTheme="majorBidi" w:hAnsiTheme="majorBidi" w:cstheme="majorBidi"/>
          <w:sz w:val="20"/>
          <w:szCs w:val="20"/>
          <w:lang w:bidi="fa-IR"/>
        </w:rPr>
        <w:t>Shahin, M. G. et al. Physiological and agronomic responses and nutrient uptake of soybean genotypes cultivated under various sowing dates. Journal of Soil Science and Plant Nutrition 23, 5145-5158 (2023).</w:t>
      </w:r>
      <w:bookmarkEnd w:id="44"/>
    </w:p>
    <w:p w14:paraId="5F47E3F2" w14:textId="70335D0B" w:rsidR="00596AE2" w:rsidRPr="00D0415B" w:rsidRDefault="00E01742" w:rsidP="00F023B4">
      <w:pPr>
        <w:spacing w:after="0" w:line="0" w:lineRule="atLeast"/>
        <w:rPr>
          <w:rFonts w:asciiTheme="majorBidi" w:hAnsiTheme="majorBidi" w:cstheme="majorBidi"/>
          <w:sz w:val="20"/>
          <w:szCs w:val="20"/>
          <w:lang w:bidi="fa-IR"/>
        </w:rPr>
      </w:pPr>
      <w:bookmarkStart w:id="45" w:name="_ENREF_45"/>
      <w:r w:rsidRPr="00D0415B">
        <w:rPr>
          <w:rFonts w:asciiTheme="majorBidi" w:hAnsiTheme="majorBidi" w:cstheme="majorBidi"/>
          <w:sz w:val="20"/>
          <w:szCs w:val="20"/>
          <w:lang w:bidi="fa-IR"/>
        </w:rPr>
        <w:t xml:space="preserve">45. </w:t>
      </w:r>
      <w:r w:rsidR="00596AE2" w:rsidRPr="00D0415B">
        <w:rPr>
          <w:rFonts w:asciiTheme="majorBidi" w:hAnsiTheme="majorBidi" w:cstheme="majorBidi"/>
          <w:sz w:val="20"/>
          <w:szCs w:val="20"/>
          <w:lang w:bidi="fa-IR"/>
        </w:rPr>
        <w:t>Xi, X., Li, C. &amp; Zhang, F. Nitrogen supply after removing the shoot apex increases the nicotine concentration and nitrogen content of tobacco plants. Annals of botany 96, 793-797 (2005).</w:t>
      </w:r>
      <w:bookmarkEnd w:id="45"/>
    </w:p>
    <w:p w14:paraId="202BC064" w14:textId="749732A3" w:rsidR="00596AE2" w:rsidRPr="00D0415B" w:rsidRDefault="00252F37" w:rsidP="00F023B4">
      <w:pPr>
        <w:spacing w:after="0" w:line="0" w:lineRule="atLeast"/>
        <w:rPr>
          <w:rFonts w:asciiTheme="majorBidi" w:hAnsiTheme="majorBidi" w:cstheme="majorBidi"/>
          <w:sz w:val="20"/>
          <w:szCs w:val="20"/>
          <w:lang w:bidi="fa-IR"/>
        </w:rPr>
      </w:pPr>
      <w:bookmarkStart w:id="46" w:name="_ENREF_46"/>
      <w:r w:rsidRPr="00D0415B">
        <w:rPr>
          <w:rFonts w:asciiTheme="majorBidi" w:hAnsiTheme="majorBidi" w:cstheme="majorBidi"/>
          <w:sz w:val="20"/>
          <w:szCs w:val="20"/>
          <w:lang w:bidi="fa-IR"/>
        </w:rPr>
        <w:t xml:space="preserve">46. </w:t>
      </w:r>
      <w:r w:rsidR="00596AE2" w:rsidRPr="00D0415B">
        <w:rPr>
          <w:rFonts w:asciiTheme="majorBidi" w:hAnsiTheme="majorBidi" w:cstheme="majorBidi"/>
          <w:sz w:val="20"/>
          <w:szCs w:val="20"/>
          <w:lang w:bidi="fa-IR"/>
        </w:rPr>
        <w:t>Cai, J., Li, D. &amp; Aharoni, A. The role of long‐distance mobile metabolites in the plant stress response and signaling. The Plant Journal 114, 1115-1131 (2023).</w:t>
      </w:r>
      <w:bookmarkEnd w:id="46"/>
    </w:p>
    <w:p w14:paraId="630578B3" w14:textId="001F4CA5" w:rsidR="00596AE2" w:rsidRPr="00D0415B" w:rsidRDefault="00252F37" w:rsidP="00F023B4">
      <w:pPr>
        <w:spacing w:after="0" w:line="0" w:lineRule="atLeast"/>
        <w:rPr>
          <w:rFonts w:asciiTheme="majorBidi" w:hAnsiTheme="majorBidi" w:cstheme="majorBidi"/>
          <w:sz w:val="20"/>
          <w:szCs w:val="20"/>
          <w:lang w:bidi="fa-IR"/>
        </w:rPr>
      </w:pPr>
      <w:bookmarkStart w:id="47" w:name="_ENREF_47"/>
      <w:r w:rsidRPr="00D0415B">
        <w:rPr>
          <w:rFonts w:asciiTheme="majorBidi" w:hAnsiTheme="majorBidi" w:cstheme="majorBidi"/>
          <w:sz w:val="20"/>
          <w:szCs w:val="20"/>
          <w:lang w:bidi="fa-IR"/>
        </w:rPr>
        <w:t xml:space="preserve">47. </w:t>
      </w:r>
      <w:r w:rsidR="00596AE2" w:rsidRPr="00D0415B">
        <w:rPr>
          <w:rFonts w:asciiTheme="majorBidi" w:hAnsiTheme="majorBidi" w:cstheme="majorBidi"/>
          <w:sz w:val="20"/>
          <w:szCs w:val="20"/>
          <w:lang w:bidi="fa-IR"/>
        </w:rPr>
        <w:t>Mahmoudi, P., Mohajel Kazemi, E., Mohajjel Shoja, H. &amp; Kolahi, M. Investigating growth responses and expression patterns of nicotine biosynthesis genes in tobacco plants treated with cadmium. Acta Physiologiae Plantarum 47, 1-11 (2025).</w:t>
      </w:r>
      <w:bookmarkEnd w:id="47"/>
    </w:p>
    <w:p w14:paraId="239B40C0" w14:textId="386B48EC" w:rsidR="00596AE2" w:rsidRPr="00D0415B" w:rsidRDefault="00252F37" w:rsidP="00F023B4">
      <w:pPr>
        <w:spacing w:after="0" w:line="0" w:lineRule="atLeast"/>
        <w:rPr>
          <w:rFonts w:asciiTheme="majorBidi" w:hAnsiTheme="majorBidi" w:cstheme="majorBidi"/>
          <w:sz w:val="20"/>
          <w:szCs w:val="20"/>
          <w:lang w:bidi="fa-IR"/>
        </w:rPr>
      </w:pPr>
      <w:bookmarkStart w:id="48" w:name="_ENREF_48"/>
      <w:r w:rsidRPr="00D0415B">
        <w:rPr>
          <w:rFonts w:asciiTheme="majorBidi" w:hAnsiTheme="majorBidi" w:cstheme="majorBidi"/>
          <w:sz w:val="20"/>
          <w:szCs w:val="20"/>
          <w:lang w:bidi="fa-IR"/>
        </w:rPr>
        <w:t xml:space="preserve">48. </w:t>
      </w:r>
      <w:r w:rsidR="00596AE2" w:rsidRPr="00D0415B">
        <w:rPr>
          <w:rFonts w:asciiTheme="majorBidi" w:hAnsiTheme="majorBidi" w:cstheme="majorBidi"/>
          <w:sz w:val="20"/>
          <w:szCs w:val="20"/>
          <w:lang w:bidi="fa-IR"/>
        </w:rPr>
        <w:t xml:space="preserve">Partap, M., Gupta, R. C. &amp; Pradhan, S. K. Comparative analysis of morphology and phytochemical constituents in different populations and morphotypes of </w:t>
      </w:r>
      <w:r w:rsidR="00596AE2" w:rsidRPr="00D0415B">
        <w:rPr>
          <w:rFonts w:asciiTheme="majorBidi" w:hAnsiTheme="majorBidi" w:cstheme="majorBidi"/>
          <w:i/>
          <w:iCs/>
          <w:sz w:val="20"/>
          <w:szCs w:val="20"/>
          <w:lang w:bidi="fa-IR"/>
        </w:rPr>
        <w:t>Datura innoxia</w:t>
      </w:r>
      <w:r w:rsidR="00596AE2" w:rsidRPr="00D0415B">
        <w:rPr>
          <w:rFonts w:asciiTheme="majorBidi" w:hAnsiTheme="majorBidi" w:cstheme="majorBidi"/>
          <w:sz w:val="20"/>
          <w:szCs w:val="20"/>
          <w:lang w:bidi="fa-IR"/>
        </w:rPr>
        <w:t xml:space="preserve"> Mill. and </w:t>
      </w:r>
      <w:r w:rsidR="00596AE2" w:rsidRPr="00D0415B">
        <w:rPr>
          <w:rFonts w:asciiTheme="majorBidi" w:hAnsiTheme="majorBidi" w:cstheme="majorBidi"/>
          <w:i/>
          <w:iCs/>
          <w:sz w:val="20"/>
          <w:szCs w:val="20"/>
          <w:lang w:bidi="fa-IR"/>
        </w:rPr>
        <w:t>Datura metel</w:t>
      </w:r>
      <w:r w:rsidR="00596AE2" w:rsidRPr="00D0415B">
        <w:rPr>
          <w:rFonts w:asciiTheme="majorBidi" w:hAnsiTheme="majorBidi" w:cstheme="majorBidi"/>
          <w:sz w:val="20"/>
          <w:szCs w:val="20"/>
          <w:lang w:bidi="fa-IR"/>
        </w:rPr>
        <w:t xml:space="preserve"> L. from Punjab plains. Asian J Pharm Clin Res 12, 193-199 (2019).</w:t>
      </w:r>
      <w:bookmarkEnd w:id="48"/>
    </w:p>
    <w:p w14:paraId="763E80D9" w14:textId="4B7469B6" w:rsidR="00596AE2" w:rsidRPr="00D0415B" w:rsidRDefault="00252F37" w:rsidP="00F023B4">
      <w:pPr>
        <w:spacing w:after="0" w:line="0" w:lineRule="atLeast"/>
        <w:rPr>
          <w:rFonts w:asciiTheme="majorBidi" w:hAnsiTheme="majorBidi" w:cstheme="majorBidi"/>
          <w:sz w:val="20"/>
          <w:szCs w:val="20"/>
          <w:lang w:bidi="fa-IR"/>
        </w:rPr>
      </w:pPr>
      <w:bookmarkStart w:id="49" w:name="_ENREF_49"/>
      <w:r w:rsidRPr="00D0415B">
        <w:rPr>
          <w:rFonts w:asciiTheme="majorBidi" w:hAnsiTheme="majorBidi" w:cstheme="majorBidi"/>
          <w:sz w:val="20"/>
          <w:szCs w:val="20"/>
          <w:lang w:bidi="fa-IR"/>
        </w:rPr>
        <w:t xml:space="preserve">49. </w:t>
      </w:r>
      <w:r w:rsidR="00596AE2" w:rsidRPr="00D0415B">
        <w:rPr>
          <w:rFonts w:asciiTheme="majorBidi" w:hAnsiTheme="majorBidi" w:cstheme="majorBidi"/>
          <w:sz w:val="20"/>
          <w:szCs w:val="20"/>
          <w:lang w:bidi="fa-IR"/>
        </w:rPr>
        <w:t>Berbeć, A. K. &amp; Matyka, M. Biomass characteristics and energy yields of tobacco (</w:t>
      </w:r>
      <w:r w:rsidR="00596AE2" w:rsidRPr="00D0415B">
        <w:rPr>
          <w:rFonts w:asciiTheme="majorBidi" w:hAnsiTheme="majorBidi" w:cstheme="majorBidi"/>
          <w:i/>
          <w:iCs/>
          <w:sz w:val="20"/>
          <w:szCs w:val="20"/>
          <w:lang w:bidi="fa-IR"/>
        </w:rPr>
        <w:t>Nicotiana tabacum</w:t>
      </w:r>
      <w:r w:rsidR="00596AE2" w:rsidRPr="00D0415B">
        <w:rPr>
          <w:rFonts w:asciiTheme="majorBidi" w:hAnsiTheme="majorBidi" w:cstheme="majorBidi"/>
          <w:sz w:val="20"/>
          <w:szCs w:val="20"/>
          <w:lang w:bidi="fa-IR"/>
        </w:rPr>
        <w:t xml:space="preserve"> L.) cultivated in eastern Poland. Agriculture 10, 551 (2020).</w:t>
      </w:r>
      <w:bookmarkEnd w:id="49"/>
    </w:p>
    <w:p w14:paraId="402B851A" w14:textId="52C7091A" w:rsidR="00596AE2" w:rsidRPr="00D0415B" w:rsidRDefault="00252F37" w:rsidP="00F023B4">
      <w:pPr>
        <w:spacing w:after="0" w:line="0" w:lineRule="atLeast"/>
        <w:rPr>
          <w:rFonts w:asciiTheme="majorBidi" w:hAnsiTheme="majorBidi" w:cstheme="majorBidi"/>
          <w:sz w:val="20"/>
          <w:szCs w:val="20"/>
          <w:lang w:bidi="fa-IR"/>
        </w:rPr>
      </w:pPr>
      <w:bookmarkStart w:id="50" w:name="_ENREF_50"/>
      <w:r w:rsidRPr="00D0415B">
        <w:rPr>
          <w:rFonts w:asciiTheme="majorBidi" w:hAnsiTheme="majorBidi" w:cstheme="majorBidi"/>
          <w:sz w:val="20"/>
          <w:szCs w:val="20"/>
          <w:lang w:bidi="fa-IR"/>
        </w:rPr>
        <w:t xml:space="preserve">50. </w:t>
      </w:r>
      <w:r w:rsidR="00596AE2" w:rsidRPr="00D0415B">
        <w:rPr>
          <w:rFonts w:asciiTheme="majorBidi" w:hAnsiTheme="majorBidi" w:cstheme="majorBidi"/>
          <w:sz w:val="20"/>
          <w:szCs w:val="20"/>
          <w:lang w:bidi="fa-IR"/>
        </w:rPr>
        <w:t>Costache, M. A., Campeanu, G. &amp; Neata, G. Studies concerning the extraction of chlorophyll and total carotenoids from vegetables. Romanian Biotechnological Letters 17, 7702-7708 (2012).</w:t>
      </w:r>
      <w:bookmarkEnd w:id="50"/>
    </w:p>
    <w:p w14:paraId="5D7B834A" w14:textId="7B1CDAC3" w:rsidR="00596AE2" w:rsidRPr="00D0415B" w:rsidRDefault="00252F37" w:rsidP="00F023B4">
      <w:pPr>
        <w:spacing w:after="0" w:line="0" w:lineRule="atLeast"/>
        <w:rPr>
          <w:rFonts w:asciiTheme="majorBidi" w:hAnsiTheme="majorBidi" w:cstheme="majorBidi"/>
          <w:sz w:val="20"/>
          <w:szCs w:val="20"/>
          <w:lang w:bidi="fa-IR"/>
        </w:rPr>
      </w:pPr>
      <w:bookmarkStart w:id="51" w:name="_ENREF_51"/>
      <w:r w:rsidRPr="00D0415B">
        <w:rPr>
          <w:rFonts w:asciiTheme="majorBidi" w:hAnsiTheme="majorBidi" w:cstheme="majorBidi"/>
          <w:sz w:val="20"/>
          <w:szCs w:val="20"/>
          <w:lang w:bidi="fa-IR"/>
        </w:rPr>
        <w:t xml:space="preserve">51. </w:t>
      </w:r>
      <w:r w:rsidR="00596AE2" w:rsidRPr="00D0415B">
        <w:rPr>
          <w:rFonts w:asciiTheme="majorBidi" w:hAnsiTheme="majorBidi" w:cstheme="majorBidi"/>
          <w:sz w:val="20"/>
          <w:szCs w:val="20"/>
          <w:lang w:bidi="fa-IR"/>
        </w:rPr>
        <w:t xml:space="preserve">Norani, M., Crowford, A., Tahamtani, Y., Ebadi, M. &amp; Ayyari, M. Extraction and Essential Oils Profiling of Different </w:t>
      </w:r>
      <w:r w:rsidR="00596AE2" w:rsidRPr="00D0415B">
        <w:rPr>
          <w:rFonts w:asciiTheme="majorBidi" w:hAnsiTheme="majorBidi" w:cstheme="majorBidi"/>
          <w:i/>
          <w:iCs/>
          <w:sz w:val="20"/>
          <w:szCs w:val="20"/>
          <w:lang w:bidi="fa-IR"/>
        </w:rPr>
        <w:t>Dorema ammoniacum</w:t>
      </w:r>
      <w:r w:rsidR="00596AE2" w:rsidRPr="00D0415B">
        <w:rPr>
          <w:rFonts w:asciiTheme="majorBidi" w:hAnsiTheme="majorBidi" w:cstheme="majorBidi"/>
          <w:sz w:val="20"/>
          <w:szCs w:val="20"/>
          <w:lang w:bidi="fa-IR"/>
        </w:rPr>
        <w:t xml:space="preserve"> D. Don. Organs and Evaluation of Antioxidant Capacity. Journal of Agricultural Science and Technology 25, 701-717 (2023).</w:t>
      </w:r>
      <w:bookmarkEnd w:id="51"/>
    </w:p>
    <w:p w14:paraId="76F8358E" w14:textId="51771ADF" w:rsidR="00596AE2" w:rsidRPr="00D0415B" w:rsidRDefault="00252F37" w:rsidP="00F023B4">
      <w:pPr>
        <w:spacing w:after="0" w:line="0" w:lineRule="atLeast"/>
        <w:rPr>
          <w:rFonts w:asciiTheme="majorBidi" w:hAnsiTheme="majorBidi" w:cstheme="majorBidi"/>
          <w:sz w:val="20"/>
          <w:szCs w:val="20"/>
          <w:lang w:bidi="fa-IR"/>
        </w:rPr>
      </w:pPr>
      <w:bookmarkStart w:id="52" w:name="_ENREF_52"/>
      <w:r w:rsidRPr="00D0415B">
        <w:rPr>
          <w:rFonts w:asciiTheme="majorBidi" w:hAnsiTheme="majorBidi" w:cstheme="majorBidi"/>
          <w:sz w:val="20"/>
          <w:szCs w:val="20"/>
          <w:lang w:bidi="fa-IR"/>
        </w:rPr>
        <w:t xml:space="preserve">52. </w:t>
      </w:r>
      <w:r w:rsidR="00596AE2" w:rsidRPr="00D0415B">
        <w:rPr>
          <w:rFonts w:asciiTheme="majorBidi" w:hAnsiTheme="majorBidi" w:cstheme="majorBidi"/>
          <w:sz w:val="20"/>
          <w:szCs w:val="20"/>
          <w:lang w:bidi="fa-IR"/>
        </w:rPr>
        <w:t>Michiu, D. et al. Implementation of an analytical method for spectrophotometric evaluation of total phenolic content in essential oils. Molecules 27, 1345 (2022).</w:t>
      </w:r>
      <w:bookmarkEnd w:id="52"/>
    </w:p>
    <w:p w14:paraId="4092FA79" w14:textId="7570AEDB" w:rsidR="00596AE2" w:rsidRPr="00D0415B" w:rsidRDefault="00252F37" w:rsidP="00F023B4">
      <w:pPr>
        <w:spacing w:after="0" w:line="0" w:lineRule="atLeast"/>
        <w:rPr>
          <w:rFonts w:asciiTheme="majorBidi" w:hAnsiTheme="majorBidi" w:cstheme="majorBidi"/>
          <w:sz w:val="20"/>
          <w:szCs w:val="20"/>
          <w:lang w:bidi="fa-IR"/>
        </w:rPr>
      </w:pPr>
      <w:bookmarkStart w:id="53" w:name="_ENREF_53"/>
      <w:r w:rsidRPr="00D0415B">
        <w:rPr>
          <w:rFonts w:asciiTheme="majorBidi" w:hAnsiTheme="majorBidi" w:cstheme="majorBidi"/>
          <w:sz w:val="20"/>
          <w:szCs w:val="20"/>
          <w:lang w:bidi="fa-IR"/>
        </w:rPr>
        <w:t xml:space="preserve">53. </w:t>
      </w:r>
      <w:r w:rsidR="00596AE2" w:rsidRPr="00D0415B">
        <w:rPr>
          <w:rFonts w:asciiTheme="majorBidi" w:hAnsiTheme="majorBidi" w:cstheme="majorBidi"/>
          <w:sz w:val="20"/>
          <w:szCs w:val="20"/>
          <w:lang w:bidi="fa-IR"/>
        </w:rPr>
        <w:t>Sultana, S., Lawag, I. L., Lim, L. Y., Foster, K. J. &amp; Locher, C. A Critical Exploration of the Total Flavonoid Content Assay for Honey. Methods and protocols 7, 95 (2024).</w:t>
      </w:r>
      <w:bookmarkEnd w:id="53"/>
    </w:p>
    <w:p w14:paraId="4312DB19" w14:textId="242B8D4A" w:rsidR="00596AE2" w:rsidRPr="00D0415B" w:rsidRDefault="00252F37" w:rsidP="00F023B4">
      <w:pPr>
        <w:spacing w:after="0" w:line="0" w:lineRule="atLeast"/>
        <w:rPr>
          <w:rFonts w:asciiTheme="majorBidi" w:hAnsiTheme="majorBidi" w:cstheme="majorBidi"/>
          <w:sz w:val="20"/>
          <w:szCs w:val="20"/>
          <w:lang w:bidi="fa-IR"/>
        </w:rPr>
      </w:pPr>
      <w:bookmarkStart w:id="54" w:name="_ENREF_54"/>
      <w:r w:rsidRPr="00D0415B">
        <w:rPr>
          <w:rFonts w:asciiTheme="majorBidi" w:hAnsiTheme="majorBidi" w:cstheme="majorBidi"/>
          <w:sz w:val="20"/>
          <w:szCs w:val="20"/>
          <w:lang w:bidi="fa-IR"/>
        </w:rPr>
        <w:t xml:space="preserve">54. </w:t>
      </w:r>
      <w:r w:rsidR="00596AE2" w:rsidRPr="00D0415B">
        <w:rPr>
          <w:rFonts w:asciiTheme="majorBidi" w:hAnsiTheme="majorBidi" w:cstheme="majorBidi"/>
          <w:sz w:val="20"/>
          <w:szCs w:val="20"/>
          <w:lang w:bidi="fa-IR"/>
        </w:rPr>
        <w:t>Ibrahim, E. A., Omran, A. A. &amp; Salama, Z. A. Evaluation of turkish delight prepared with pigments and essential oils extracted from clementine (</w:t>
      </w:r>
      <w:r w:rsidR="00596AE2" w:rsidRPr="00D0415B">
        <w:rPr>
          <w:rFonts w:asciiTheme="majorBidi" w:hAnsiTheme="majorBidi" w:cstheme="majorBidi"/>
          <w:i/>
          <w:iCs/>
          <w:sz w:val="20"/>
          <w:szCs w:val="20"/>
          <w:lang w:bidi="fa-IR"/>
        </w:rPr>
        <w:t>Citrus clementine</w:t>
      </w:r>
      <w:r w:rsidR="00596AE2" w:rsidRPr="00D0415B">
        <w:rPr>
          <w:rFonts w:asciiTheme="majorBidi" w:hAnsiTheme="majorBidi" w:cstheme="majorBidi"/>
          <w:sz w:val="20"/>
          <w:szCs w:val="20"/>
          <w:lang w:bidi="fa-IR"/>
        </w:rPr>
        <w:t>) peels as natural antioxidants. Baghdad Science Journal 19, 9 (2022).</w:t>
      </w:r>
      <w:bookmarkEnd w:id="54"/>
    </w:p>
    <w:p w14:paraId="1C01CD5D" w14:textId="6A896693" w:rsidR="00596AE2" w:rsidRPr="00D0415B" w:rsidRDefault="00252F37" w:rsidP="00F023B4">
      <w:pPr>
        <w:spacing w:after="0" w:line="0" w:lineRule="atLeast"/>
        <w:rPr>
          <w:rFonts w:asciiTheme="majorBidi" w:hAnsiTheme="majorBidi" w:cstheme="majorBidi"/>
          <w:sz w:val="20"/>
          <w:szCs w:val="20"/>
          <w:lang w:bidi="fa-IR"/>
        </w:rPr>
      </w:pPr>
      <w:bookmarkStart w:id="55" w:name="_ENREF_55"/>
      <w:r w:rsidRPr="00D0415B">
        <w:rPr>
          <w:rFonts w:asciiTheme="majorBidi" w:hAnsiTheme="majorBidi" w:cstheme="majorBidi"/>
          <w:sz w:val="20"/>
          <w:szCs w:val="20"/>
          <w:lang w:bidi="fa-IR"/>
        </w:rPr>
        <w:t xml:space="preserve">55. </w:t>
      </w:r>
      <w:r w:rsidR="00596AE2" w:rsidRPr="00D0415B">
        <w:rPr>
          <w:rFonts w:asciiTheme="majorBidi" w:hAnsiTheme="majorBidi" w:cstheme="majorBidi"/>
          <w:sz w:val="20"/>
          <w:szCs w:val="20"/>
          <w:lang w:bidi="fa-IR"/>
        </w:rPr>
        <w:t>Tomasina, F., Carabio, C., Celano, L. &amp; Thomson, L. Analysis of two methods to evaluate antioxidants. Biochemistry and Molecular Biology Education 40, 266-270 (2012).</w:t>
      </w:r>
      <w:bookmarkEnd w:id="55"/>
    </w:p>
    <w:p w14:paraId="295A7463" w14:textId="75ADE7A6" w:rsidR="00596AE2" w:rsidRPr="00D0415B" w:rsidRDefault="00252F37" w:rsidP="00F023B4">
      <w:pPr>
        <w:spacing w:after="0" w:line="0" w:lineRule="atLeast"/>
        <w:rPr>
          <w:rFonts w:asciiTheme="majorBidi" w:hAnsiTheme="majorBidi" w:cstheme="majorBidi"/>
          <w:sz w:val="20"/>
          <w:szCs w:val="20"/>
          <w:lang w:bidi="fa-IR"/>
        </w:rPr>
      </w:pPr>
      <w:bookmarkStart w:id="56" w:name="_ENREF_56"/>
      <w:r w:rsidRPr="00D0415B">
        <w:rPr>
          <w:rFonts w:asciiTheme="majorBidi" w:hAnsiTheme="majorBidi" w:cstheme="majorBidi"/>
          <w:sz w:val="20"/>
          <w:szCs w:val="20"/>
          <w:lang w:bidi="fa-IR"/>
        </w:rPr>
        <w:t xml:space="preserve">56. </w:t>
      </w:r>
      <w:r w:rsidR="00596AE2" w:rsidRPr="00D0415B">
        <w:rPr>
          <w:rFonts w:asciiTheme="majorBidi" w:hAnsiTheme="majorBidi" w:cstheme="majorBidi"/>
          <w:sz w:val="20"/>
          <w:szCs w:val="20"/>
          <w:lang w:bidi="fa-IR"/>
        </w:rPr>
        <w:t>Xia, B. et al. Investigation of the chemical compositions in tobacco of different origins and maturities at harvest by GC–MS and HPLC–PDA-QTOF-MS. Journal of Agricultural and Food Chemistry 62, 4979-4987 (2014).</w:t>
      </w:r>
      <w:bookmarkEnd w:id="56"/>
    </w:p>
    <w:p w14:paraId="4C9DF02F" w14:textId="0CE0242E" w:rsidR="00873563" w:rsidRDefault="00541756" w:rsidP="00873563">
      <w:pPr>
        <w:spacing w:after="200" w:line="360" w:lineRule="auto"/>
        <w:rPr>
          <w:rFonts w:ascii="Times New Roman" w:hAnsi="Times New Roman" w:cs="Times New Roman"/>
          <w:sz w:val="24"/>
          <w:szCs w:val="24"/>
          <w:lang w:val="tr-TR"/>
        </w:rPr>
      </w:pPr>
      <w:r w:rsidRPr="00D0415B">
        <w:rPr>
          <w:rFonts w:asciiTheme="majorBidi" w:hAnsiTheme="majorBidi" w:cstheme="majorBidi"/>
          <w:sz w:val="20"/>
          <w:szCs w:val="20"/>
          <w:lang w:bidi="fa-IR"/>
        </w:rPr>
        <w:fldChar w:fldCharType="end"/>
      </w:r>
      <w:r w:rsidR="00873563" w:rsidRPr="00873563">
        <w:rPr>
          <w:rFonts w:ascii="Times New Roman" w:hAnsi="Times New Roman" w:cs="Times New Roman"/>
          <w:sz w:val="24"/>
          <w:szCs w:val="24"/>
          <w:lang w:val="tr-TR"/>
        </w:rPr>
        <w:t xml:space="preserve"> </w:t>
      </w:r>
    </w:p>
    <w:p w14:paraId="5C910E99" w14:textId="77777777" w:rsidR="00873563" w:rsidRDefault="00873563" w:rsidP="00873563">
      <w:pPr>
        <w:spacing w:after="200" w:line="360" w:lineRule="auto"/>
        <w:rPr>
          <w:rFonts w:ascii="Times New Roman" w:hAnsi="Times New Roman" w:cs="Times New Roman"/>
          <w:sz w:val="24"/>
          <w:szCs w:val="24"/>
          <w:lang w:val="tr-TR"/>
        </w:rPr>
      </w:pPr>
    </w:p>
    <w:p w14:paraId="43E9ECB5" w14:textId="77777777" w:rsidR="00873563" w:rsidRDefault="00873563" w:rsidP="00873563">
      <w:pPr>
        <w:spacing w:after="200" w:line="360" w:lineRule="auto"/>
        <w:rPr>
          <w:rFonts w:ascii="Times New Roman" w:hAnsi="Times New Roman" w:cs="Times New Roman"/>
          <w:sz w:val="24"/>
          <w:szCs w:val="24"/>
          <w:lang w:val="tr-TR"/>
        </w:rPr>
      </w:pPr>
    </w:p>
    <w:p w14:paraId="002AAF87" w14:textId="77777777" w:rsidR="00873563" w:rsidRPr="00D0415B" w:rsidRDefault="00873563" w:rsidP="00873563">
      <w:pPr>
        <w:spacing w:after="200" w:line="360" w:lineRule="auto"/>
        <w:rPr>
          <w:rFonts w:ascii="Times New Roman" w:hAnsi="Times New Roman" w:cs="Times New Roman"/>
          <w:sz w:val="24"/>
          <w:szCs w:val="24"/>
          <w:lang w:val="tr-TR"/>
        </w:rPr>
      </w:pPr>
    </w:p>
    <w:p w14:paraId="62140627" w14:textId="77777777" w:rsidR="00873563" w:rsidRPr="00D0415B" w:rsidRDefault="00873563" w:rsidP="00873563">
      <w:pPr>
        <w:spacing w:before="240" w:after="0" w:line="276" w:lineRule="auto"/>
        <w:rPr>
          <w:rFonts w:asciiTheme="majorBidi" w:eastAsia="Times New Roman" w:hAnsiTheme="majorBidi" w:cstheme="majorBidi"/>
          <w:sz w:val="20"/>
          <w:szCs w:val="20"/>
          <w:lang w:bidi="fa-IR"/>
        </w:rPr>
      </w:pPr>
      <w:r w:rsidRPr="00D0415B">
        <w:rPr>
          <w:rFonts w:asciiTheme="majorBidi" w:eastAsia="Times New Roman" w:hAnsiTheme="majorBidi" w:cstheme="majorBidi"/>
          <w:b/>
          <w:bCs/>
          <w:sz w:val="20"/>
          <w:szCs w:val="20"/>
          <w:lang w:bidi="fa-IR"/>
        </w:rPr>
        <w:lastRenderedPageBreak/>
        <w:t>Table 1.</w:t>
      </w:r>
      <w:r w:rsidRPr="00D0415B">
        <w:rPr>
          <w:rFonts w:asciiTheme="majorBidi" w:eastAsia="Times New Roman" w:hAnsiTheme="majorBidi" w:cstheme="majorBidi"/>
          <w:sz w:val="20"/>
          <w:szCs w:val="20"/>
          <w:lang w:bidi="fa-IR"/>
        </w:rPr>
        <w:t xml:space="preserve"> Effect of foliar application of different concentrations of nitrogen and various amino acids includes Arginine, Ornithine and Aspartic acid and an equal concentration of combination of amino acids on total phenolic content (TPC), flavonoid (TFC) and antioxidant activity (DPPH and FRAP) of Burley variety of </w:t>
      </w:r>
      <w:r w:rsidRPr="00D0415B">
        <w:rPr>
          <w:rFonts w:asciiTheme="majorBidi" w:eastAsia="Times New Roman" w:hAnsiTheme="majorBidi" w:cstheme="majorBidi"/>
          <w:i/>
          <w:iCs/>
          <w:sz w:val="20"/>
          <w:szCs w:val="20"/>
          <w:lang w:bidi="fa-IR"/>
        </w:rPr>
        <w:t xml:space="preserve">N. </w:t>
      </w:r>
      <w:proofErr w:type="spellStart"/>
      <w:r w:rsidRPr="00D0415B">
        <w:rPr>
          <w:rFonts w:asciiTheme="majorBidi" w:eastAsia="Times New Roman" w:hAnsiTheme="majorBidi" w:cstheme="majorBidi"/>
          <w:i/>
          <w:iCs/>
          <w:sz w:val="20"/>
          <w:szCs w:val="20"/>
          <w:lang w:bidi="fa-IR"/>
        </w:rPr>
        <w:t>tabacum</w:t>
      </w:r>
      <w:proofErr w:type="spellEnd"/>
      <w:r w:rsidRPr="00D0415B">
        <w:rPr>
          <w:rFonts w:asciiTheme="majorBidi" w:eastAsia="Times New Roman" w:hAnsiTheme="majorBidi" w:cstheme="majorBidi"/>
          <w:sz w:val="20"/>
          <w:szCs w:val="20"/>
          <w:lang w:bidi="fa-IR"/>
        </w:rPr>
        <w:t>. Y1: first year of cultivation, Y2: Second year of cultivation, N2%: Ammonium nitrate 2%, N4%: Ammonium nitrate 4%, UR2%: Urea 2%, UR4%: Urea 4%, Ar1: Arginine 1 mg/L, Ar2: Arginine 2 mg/L, Or1: Ornithine 1 mg/L, Or2: Ornithine 2 mg/L, As1: Aspartic acid 1 mg/L, As2: Aspartic acid 2 mg/L, Mix1: Combination of amino acids 1 mg/L, Mix2: Combination of amino acids 2 mg/L.</w:t>
      </w:r>
    </w:p>
    <w:tbl>
      <w:tblPr>
        <w:tblW w:w="10580" w:type="dxa"/>
        <w:tblInd w:w="-426" w:type="dxa"/>
        <w:tblLook w:val="04A0" w:firstRow="1" w:lastRow="0" w:firstColumn="1" w:lastColumn="0" w:noHBand="0" w:noVBand="1"/>
      </w:tblPr>
      <w:tblGrid>
        <w:gridCol w:w="951"/>
        <w:gridCol w:w="1359"/>
        <w:gridCol w:w="1640"/>
        <w:gridCol w:w="1870"/>
        <w:gridCol w:w="1567"/>
        <w:gridCol w:w="1642"/>
        <w:gridCol w:w="1551"/>
      </w:tblGrid>
      <w:tr w:rsidR="00873563" w:rsidRPr="00D0415B" w14:paraId="23F015DB" w14:textId="77777777" w:rsidTr="000A0088">
        <w:trPr>
          <w:trHeight w:val="214"/>
        </w:trPr>
        <w:tc>
          <w:tcPr>
            <w:tcW w:w="951" w:type="dxa"/>
            <w:tcBorders>
              <w:top w:val="single" w:sz="4" w:space="0" w:color="auto"/>
              <w:left w:val="nil"/>
              <w:bottom w:val="single" w:sz="4" w:space="0" w:color="auto"/>
              <w:right w:val="nil"/>
            </w:tcBorders>
            <w:shd w:val="clear" w:color="auto" w:fill="auto"/>
            <w:noWrap/>
            <w:vAlign w:val="center"/>
            <w:hideMark/>
          </w:tcPr>
          <w:p w14:paraId="353CE028"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Variety</w:t>
            </w:r>
          </w:p>
        </w:tc>
        <w:tc>
          <w:tcPr>
            <w:tcW w:w="1359" w:type="dxa"/>
            <w:tcBorders>
              <w:top w:val="single" w:sz="4" w:space="0" w:color="auto"/>
              <w:left w:val="nil"/>
              <w:bottom w:val="single" w:sz="4" w:space="0" w:color="auto"/>
              <w:right w:val="nil"/>
            </w:tcBorders>
            <w:vAlign w:val="center"/>
          </w:tcPr>
          <w:p w14:paraId="7B703E23"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Year</w:t>
            </w:r>
          </w:p>
        </w:tc>
        <w:tc>
          <w:tcPr>
            <w:tcW w:w="1640" w:type="dxa"/>
            <w:tcBorders>
              <w:top w:val="single" w:sz="4" w:space="0" w:color="auto"/>
              <w:left w:val="nil"/>
              <w:bottom w:val="single" w:sz="4" w:space="0" w:color="auto"/>
              <w:right w:val="nil"/>
            </w:tcBorders>
            <w:shd w:val="clear" w:color="auto" w:fill="auto"/>
            <w:noWrap/>
            <w:vAlign w:val="center"/>
            <w:hideMark/>
          </w:tcPr>
          <w:p w14:paraId="1C0CBC3A"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Treatments</w:t>
            </w:r>
          </w:p>
        </w:tc>
        <w:tc>
          <w:tcPr>
            <w:tcW w:w="1870" w:type="dxa"/>
            <w:tcBorders>
              <w:top w:val="single" w:sz="4" w:space="0" w:color="auto"/>
              <w:left w:val="nil"/>
              <w:bottom w:val="single" w:sz="4" w:space="0" w:color="auto"/>
              <w:right w:val="nil"/>
            </w:tcBorders>
            <w:shd w:val="clear" w:color="auto" w:fill="auto"/>
            <w:noWrap/>
            <w:vAlign w:val="center"/>
            <w:hideMark/>
          </w:tcPr>
          <w:p w14:paraId="2F9DCC1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TPC</w:t>
            </w:r>
          </w:p>
          <w:p w14:paraId="53AC8CF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GAE/g DW)</w:t>
            </w:r>
          </w:p>
        </w:tc>
        <w:tc>
          <w:tcPr>
            <w:tcW w:w="1567" w:type="dxa"/>
            <w:tcBorders>
              <w:top w:val="single" w:sz="4" w:space="0" w:color="auto"/>
              <w:left w:val="nil"/>
              <w:bottom w:val="single" w:sz="4" w:space="0" w:color="auto"/>
              <w:right w:val="nil"/>
            </w:tcBorders>
            <w:shd w:val="clear" w:color="auto" w:fill="auto"/>
            <w:noWrap/>
            <w:vAlign w:val="center"/>
            <w:hideMark/>
          </w:tcPr>
          <w:p w14:paraId="1DA7BE9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TFC</w:t>
            </w:r>
          </w:p>
          <w:p w14:paraId="474658F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QE/g DW)</w:t>
            </w:r>
          </w:p>
        </w:tc>
        <w:tc>
          <w:tcPr>
            <w:tcW w:w="1642" w:type="dxa"/>
            <w:tcBorders>
              <w:top w:val="single" w:sz="4" w:space="0" w:color="auto"/>
              <w:left w:val="nil"/>
              <w:bottom w:val="single" w:sz="4" w:space="0" w:color="auto"/>
              <w:right w:val="nil"/>
            </w:tcBorders>
            <w:shd w:val="clear" w:color="auto" w:fill="auto"/>
            <w:noWrap/>
            <w:vAlign w:val="center"/>
            <w:hideMark/>
          </w:tcPr>
          <w:p w14:paraId="70CF5CC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DPPH</w:t>
            </w:r>
          </w:p>
          <w:p w14:paraId="5E27642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(IC</w:t>
            </w:r>
            <w:r w:rsidRPr="00D0415B">
              <w:rPr>
                <w:rFonts w:ascii="Times New Roman" w:eastAsia="Times New Roman" w:hAnsi="Times New Roman" w:cs="Times New Roman"/>
                <w:color w:val="000000"/>
                <w:sz w:val="16"/>
                <w:szCs w:val="16"/>
                <w:vertAlign w:val="subscript"/>
              </w:rPr>
              <w:t xml:space="preserve">50 </w:t>
            </w:r>
            <w:proofErr w:type="spellStart"/>
            <w:r w:rsidRPr="00D0415B">
              <w:rPr>
                <w:rFonts w:ascii="Times New Roman" w:eastAsia="Times New Roman" w:hAnsi="Times New Roman" w:cs="Times New Roman"/>
                <w:color w:val="000000"/>
                <w:sz w:val="16"/>
                <w:szCs w:val="16"/>
              </w:rPr>
              <w:t>μg</w:t>
            </w:r>
            <w:proofErr w:type="spellEnd"/>
            <w:r w:rsidRPr="00D0415B">
              <w:rPr>
                <w:rFonts w:ascii="Times New Roman" w:eastAsia="Times New Roman" w:hAnsi="Times New Roman" w:cs="Times New Roman"/>
                <w:color w:val="000000"/>
                <w:sz w:val="16"/>
                <w:szCs w:val="16"/>
              </w:rPr>
              <w:t>/ml)</w:t>
            </w:r>
          </w:p>
        </w:tc>
        <w:tc>
          <w:tcPr>
            <w:tcW w:w="1551" w:type="dxa"/>
            <w:tcBorders>
              <w:top w:val="single" w:sz="4" w:space="0" w:color="auto"/>
              <w:left w:val="nil"/>
              <w:bottom w:val="single" w:sz="4" w:space="0" w:color="auto"/>
              <w:right w:val="nil"/>
            </w:tcBorders>
            <w:shd w:val="clear" w:color="auto" w:fill="auto"/>
            <w:noWrap/>
            <w:vAlign w:val="center"/>
            <w:hideMark/>
          </w:tcPr>
          <w:p w14:paraId="283B3EE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FRAP</w:t>
            </w:r>
          </w:p>
          <w:p w14:paraId="03E9305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Fe</w:t>
            </w:r>
            <w:r w:rsidRPr="00D0415B">
              <w:rPr>
                <w:rFonts w:ascii="Times New Roman" w:eastAsia="Times New Roman" w:hAnsi="Times New Roman" w:cs="Times New Roman"/>
                <w:color w:val="000000"/>
                <w:sz w:val="16"/>
                <w:szCs w:val="16"/>
                <w:vertAlign w:val="superscript"/>
              </w:rPr>
              <w:t>2⁺</w:t>
            </w:r>
            <w:r w:rsidRPr="00D0415B">
              <w:rPr>
                <w:rFonts w:ascii="Times New Roman" w:eastAsia="Times New Roman" w:hAnsi="Times New Roman" w:cs="Times New Roman"/>
                <w:color w:val="000000"/>
                <w:sz w:val="16"/>
                <w:szCs w:val="16"/>
              </w:rPr>
              <w:t>/g DW)</w:t>
            </w:r>
          </w:p>
        </w:tc>
      </w:tr>
      <w:tr w:rsidR="00873563" w:rsidRPr="00D0415B" w14:paraId="64EF9174" w14:textId="77777777" w:rsidTr="000A0088">
        <w:trPr>
          <w:trHeight w:val="214"/>
        </w:trPr>
        <w:tc>
          <w:tcPr>
            <w:tcW w:w="951" w:type="dxa"/>
            <w:tcBorders>
              <w:top w:val="single" w:sz="4" w:space="0" w:color="auto"/>
              <w:left w:val="nil"/>
              <w:bottom w:val="nil"/>
              <w:right w:val="nil"/>
            </w:tcBorders>
            <w:shd w:val="clear" w:color="auto" w:fill="auto"/>
            <w:noWrap/>
            <w:vAlign w:val="center"/>
            <w:hideMark/>
          </w:tcPr>
          <w:p w14:paraId="4C83386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single" w:sz="4" w:space="0" w:color="auto"/>
              <w:left w:val="nil"/>
              <w:bottom w:val="nil"/>
              <w:right w:val="nil"/>
            </w:tcBorders>
          </w:tcPr>
          <w:p w14:paraId="6117394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single" w:sz="4" w:space="0" w:color="auto"/>
              <w:left w:val="nil"/>
              <w:bottom w:val="nil"/>
              <w:right w:val="nil"/>
            </w:tcBorders>
            <w:shd w:val="clear" w:color="auto" w:fill="auto"/>
            <w:noWrap/>
            <w:vAlign w:val="center"/>
            <w:hideMark/>
          </w:tcPr>
          <w:p w14:paraId="52FC662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870" w:type="dxa"/>
            <w:tcBorders>
              <w:top w:val="single" w:sz="4" w:space="0" w:color="auto"/>
              <w:left w:val="nil"/>
              <w:bottom w:val="nil"/>
              <w:right w:val="nil"/>
            </w:tcBorders>
            <w:shd w:val="clear" w:color="auto" w:fill="auto"/>
            <w:noWrap/>
            <w:vAlign w:val="center"/>
            <w:hideMark/>
          </w:tcPr>
          <w:p w14:paraId="37E7C37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10.0</w:t>
            </w:r>
            <w:r w:rsidRPr="00D0415B">
              <w:rPr>
                <w:rFonts w:ascii="Times New Roman" w:eastAsia="Times New Roman" w:hAnsi="Times New Roman" w:cs="Times New Roman"/>
                <w:color w:val="000000"/>
                <w:sz w:val="16"/>
                <w:szCs w:val="16"/>
                <w:vertAlign w:val="superscript"/>
              </w:rPr>
              <w:t>c</w:t>
            </w:r>
          </w:p>
        </w:tc>
        <w:tc>
          <w:tcPr>
            <w:tcW w:w="1567" w:type="dxa"/>
            <w:tcBorders>
              <w:top w:val="single" w:sz="4" w:space="0" w:color="auto"/>
              <w:left w:val="nil"/>
              <w:bottom w:val="nil"/>
              <w:right w:val="nil"/>
            </w:tcBorders>
            <w:shd w:val="clear" w:color="auto" w:fill="auto"/>
            <w:noWrap/>
            <w:vAlign w:val="center"/>
            <w:hideMark/>
          </w:tcPr>
          <w:p w14:paraId="5142187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9.4</w:t>
            </w:r>
            <w:r w:rsidRPr="00D0415B">
              <w:rPr>
                <w:rFonts w:ascii="Times New Roman" w:eastAsia="Times New Roman" w:hAnsi="Times New Roman" w:cs="Times New Roman"/>
                <w:color w:val="000000"/>
                <w:sz w:val="16"/>
                <w:szCs w:val="16"/>
                <w:vertAlign w:val="superscript"/>
              </w:rPr>
              <w:t>c</w:t>
            </w:r>
          </w:p>
        </w:tc>
        <w:tc>
          <w:tcPr>
            <w:tcW w:w="1642" w:type="dxa"/>
            <w:tcBorders>
              <w:top w:val="single" w:sz="4" w:space="0" w:color="auto"/>
              <w:left w:val="nil"/>
              <w:bottom w:val="nil"/>
              <w:right w:val="nil"/>
            </w:tcBorders>
            <w:shd w:val="clear" w:color="auto" w:fill="auto"/>
            <w:noWrap/>
            <w:vAlign w:val="center"/>
            <w:hideMark/>
          </w:tcPr>
          <w:p w14:paraId="6FB0CF6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50.0</w:t>
            </w:r>
            <w:r w:rsidRPr="00D0415B">
              <w:rPr>
                <w:rFonts w:ascii="Times New Roman" w:eastAsia="Times New Roman" w:hAnsi="Times New Roman" w:cs="Times New Roman"/>
                <w:color w:val="000000"/>
                <w:sz w:val="16"/>
                <w:szCs w:val="16"/>
                <w:vertAlign w:val="superscript"/>
              </w:rPr>
              <w:t>d</w:t>
            </w:r>
          </w:p>
        </w:tc>
        <w:tc>
          <w:tcPr>
            <w:tcW w:w="1551" w:type="dxa"/>
            <w:tcBorders>
              <w:top w:val="single" w:sz="4" w:space="0" w:color="auto"/>
              <w:left w:val="nil"/>
              <w:bottom w:val="nil"/>
              <w:right w:val="nil"/>
            </w:tcBorders>
            <w:shd w:val="clear" w:color="auto" w:fill="auto"/>
            <w:noWrap/>
            <w:vAlign w:val="center"/>
            <w:hideMark/>
          </w:tcPr>
          <w:p w14:paraId="6D11F4F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30.0</w:t>
            </w:r>
            <w:r w:rsidRPr="00D0415B">
              <w:rPr>
                <w:rFonts w:ascii="Times New Roman" w:eastAsia="Times New Roman" w:hAnsi="Times New Roman" w:cs="Times New Roman"/>
                <w:color w:val="000000"/>
                <w:sz w:val="16"/>
                <w:szCs w:val="16"/>
                <w:vertAlign w:val="superscript"/>
              </w:rPr>
              <w:t>c</w:t>
            </w:r>
          </w:p>
        </w:tc>
      </w:tr>
      <w:tr w:rsidR="00873563" w:rsidRPr="00D0415B" w14:paraId="2FBE6B62" w14:textId="77777777" w:rsidTr="000A0088">
        <w:trPr>
          <w:trHeight w:val="214"/>
        </w:trPr>
        <w:tc>
          <w:tcPr>
            <w:tcW w:w="951" w:type="dxa"/>
            <w:tcBorders>
              <w:top w:val="nil"/>
              <w:left w:val="nil"/>
              <w:bottom w:val="nil"/>
              <w:right w:val="nil"/>
            </w:tcBorders>
            <w:shd w:val="clear" w:color="auto" w:fill="auto"/>
            <w:noWrap/>
            <w:vAlign w:val="center"/>
            <w:hideMark/>
          </w:tcPr>
          <w:p w14:paraId="55ABF45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40CAA33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hideMark/>
          </w:tcPr>
          <w:p w14:paraId="38E3A85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870" w:type="dxa"/>
            <w:tcBorders>
              <w:top w:val="nil"/>
              <w:left w:val="nil"/>
              <w:bottom w:val="nil"/>
              <w:right w:val="nil"/>
            </w:tcBorders>
            <w:shd w:val="clear" w:color="auto" w:fill="auto"/>
            <w:noWrap/>
            <w:vAlign w:val="center"/>
            <w:hideMark/>
          </w:tcPr>
          <w:p w14:paraId="10BD7F5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8.1</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50CA60B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7.4</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hideMark/>
          </w:tcPr>
          <w:p w14:paraId="7EECB32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61.7</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59A1D03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24.3</w:t>
            </w:r>
            <w:r w:rsidRPr="00D0415B">
              <w:rPr>
                <w:rFonts w:ascii="Times New Roman" w:eastAsia="Times New Roman" w:hAnsi="Times New Roman" w:cs="Times New Roman"/>
                <w:color w:val="000000"/>
                <w:sz w:val="16"/>
                <w:szCs w:val="16"/>
                <w:vertAlign w:val="superscript"/>
              </w:rPr>
              <w:t>d</w:t>
            </w:r>
          </w:p>
        </w:tc>
      </w:tr>
      <w:tr w:rsidR="00873563" w:rsidRPr="00D0415B" w14:paraId="304D0A91" w14:textId="77777777" w:rsidTr="000A0088">
        <w:trPr>
          <w:trHeight w:val="214"/>
        </w:trPr>
        <w:tc>
          <w:tcPr>
            <w:tcW w:w="951" w:type="dxa"/>
            <w:tcBorders>
              <w:top w:val="nil"/>
              <w:left w:val="nil"/>
              <w:bottom w:val="nil"/>
              <w:right w:val="nil"/>
            </w:tcBorders>
            <w:shd w:val="clear" w:color="auto" w:fill="auto"/>
            <w:noWrap/>
            <w:vAlign w:val="center"/>
            <w:hideMark/>
          </w:tcPr>
          <w:p w14:paraId="372A636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7034F16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hideMark/>
          </w:tcPr>
          <w:p w14:paraId="3A1D43E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870" w:type="dxa"/>
            <w:tcBorders>
              <w:top w:val="nil"/>
              <w:left w:val="nil"/>
              <w:bottom w:val="nil"/>
              <w:right w:val="nil"/>
            </w:tcBorders>
            <w:shd w:val="clear" w:color="auto" w:fill="auto"/>
            <w:noWrap/>
            <w:vAlign w:val="center"/>
            <w:hideMark/>
          </w:tcPr>
          <w:p w14:paraId="0FC3906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5C866BF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6.9</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hideMark/>
          </w:tcPr>
          <w:p w14:paraId="2BE8F2A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65.2</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22B2615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23.0</w:t>
            </w:r>
            <w:r w:rsidRPr="00D0415B">
              <w:rPr>
                <w:rFonts w:ascii="Times New Roman" w:eastAsia="Times New Roman" w:hAnsi="Times New Roman" w:cs="Times New Roman"/>
                <w:color w:val="000000"/>
                <w:sz w:val="16"/>
                <w:szCs w:val="16"/>
                <w:vertAlign w:val="superscript"/>
              </w:rPr>
              <w:t>d</w:t>
            </w:r>
          </w:p>
        </w:tc>
      </w:tr>
      <w:tr w:rsidR="00873563" w:rsidRPr="00D0415B" w14:paraId="0A2512F0" w14:textId="77777777" w:rsidTr="000A0088">
        <w:trPr>
          <w:trHeight w:val="214"/>
        </w:trPr>
        <w:tc>
          <w:tcPr>
            <w:tcW w:w="951" w:type="dxa"/>
            <w:tcBorders>
              <w:top w:val="nil"/>
              <w:left w:val="nil"/>
              <w:bottom w:val="nil"/>
              <w:right w:val="nil"/>
            </w:tcBorders>
            <w:shd w:val="clear" w:color="auto" w:fill="auto"/>
            <w:noWrap/>
            <w:vAlign w:val="center"/>
          </w:tcPr>
          <w:p w14:paraId="169B2CD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5A14684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5BF2729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870" w:type="dxa"/>
            <w:tcBorders>
              <w:top w:val="nil"/>
              <w:left w:val="nil"/>
              <w:bottom w:val="nil"/>
              <w:right w:val="nil"/>
            </w:tcBorders>
            <w:shd w:val="clear" w:color="auto" w:fill="auto"/>
            <w:noWrap/>
            <w:vAlign w:val="center"/>
          </w:tcPr>
          <w:p w14:paraId="7F24020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6.4</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tcPr>
          <w:p w14:paraId="236E65D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6.5</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tcPr>
          <w:p w14:paraId="5D46A66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71.4</w:t>
            </w:r>
            <w:r w:rsidRPr="00D0415B">
              <w:rPr>
                <w:rFonts w:ascii="Times New Roman" w:eastAsia="Times New Roman" w:hAnsi="Times New Roman" w:cs="Times New Roman"/>
                <w:color w:val="000000"/>
                <w:sz w:val="16"/>
                <w:szCs w:val="16"/>
                <w:vertAlign w:val="superscript"/>
              </w:rPr>
              <w:t>f</w:t>
            </w:r>
          </w:p>
        </w:tc>
        <w:tc>
          <w:tcPr>
            <w:tcW w:w="1551" w:type="dxa"/>
            <w:tcBorders>
              <w:top w:val="nil"/>
              <w:left w:val="nil"/>
              <w:bottom w:val="nil"/>
              <w:right w:val="nil"/>
            </w:tcBorders>
            <w:shd w:val="clear" w:color="auto" w:fill="auto"/>
            <w:noWrap/>
            <w:vAlign w:val="center"/>
          </w:tcPr>
          <w:p w14:paraId="7A6B86F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21.0</w:t>
            </w:r>
            <w:r w:rsidRPr="00D0415B">
              <w:rPr>
                <w:rFonts w:ascii="Times New Roman" w:eastAsia="Times New Roman" w:hAnsi="Times New Roman" w:cs="Times New Roman"/>
                <w:color w:val="000000"/>
                <w:sz w:val="16"/>
                <w:szCs w:val="16"/>
                <w:vertAlign w:val="superscript"/>
              </w:rPr>
              <w:t>d</w:t>
            </w:r>
          </w:p>
        </w:tc>
      </w:tr>
      <w:tr w:rsidR="00873563" w:rsidRPr="00D0415B" w14:paraId="4DF218FA" w14:textId="77777777" w:rsidTr="000A0088">
        <w:trPr>
          <w:trHeight w:val="214"/>
        </w:trPr>
        <w:tc>
          <w:tcPr>
            <w:tcW w:w="951" w:type="dxa"/>
            <w:tcBorders>
              <w:top w:val="nil"/>
              <w:left w:val="nil"/>
              <w:bottom w:val="nil"/>
              <w:right w:val="nil"/>
            </w:tcBorders>
            <w:shd w:val="clear" w:color="auto" w:fill="auto"/>
            <w:noWrap/>
            <w:vAlign w:val="center"/>
          </w:tcPr>
          <w:p w14:paraId="4B54420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7A74D86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6F9F08E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870" w:type="dxa"/>
            <w:tcBorders>
              <w:top w:val="nil"/>
              <w:left w:val="nil"/>
              <w:bottom w:val="nil"/>
              <w:right w:val="nil"/>
            </w:tcBorders>
            <w:shd w:val="clear" w:color="auto" w:fill="auto"/>
            <w:noWrap/>
            <w:vAlign w:val="center"/>
          </w:tcPr>
          <w:p w14:paraId="4324D71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5.6</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tcPr>
          <w:p w14:paraId="775C531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5.5</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tcPr>
          <w:p w14:paraId="2BED5D7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84.7</w:t>
            </w:r>
            <w:r w:rsidRPr="00D0415B">
              <w:rPr>
                <w:rFonts w:ascii="Times New Roman" w:eastAsia="Times New Roman" w:hAnsi="Times New Roman" w:cs="Times New Roman"/>
                <w:color w:val="000000"/>
                <w:sz w:val="16"/>
                <w:szCs w:val="16"/>
                <w:vertAlign w:val="superscript"/>
              </w:rPr>
              <w:t>g</w:t>
            </w:r>
          </w:p>
        </w:tc>
        <w:tc>
          <w:tcPr>
            <w:tcW w:w="1551" w:type="dxa"/>
            <w:tcBorders>
              <w:top w:val="nil"/>
              <w:left w:val="nil"/>
              <w:bottom w:val="nil"/>
              <w:right w:val="nil"/>
            </w:tcBorders>
            <w:shd w:val="clear" w:color="auto" w:fill="auto"/>
            <w:noWrap/>
            <w:vAlign w:val="center"/>
          </w:tcPr>
          <w:p w14:paraId="4C28A29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17.5</w:t>
            </w:r>
            <w:r w:rsidRPr="00D0415B">
              <w:rPr>
                <w:rFonts w:ascii="Times New Roman" w:eastAsia="Times New Roman" w:hAnsi="Times New Roman" w:cs="Times New Roman"/>
                <w:color w:val="000000"/>
                <w:sz w:val="16"/>
                <w:szCs w:val="16"/>
                <w:vertAlign w:val="superscript"/>
              </w:rPr>
              <w:t>e</w:t>
            </w:r>
          </w:p>
        </w:tc>
      </w:tr>
      <w:tr w:rsidR="00873563" w:rsidRPr="00D0415B" w14:paraId="1192CB81" w14:textId="77777777" w:rsidTr="000A0088">
        <w:trPr>
          <w:trHeight w:val="214"/>
        </w:trPr>
        <w:tc>
          <w:tcPr>
            <w:tcW w:w="951" w:type="dxa"/>
            <w:tcBorders>
              <w:top w:val="nil"/>
              <w:left w:val="nil"/>
              <w:bottom w:val="nil"/>
              <w:right w:val="nil"/>
            </w:tcBorders>
            <w:shd w:val="clear" w:color="auto" w:fill="auto"/>
            <w:noWrap/>
            <w:vAlign w:val="center"/>
          </w:tcPr>
          <w:p w14:paraId="5BB5096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4B36CBC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1034417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870" w:type="dxa"/>
            <w:tcBorders>
              <w:top w:val="nil"/>
              <w:left w:val="nil"/>
              <w:bottom w:val="nil"/>
              <w:right w:val="nil"/>
            </w:tcBorders>
            <w:shd w:val="clear" w:color="auto" w:fill="auto"/>
            <w:noWrap/>
            <w:vAlign w:val="center"/>
          </w:tcPr>
          <w:p w14:paraId="3FC090E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12.0</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5984C95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11.3</w:t>
            </w:r>
            <w:r w:rsidRPr="00D0415B">
              <w:rPr>
                <w:rFonts w:ascii="Times New Roman" w:eastAsia="Times New Roman" w:hAnsi="Times New Roman" w:cs="Times New Roman"/>
                <w:color w:val="000000"/>
                <w:sz w:val="16"/>
                <w:szCs w:val="16"/>
                <w:vertAlign w:val="superscript"/>
              </w:rPr>
              <w:t>b</w:t>
            </w:r>
          </w:p>
        </w:tc>
        <w:tc>
          <w:tcPr>
            <w:tcW w:w="1642" w:type="dxa"/>
            <w:tcBorders>
              <w:top w:val="nil"/>
              <w:left w:val="nil"/>
              <w:bottom w:val="nil"/>
              <w:right w:val="nil"/>
            </w:tcBorders>
            <w:shd w:val="clear" w:color="auto" w:fill="auto"/>
            <w:noWrap/>
            <w:vAlign w:val="center"/>
          </w:tcPr>
          <w:p w14:paraId="562DB28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44.1</w:t>
            </w:r>
            <w:r w:rsidRPr="00D0415B">
              <w:rPr>
                <w:rFonts w:ascii="Times New Roman" w:eastAsia="Times New Roman" w:hAnsi="Times New Roman" w:cs="Times New Roman"/>
                <w:color w:val="000000"/>
                <w:sz w:val="16"/>
                <w:szCs w:val="16"/>
                <w:vertAlign w:val="superscript"/>
              </w:rPr>
              <w:t>c</w:t>
            </w:r>
          </w:p>
        </w:tc>
        <w:tc>
          <w:tcPr>
            <w:tcW w:w="1551" w:type="dxa"/>
            <w:tcBorders>
              <w:top w:val="nil"/>
              <w:left w:val="nil"/>
              <w:bottom w:val="nil"/>
              <w:right w:val="nil"/>
            </w:tcBorders>
            <w:shd w:val="clear" w:color="auto" w:fill="auto"/>
            <w:noWrap/>
            <w:vAlign w:val="center"/>
          </w:tcPr>
          <w:p w14:paraId="3226B24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34.0</w:t>
            </w:r>
            <w:r w:rsidRPr="00D0415B">
              <w:rPr>
                <w:rFonts w:ascii="Times New Roman" w:eastAsia="Times New Roman" w:hAnsi="Times New Roman" w:cs="Times New Roman"/>
                <w:color w:val="000000"/>
                <w:sz w:val="16"/>
                <w:szCs w:val="16"/>
                <w:vertAlign w:val="superscript"/>
              </w:rPr>
              <w:t>c</w:t>
            </w:r>
          </w:p>
        </w:tc>
      </w:tr>
      <w:tr w:rsidR="00873563" w:rsidRPr="00D0415B" w14:paraId="53578928" w14:textId="77777777" w:rsidTr="000A0088">
        <w:trPr>
          <w:trHeight w:val="214"/>
        </w:trPr>
        <w:tc>
          <w:tcPr>
            <w:tcW w:w="951" w:type="dxa"/>
            <w:tcBorders>
              <w:top w:val="nil"/>
              <w:left w:val="nil"/>
              <w:bottom w:val="nil"/>
              <w:right w:val="nil"/>
            </w:tcBorders>
            <w:shd w:val="clear" w:color="auto" w:fill="auto"/>
            <w:noWrap/>
            <w:vAlign w:val="center"/>
          </w:tcPr>
          <w:p w14:paraId="4795C8B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5840E3F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4C75BD3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870" w:type="dxa"/>
            <w:tcBorders>
              <w:top w:val="nil"/>
              <w:left w:val="nil"/>
              <w:bottom w:val="nil"/>
              <w:right w:val="nil"/>
            </w:tcBorders>
            <w:shd w:val="clear" w:color="auto" w:fill="auto"/>
            <w:noWrap/>
            <w:vAlign w:val="center"/>
          </w:tcPr>
          <w:p w14:paraId="5BE8BBF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12.9</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0A7F325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11.2</w:t>
            </w:r>
            <w:r w:rsidRPr="00D0415B">
              <w:rPr>
                <w:rFonts w:ascii="Times New Roman" w:eastAsia="Times New Roman" w:hAnsi="Times New Roman" w:cs="Times New Roman"/>
                <w:color w:val="000000"/>
                <w:sz w:val="16"/>
                <w:szCs w:val="16"/>
                <w:vertAlign w:val="superscript"/>
              </w:rPr>
              <w:t>b</w:t>
            </w:r>
          </w:p>
        </w:tc>
        <w:tc>
          <w:tcPr>
            <w:tcW w:w="1642" w:type="dxa"/>
            <w:tcBorders>
              <w:top w:val="nil"/>
              <w:left w:val="nil"/>
              <w:bottom w:val="nil"/>
              <w:right w:val="nil"/>
            </w:tcBorders>
            <w:shd w:val="clear" w:color="auto" w:fill="auto"/>
            <w:noWrap/>
            <w:vAlign w:val="center"/>
          </w:tcPr>
          <w:p w14:paraId="4CBC18D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40.5</w:t>
            </w:r>
            <w:r w:rsidRPr="00D0415B">
              <w:rPr>
                <w:rFonts w:ascii="Times New Roman" w:eastAsia="Times New Roman" w:hAnsi="Times New Roman" w:cs="Times New Roman"/>
                <w:color w:val="000000"/>
                <w:sz w:val="16"/>
                <w:szCs w:val="16"/>
                <w:vertAlign w:val="superscript"/>
              </w:rPr>
              <w:t>c</w:t>
            </w:r>
          </w:p>
        </w:tc>
        <w:tc>
          <w:tcPr>
            <w:tcW w:w="1551" w:type="dxa"/>
            <w:tcBorders>
              <w:top w:val="nil"/>
              <w:left w:val="nil"/>
              <w:bottom w:val="nil"/>
              <w:right w:val="nil"/>
            </w:tcBorders>
            <w:shd w:val="clear" w:color="auto" w:fill="auto"/>
            <w:noWrap/>
            <w:vAlign w:val="center"/>
          </w:tcPr>
          <w:p w14:paraId="6712B28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37.0</w:t>
            </w:r>
            <w:r w:rsidRPr="00D0415B">
              <w:rPr>
                <w:rFonts w:ascii="Times New Roman" w:eastAsia="Times New Roman" w:hAnsi="Times New Roman" w:cs="Times New Roman"/>
                <w:color w:val="000000"/>
                <w:sz w:val="16"/>
                <w:szCs w:val="16"/>
                <w:vertAlign w:val="superscript"/>
              </w:rPr>
              <w:t>c</w:t>
            </w:r>
          </w:p>
        </w:tc>
      </w:tr>
      <w:tr w:rsidR="00873563" w:rsidRPr="00D0415B" w14:paraId="5FAAE383" w14:textId="77777777" w:rsidTr="000A0088">
        <w:trPr>
          <w:trHeight w:val="214"/>
        </w:trPr>
        <w:tc>
          <w:tcPr>
            <w:tcW w:w="951" w:type="dxa"/>
            <w:tcBorders>
              <w:top w:val="nil"/>
              <w:left w:val="nil"/>
              <w:bottom w:val="nil"/>
              <w:right w:val="nil"/>
            </w:tcBorders>
            <w:shd w:val="clear" w:color="auto" w:fill="auto"/>
            <w:noWrap/>
            <w:vAlign w:val="center"/>
          </w:tcPr>
          <w:p w14:paraId="6035B28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070DB2B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338DE4A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870" w:type="dxa"/>
            <w:tcBorders>
              <w:top w:val="nil"/>
              <w:left w:val="nil"/>
              <w:bottom w:val="nil"/>
              <w:right w:val="nil"/>
            </w:tcBorders>
            <w:shd w:val="clear" w:color="auto" w:fill="auto"/>
            <w:noWrap/>
            <w:vAlign w:val="center"/>
          </w:tcPr>
          <w:p w14:paraId="6588DFA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13.4</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4EF8405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12.5</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24C81D9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36.6</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2C23421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41.0</w:t>
            </w:r>
            <w:r w:rsidRPr="00D0415B">
              <w:rPr>
                <w:rFonts w:ascii="Times New Roman" w:eastAsia="Times New Roman" w:hAnsi="Times New Roman" w:cs="Times New Roman"/>
                <w:color w:val="000000"/>
                <w:sz w:val="16"/>
                <w:szCs w:val="16"/>
                <w:vertAlign w:val="superscript"/>
              </w:rPr>
              <w:t>b</w:t>
            </w:r>
          </w:p>
        </w:tc>
      </w:tr>
      <w:tr w:rsidR="00873563" w:rsidRPr="00D0415B" w14:paraId="4214BD80" w14:textId="77777777" w:rsidTr="000A0088">
        <w:trPr>
          <w:trHeight w:val="214"/>
        </w:trPr>
        <w:tc>
          <w:tcPr>
            <w:tcW w:w="951" w:type="dxa"/>
            <w:tcBorders>
              <w:top w:val="nil"/>
              <w:left w:val="nil"/>
              <w:bottom w:val="nil"/>
              <w:right w:val="nil"/>
            </w:tcBorders>
            <w:shd w:val="clear" w:color="auto" w:fill="auto"/>
            <w:noWrap/>
            <w:vAlign w:val="center"/>
          </w:tcPr>
          <w:p w14:paraId="39E7082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6F30D22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3EFA0F8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870" w:type="dxa"/>
            <w:tcBorders>
              <w:top w:val="nil"/>
              <w:left w:val="nil"/>
              <w:bottom w:val="nil"/>
              <w:right w:val="nil"/>
            </w:tcBorders>
            <w:shd w:val="clear" w:color="auto" w:fill="auto"/>
            <w:noWrap/>
            <w:vAlign w:val="center"/>
          </w:tcPr>
          <w:p w14:paraId="1A32C2A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14.1</w:t>
            </w:r>
            <w:r w:rsidRPr="00D0415B">
              <w:rPr>
                <w:rFonts w:ascii="Times New Roman" w:eastAsia="Times New Roman" w:hAnsi="Times New Roman" w:cs="Times New Roman"/>
                <w:color w:val="000000"/>
                <w:sz w:val="16"/>
                <w:szCs w:val="16"/>
                <w:vertAlign w:val="superscript"/>
              </w:rPr>
              <w:t>ab</w:t>
            </w:r>
          </w:p>
        </w:tc>
        <w:tc>
          <w:tcPr>
            <w:tcW w:w="1567" w:type="dxa"/>
            <w:tcBorders>
              <w:top w:val="nil"/>
              <w:left w:val="nil"/>
              <w:bottom w:val="nil"/>
              <w:right w:val="nil"/>
            </w:tcBorders>
            <w:shd w:val="clear" w:color="auto" w:fill="auto"/>
            <w:noWrap/>
            <w:vAlign w:val="center"/>
          </w:tcPr>
          <w:p w14:paraId="2861556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12.6</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3915619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36.1</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044E11F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41.5</w:t>
            </w:r>
            <w:r w:rsidRPr="00D0415B">
              <w:rPr>
                <w:rFonts w:ascii="Times New Roman" w:eastAsia="Times New Roman" w:hAnsi="Times New Roman" w:cs="Times New Roman"/>
                <w:color w:val="000000"/>
                <w:sz w:val="16"/>
                <w:szCs w:val="16"/>
                <w:vertAlign w:val="superscript"/>
              </w:rPr>
              <w:t>b</w:t>
            </w:r>
          </w:p>
        </w:tc>
      </w:tr>
      <w:tr w:rsidR="00873563" w:rsidRPr="00D0415B" w14:paraId="02E22F77" w14:textId="77777777" w:rsidTr="000A0088">
        <w:trPr>
          <w:trHeight w:val="214"/>
        </w:trPr>
        <w:tc>
          <w:tcPr>
            <w:tcW w:w="951" w:type="dxa"/>
            <w:tcBorders>
              <w:top w:val="nil"/>
              <w:left w:val="nil"/>
              <w:bottom w:val="nil"/>
              <w:right w:val="nil"/>
            </w:tcBorders>
            <w:shd w:val="clear" w:color="auto" w:fill="auto"/>
            <w:noWrap/>
            <w:vAlign w:val="center"/>
          </w:tcPr>
          <w:p w14:paraId="30B69FE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6920666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1B05A4A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870" w:type="dxa"/>
            <w:tcBorders>
              <w:top w:val="nil"/>
              <w:left w:val="nil"/>
              <w:bottom w:val="nil"/>
              <w:right w:val="nil"/>
            </w:tcBorders>
            <w:shd w:val="clear" w:color="auto" w:fill="auto"/>
            <w:noWrap/>
            <w:vAlign w:val="center"/>
          </w:tcPr>
          <w:p w14:paraId="428AAB0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13.9</w:t>
            </w:r>
            <w:r w:rsidRPr="00D0415B">
              <w:rPr>
                <w:rFonts w:ascii="Times New Roman" w:eastAsia="Times New Roman" w:hAnsi="Times New Roman" w:cs="Times New Roman"/>
                <w:color w:val="000000"/>
                <w:sz w:val="16"/>
                <w:szCs w:val="16"/>
                <w:vertAlign w:val="superscript"/>
              </w:rPr>
              <w:t>ab</w:t>
            </w:r>
          </w:p>
        </w:tc>
        <w:tc>
          <w:tcPr>
            <w:tcW w:w="1567" w:type="dxa"/>
            <w:tcBorders>
              <w:top w:val="nil"/>
              <w:left w:val="nil"/>
              <w:bottom w:val="nil"/>
              <w:right w:val="nil"/>
            </w:tcBorders>
            <w:shd w:val="clear" w:color="auto" w:fill="auto"/>
            <w:noWrap/>
            <w:vAlign w:val="center"/>
          </w:tcPr>
          <w:p w14:paraId="5CD112B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11.9</w:t>
            </w:r>
            <w:r w:rsidRPr="00D0415B">
              <w:rPr>
                <w:rFonts w:ascii="Times New Roman" w:eastAsia="Times New Roman" w:hAnsi="Times New Roman" w:cs="Times New Roman"/>
                <w:color w:val="000000"/>
                <w:sz w:val="16"/>
                <w:szCs w:val="16"/>
                <w:vertAlign w:val="superscript"/>
              </w:rPr>
              <w:t>ab</w:t>
            </w:r>
          </w:p>
        </w:tc>
        <w:tc>
          <w:tcPr>
            <w:tcW w:w="1642" w:type="dxa"/>
            <w:tcBorders>
              <w:top w:val="nil"/>
              <w:left w:val="nil"/>
              <w:bottom w:val="nil"/>
              <w:right w:val="nil"/>
            </w:tcBorders>
            <w:shd w:val="clear" w:color="auto" w:fill="auto"/>
            <w:noWrap/>
            <w:vAlign w:val="center"/>
          </w:tcPr>
          <w:p w14:paraId="5BC9215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35.7</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4E1125C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42.0</w:t>
            </w:r>
            <w:r w:rsidRPr="00D0415B">
              <w:rPr>
                <w:rFonts w:ascii="Times New Roman" w:eastAsia="Times New Roman" w:hAnsi="Times New Roman" w:cs="Times New Roman"/>
                <w:color w:val="000000"/>
                <w:sz w:val="16"/>
                <w:szCs w:val="16"/>
                <w:vertAlign w:val="superscript"/>
              </w:rPr>
              <w:t>b</w:t>
            </w:r>
          </w:p>
        </w:tc>
      </w:tr>
      <w:tr w:rsidR="00873563" w:rsidRPr="00D0415B" w14:paraId="11D9AC60" w14:textId="77777777" w:rsidTr="000A0088">
        <w:trPr>
          <w:trHeight w:val="214"/>
        </w:trPr>
        <w:tc>
          <w:tcPr>
            <w:tcW w:w="951" w:type="dxa"/>
            <w:tcBorders>
              <w:top w:val="nil"/>
              <w:left w:val="nil"/>
              <w:bottom w:val="nil"/>
              <w:right w:val="nil"/>
            </w:tcBorders>
            <w:shd w:val="clear" w:color="auto" w:fill="auto"/>
            <w:noWrap/>
            <w:vAlign w:val="center"/>
          </w:tcPr>
          <w:p w14:paraId="3A438D3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4C8E796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10D3B11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870" w:type="dxa"/>
            <w:tcBorders>
              <w:top w:val="nil"/>
              <w:left w:val="nil"/>
              <w:bottom w:val="nil"/>
              <w:right w:val="nil"/>
            </w:tcBorders>
            <w:shd w:val="clear" w:color="auto" w:fill="auto"/>
            <w:noWrap/>
            <w:vAlign w:val="center"/>
          </w:tcPr>
          <w:p w14:paraId="243DAF4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13.8</w:t>
            </w:r>
            <w:r w:rsidRPr="00D0415B">
              <w:rPr>
                <w:rFonts w:ascii="Times New Roman" w:eastAsia="Times New Roman" w:hAnsi="Times New Roman" w:cs="Times New Roman"/>
                <w:color w:val="000000"/>
                <w:sz w:val="16"/>
                <w:szCs w:val="16"/>
                <w:vertAlign w:val="superscript"/>
              </w:rPr>
              <w:t>ab</w:t>
            </w:r>
          </w:p>
        </w:tc>
        <w:tc>
          <w:tcPr>
            <w:tcW w:w="1567" w:type="dxa"/>
            <w:tcBorders>
              <w:top w:val="nil"/>
              <w:left w:val="nil"/>
              <w:bottom w:val="nil"/>
              <w:right w:val="nil"/>
            </w:tcBorders>
            <w:shd w:val="clear" w:color="auto" w:fill="auto"/>
            <w:noWrap/>
            <w:vAlign w:val="center"/>
          </w:tcPr>
          <w:p w14:paraId="6D7ADEA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11.8</w:t>
            </w:r>
            <w:r w:rsidRPr="00D0415B">
              <w:rPr>
                <w:rFonts w:ascii="Times New Roman" w:eastAsia="Times New Roman" w:hAnsi="Times New Roman" w:cs="Times New Roman"/>
                <w:color w:val="000000"/>
                <w:sz w:val="16"/>
                <w:szCs w:val="16"/>
                <w:vertAlign w:val="superscript"/>
              </w:rPr>
              <w:t>ab</w:t>
            </w:r>
          </w:p>
        </w:tc>
        <w:tc>
          <w:tcPr>
            <w:tcW w:w="1642" w:type="dxa"/>
            <w:tcBorders>
              <w:top w:val="nil"/>
              <w:left w:val="nil"/>
              <w:bottom w:val="nil"/>
              <w:right w:val="nil"/>
            </w:tcBorders>
            <w:shd w:val="clear" w:color="auto" w:fill="auto"/>
            <w:noWrap/>
            <w:vAlign w:val="center"/>
          </w:tcPr>
          <w:p w14:paraId="1DBDC4E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36.2</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1436B56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41.4</w:t>
            </w:r>
            <w:r w:rsidRPr="00D0415B">
              <w:rPr>
                <w:rFonts w:ascii="Times New Roman" w:eastAsia="Times New Roman" w:hAnsi="Times New Roman" w:cs="Times New Roman"/>
                <w:color w:val="000000"/>
                <w:sz w:val="16"/>
                <w:szCs w:val="16"/>
                <w:vertAlign w:val="superscript"/>
              </w:rPr>
              <w:t>b</w:t>
            </w:r>
          </w:p>
        </w:tc>
      </w:tr>
      <w:tr w:rsidR="00873563" w:rsidRPr="00D0415B" w14:paraId="77ACC7A8" w14:textId="77777777" w:rsidTr="000A0088">
        <w:trPr>
          <w:trHeight w:val="214"/>
        </w:trPr>
        <w:tc>
          <w:tcPr>
            <w:tcW w:w="951" w:type="dxa"/>
            <w:tcBorders>
              <w:top w:val="nil"/>
              <w:left w:val="nil"/>
              <w:bottom w:val="nil"/>
              <w:right w:val="nil"/>
            </w:tcBorders>
            <w:shd w:val="clear" w:color="auto" w:fill="auto"/>
            <w:noWrap/>
            <w:vAlign w:val="center"/>
          </w:tcPr>
          <w:p w14:paraId="66B699B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tcPr>
          <w:p w14:paraId="06330BB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6F5470D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870" w:type="dxa"/>
            <w:tcBorders>
              <w:top w:val="nil"/>
              <w:left w:val="nil"/>
              <w:bottom w:val="nil"/>
              <w:right w:val="nil"/>
            </w:tcBorders>
            <w:shd w:val="clear" w:color="auto" w:fill="auto"/>
            <w:noWrap/>
            <w:vAlign w:val="center"/>
          </w:tcPr>
          <w:p w14:paraId="15791B3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15.4</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nil"/>
              <w:right w:val="nil"/>
            </w:tcBorders>
            <w:shd w:val="clear" w:color="auto" w:fill="auto"/>
            <w:noWrap/>
            <w:vAlign w:val="center"/>
          </w:tcPr>
          <w:p w14:paraId="6216727C"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12.4</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1232E6E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31.8</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nil"/>
              <w:right w:val="nil"/>
            </w:tcBorders>
            <w:shd w:val="clear" w:color="auto" w:fill="auto"/>
            <w:noWrap/>
            <w:vAlign w:val="center"/>
          </w:tcPr>
          <w:p w14:paraId="45D0D5F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47.1</w:t>
            </w:r>
            <w:r w:rsidRPr="00D0415B">
              <w:rPr>
                <w:rFonts w:ascii="Times New Roman" w:eastAsia="Times New Roman" w:hAnsi="Times New Roman" w:cs="Times New Roman"/>
                <w:b/>
                <w:bCs/>
                <w:color w:val="000000"/>
                <w:sz w:val="16"/>
                <w:szCs w:val="16"/>
                <w:vertAlign w:val="superscript"/>
              </w:rPr>
              <w:t>a</w:t>
            </w:r>
          </w:p>
        </w:tc>
      </w:tr>
      <w:tr w:rsidR="00873563" w:rsidRPr="00D0415B" w14:paraId="4408CD86" w14:textId="77777777" w:rsidTr="000A0088">
        <w:trPr>
          <w:trHeight w:val="214"/>
        </w:trPr>
        <w:tc>
          <w:tcPr>
            <w:tcW w:w="951" w:type="dxa"/>
            <w:tcBorders>
              <w:top w:val="nil"/>
              <w:left w:val="nil"/>
              <w:bottom w:val="single" w:sz="4" w:space="0" w:color="FFFFFF" w:themeColor="background1"/>
              <w:right w:val="nil"/>
            </w:tcBorders>
            <w:shd w:val="clear" w:color="auto" w:fill="auto"/>
            <w:noWrap/>
            <w:vAlign w:val="center"/>
          </w:tcPr>
          <w:p w14:paraId="3A7465F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single" w:sz="4" w:space="0" w:color="000000"/>
              <w:right w:val="nil"/>
            </w:tcBorders>
          </w:tcPr>
          <w:p w14:paraId="1E78071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single" w:sz="4" w:space="0" w:color="000000"/>
              <w:right w:val="nil"/>
            </w:tcBorders>
            <w:shd w:val="clear" w:color="auto" w:fill="auto"/>
            <w:noWrap/>
            <w:vAlign w:val="center"/>
          </w:tcPr>
          <w:p w14:paraId="7DB5328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870" w:type="dxa"/>
            <w:tcBorders>
              <w:top w:val="nil"/>
              <w:left w:val="nil"/>
              <w:bottom w:val="single" w:sz="4" w:space="0" w:color="000000"/>
              <w:right w:val="nil"/>
            </w:tcBorders>
            <w:shd w:val="clear" w:color="auto" w:fill="auto"/>
            <w:noWrap/>
            <w:vAlign w:val="center"/>
          </w:tcPr>
          <w:p w14:paraId="2B606D3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15.6</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single" w:sz="4" w:space="0" w:color="000000"/>
              <w:right w:val="nil"/>
            </w:tcBorders>
            <w:shd w:val="clear" w:color="auto" w:fill="auto"/>
            <w:noWrap/>
            <w:vAlign w:val="center"/>
          </w:tcPr>
          <w:p w14:paraId="2D49A5E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12.6</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single" w:sz="4" w:space="0" w:color="000000"/>
              <w:right w:val="nil"/>
            </w:tcBorders>
            <w:shd w:val="clear" w:color="auto" w:fill="auto"/>
            <w:noWrap/>
            <w:vAlign w:val="center"/>
          </w:tcPr>
          <w:p w14:paraId="7D6F469E"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32.0</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single" w:sz="4" w:space="0" w:color="000000"/>
              <w:right w:val="nil"/>
            </w:tcBorders>
            <w:shd w:val="clear" w:color="auto" w:fill="auto"/>
            <w:noWrap/>
            <w:vAlign w:val="center"/>
          </w:tcPr>
          <w:p w14:paraId="30F50D3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46.9</w:t>
            </w:r>
            <w:r w:rsidRPr="00D0415B">
              <w:rPr>
                <w:rFonts w:ascii="Times New Roman" w:eastAsia="Times New Roman" w:hAnsi="Times New Roman" w:cs="Times New Roman"/>
                <w:b/>
                <w:bCs/>
                <w:color w:val="000000"/>
                <w:sz w:val="16"/>
                <w:szCs w:val="16"/>
                <w:vertAlign w:val="superscript"/>
              </w:rPr>
              <w:t>a</w:t>
            </w:r>
          </w:p>
        </w:tc>
      </w:tr>
      <w:tr w:rsidR="00873563" w:rsidRPr="00D0415B" w14:paraId="021E1999" w14:textId="77777777" w:rsidTr="000A0088">
        <w:trPr>
          <w:trHeight w:val="214"/>
        </w:trPr>
        <w:tc>
          <w:tcPr>
            <w:tcW w:w="951" w:type="dxa"/>
            <w:tcBorders>
              <w:top w:val="single" w:sz="4" w:space="0" w:color="FFFFFF" w:themeColor="background1"/>
              <w:left w:val="nil"/>
              <w:bottom w:val="nil"/>
              <w:right w:val="nil"/>
            </w:tcBorders>
            <w:shd w:val="clear" w:color="auto" w:fill="auto"/>
            <w:noWrap/>
            <w:vAlign w:val="center"/>
          </w:tcPr>
          <w:p w14:paraId="20C15FA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single" w:sz="4" w:space="0" w:color="000000"/>
              <w:left w:val="nil"/>
              <w:bottom w:val="nil"/>
              <w:right w:val="nil"/>
            </w:tcBorders>
            <w:vAlign w:val="center"/>
          </w:tcPr>
          <w:p w14:paraId="357F589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single" w:sz="4" w:space="0" w:color="000000"/>
              <w:left w:val="nil"/>
              <w:bottom w:val="nil"/>
              <w:right w:val="nil"/>
            </w:tcBorders>
            <w:shd w:val="clear" w:color="auto" w:fill="auto"/>
            <w:noWrap/>
            <w:vAlign w:val="center"/>
          </w:tcPr>
          <w:p w14:paraId="717596C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870" w:type="dxa"/>
            <w:tcBorders>
              <w:top w:val="single" w:sz="4" w:space="0" w:color="000000"/>
              <w:left w:val="nil"/>
              <w:bottom w:val="nil"/>
              <w:right w:val="nil"/>
            </w:tcBorders>
            <w:shd w:val="clear" w:color="auto" w:fill="auto"/>
            <w:noWrap/>
            <w:vAlign w:val="center"/>
          </w:tcPr>
          <w:p w14:paraId="472643E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12.2</w:t>
            </w:r>
            <w:r w:rsidRPr="00D0415B">
              <w:rPr>
                <w:rFonts w:ascii="Times New Roman" w:eastAsia="Times New Roman" w:hAnsi="Times New Roman" w:cs="Times New Roman"/>
                <w:color w:val="000000"/>
                <w:sz w:val="16"/>
                <w:szCs w:val="16"/>
                <w:vertAlign w:val="superscript"/>
              </w:rPr>
              <w:t>c</w:t>
            </w:r>
          </w:p>
        </w:tc>
        <w:tc>
          <w:tcPr>
            <w:tcW w:w="1567" w:type="dxa"/>
            <w:tcBorders>
              <w:top w:val="single" w:sz="4" w:space="0" w:color="000000"/>
              <w:left w:val="nil"/>
              <w:bottom w:val="nil"/>
              <w:right w:val="nil"/>
            </w:tcBorders>
            <w:shd w:val="clear" w:color="auto" w:fill="auto"/>
            <w:noWrap/>
            <w:vAlign w:val="center"/>
          </w:tcPr>
          <w:p w14:paraId="2207FF9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8.4</w:t>
            </w:r>
            <w:r w:rsidRPr="00D0415B">
              <w:rPr>
                <w:rFonts w:ascii="Times New Roman" w:eastAsia="Times New Roman" w:hAnsi="Times New Roman" w:cs="Times New Roman"/>
                <w:color w:val="000000"/>
                <w:sz w:val="16"/>
                <w:szCs w:val="16"/>
                <w:vertAlign w:val="superscript"/>
              </w:rPr>
              <w:t>b</w:t>
            </w:r>
          </w:p>
        </w:tc>
        <w:tc>
          <w:tcPr>
            <w:tcW w:w="1642" w:type="dxa"/>
            <w:tcBorders>
              <w:top w:val="single" w:sz="4" w:space="0" w:color="000000"/>
              <w:left w:val="nil"/>
              <w:bottom w:val="nil"/>
              <w:right w:val="nil"/>
            </w:tcBorders>
            <w:shd w:val="clear" w:color="auto" w:fill="auto"/>
            <w:noWrap/>
            <w:vAlign w:val="center"/>
          </w:tcPr>
          <w:p w14:paraId="27E5E5D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44.5</w:t>
            </w:r>
            <w:r w:rsidRPr="00D0415B">
              <w:rPr>
                <w:rFonts w:ascii="Times New Roman" w:eastAsia="Times New Roman" w:hAnsi="Times New Roman" w:cs="Times New Roman"/>
                <w:color w:val="000000"/>
                <w:sz w:val="16"/>
                <w:szCs w:val="16"/>
                <w:vertAlign w:val="superscript"/>
              </w:rPr>
              <w:t>c</w:t>
            </w:r>
          </w:p>
        </w:tc>
        <w:tc>
          <w:tcPr>
            <w:tcW w:w="1551" w:type="dxa"/>
            <w:tcBorders>
              <w:top w:val="single" w:sz="4" w:space="0" w:color="000000"/>
              <w:left w:val="nil"/>
              <w:bottom w:val="nil"/>
              <w:right w:val="nil"/>
            </w:tcBorders>
            <w:shd w:val="clear" w:color="auto" w:fill="auto"/>
            <w:noWrap/>
            <w:vAlign w:val="center"/>
          </w:tcPr>
          <w:p w14:paraId="39AECDE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33.3</w:t>
            </w:r>
            <w:r w:rsidRPr="00D0415B">
              <w:rPr>
                <w:rFonts w:ascii="Times New Roman" w:eastAsia="Times New Roman" w:hAnsi="Times New Roman" w:cs="Times New Roman"/>
                <w:color w:val="000000"/>
                <w:sz w:val="16"/>
                <w:szCs w:val="16"/>
                <w:vertAlign w:val="superscript"/>
              </w:rPr>
              <w:t>d</w:t>
            </w:r>
          </w:p>
        </w:tc>
      </w:tr>
      <w:tr w:rsidR="00873563" w:rsidRPr="00D0415B" w14:paraId="67DC5286" w14:textId="77777777" w:rsidTr="000A0088">
        <w:trPr>
          <w:trHeight w:val="214"/>
        </w:trPr>
        <w:tc>
          <w:tcPr>
            <w:tcW w:w="951" w:type="dxa"/>
            <w:tcBorders>
              <w:top w:val="nil"/>
              <w:left w:val="nil"/>
              <w:bottom w:val="nil"/>
              <w:right w:val="nil"/>
            </w:tcBorders>
            <w:shd w:val="clear" w:color="auto" w:fill="auto"/>
            <w:noWrap/>
            <w:vAlign w:val="center"/>
            <w:hideMark/>
          </w:tcPr>
          <w:p w14:paraId="57C8ADA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48BB3D9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523754E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870" w:type="dxa"/>
            <w:tcBorders>
              <w:top w:val="nil"/>
              <w:left w:val="nil"/>
              <w:bottom w:val="nil"/>
              <w:right w:val="nil"/>
            </w:tcBorders>
            <w:shd w:val="clear" w:color="auto" w:fill="auto"/>
            <w:noWrap/>
            <w:vAlign w:val="center"/>
            <w:hideMark/>
          </w:tcPr>
          <w:p w14:paraId="2FC0E37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10.1</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15E3BD0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6.6</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5CD86D9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52.0</w:t>
            </w:r>
            <w:r w:rsidRPr="00D0415B">
              <w:rPr>
                <w:rFonts w:ascii="Times New Roman" w:eastAsia="Times New Roman" w:hAnsi="Times New Roman" w:cs="Times New Roman"/>
                <w:color w:val="000000"/>
                <w:sz w:val="16"/>
                <w:szCs w:val="16"/>
                <w:vertAlign w:val="superscript"/>
              </w:rPr>
              <w:t>d</w:t>
            </w:r>
          </w:p>
        </w:tc>
        <w:tc>
          <w:tcPr>
            <w:tcW w:w="1551" w:type="dxa"/>
            <w:tcBorders>
              <w:top w:val="nil"/>
              <w:left w:val="nil"/>
              <w:bottom w:val="nil"/>
              <w:right w:val="nil"/>
            </w:tcBorders>
            <w:shd w:val="clear" w:color="auto" w:fill="auto"/>
            <w:noWrap/>
            <w:vAlign w:val="center"/>
            <w:hideMark/>
          </w:tcPr>
          <w:p w14:paraId="75F234B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26.9</w:t>
            </w:r>
            <w:r w:rsidRPr="00D0415B">
              <w:rPr>
                <w:rFonts w:ascii="Times New Roman" w:eastAsia="Times New Roman" w:hAnsi="Times New Roman" w:cs="Times New Roman"/>
                <w:color w:val="000000"/>
                <w:sz w:val="16"/>
                <w:szCs w:val="16"/>
                <w:vertAlign w:val="superscript"/>
              </w:rPr>
              <w:t>e</w:t>
            </w:r>
          </w:p>
        </w:tc>
      </w:tr>
      <w:tr w:rsidR="00873563" w:rsidRPr="00D0415B" w14:paraId="24966F37" w14:textId="77777777" w:rsidTr="000A0088">
        <w:trPr>
          <w:trHeight w:val="51"/>
        </w:trPr>
        <w:tc>
          <w:tcPr>
            <w:tcW w:w="951" w:type="dxa"/>
            <w:tcBorders>
              <w:top w:val="nil"/>
              <w:left w:val="nil"/>
              <w:bottom w:val="nil"/>
              <w:right w:val="nil"/>
            </w:tcBorders>
            <w:shd w:val="clear" w:color="auto" w:fill="auto"/>
            <w:noWrap/>
            <w:vAlign w:val="center"/>
            <w:hideMark/>
          </w:tcPr>
          <w:p w14:paraId="0A56D1FF"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3FC2EC0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33E5412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870" w:type="dxa"/>
            <w:tcBorders>
              <w:top w:val="nil"/>
              <w:left w:val="nil"/>
              <w:bottom w:val="nil"/>
              <w:right w:val="nil"/>
            </w:tcBorders>
            <w:shd w:val="clear" w:color="auto" w:fill="auto"/>
            <w:noWrap/>
            <w:vAlign w:val="center"/>
            <w:hideMark/>
          </w:tcPr>
          <w:p w14:paraId="7D00432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10.0</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0E1C7FB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6.1</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765D506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56.7</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74E2319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25.5</w:t>
            </w:r>
            <w:r w:rsidRPr="00D0415B">
              <w:rPr>
                <w:rFonts w:ascii="Times New Roman" w:eastAsia="Times New Roman" w:hAnsi="Times New Roman" w:cs="Times New Roman"/>
                <w:color w:val="000000"/>
                <w:sz w:val="16"/>
                <w:szCs w:val="16"/>
                <w:vertAlign w:val="superscript"/>
              </w:rPr>
              <w:t>e</w:t>
            </w:r>
          </w:p>
        </w:tc>
      </w:tr>
      <w:tr w:rsidR="00873563" w:rsidRPr="00D0415B" w14:paraId="01910AEF" w14:textId="77777777" w:rsidTr="000A0088">
        <w:trPr>
          <w:trHeight w:val="236"/>
        </w:trPr>
        <w:tc>
          <w:tcPr>
            <w:tcW w:w="951" w:type="dxa"/>
            <w:tcBorders>
              <w:top w:val="nil"/>
              <w:left w:val="nil"/>
              <w:bottom w:val="nil"/>
              <w:right w:val="nil"/>
            </w:tcBorders>
            <w:shd w:val="clear" w:color="auto" w:fill="auto"/>
            <w:noWrap/>
            <w:vAlign w:val="center"/>
            <w:hideMark/>
          </w:tcPr>
          <w:p w14:paraId="3A354B5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2998824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5ACABBA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870" w:type="dxa"/>
            <w:tcBorders>
              <w:top w:val="nil"/>
              <w:left w:val="nil"/>
              <w:bottom w:val="nil"/>
              <w:right w:val="nil"/>
            </w:tcBorders>
            <w:shd w:val="clear" w:color="auto" w:fill="auto"/>
            <w:noWrap/>
            <w:vAlign w:val="center"/>
            <w:hideMark/>
          </w:tcPr>
          <w:p w14:paraId="2E8ECC8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8.2</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hideMark/>
          </w:tcPr>
          <w:p w14:paraId="3749AB2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5.9</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20384CB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61.6</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2AE3D5E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23.3</w:t>
            </w:r>
            <w:r w:rsidRPr="00D0415B">
              <w:rPr>
                <w:rFonts w:ascii="Times New Roman" w:eastAsia="Times New Roman" w:hAnsi="Times New Roman" w:cs="Times New Roman"/>
                <w:color w:val="000000"/>
                <w:sz w:val="16"/>
                <w:szCs w:val="16"/>
                <w:vertAlign w:val="superscript"/>
              </w:rPr>
              <w:t>e</w:t>
            </w:r>
          </w:p>
        </w:tc>
      </w:tr>
      <w:tr w:rsidR="00873563" w:rsidRPr="00D0415B" w14:paraId="598650FD" w14:textId="77777777" w:rsidTr="000A0088">
        <w:trPr>
          <w:trHeight w:val="214"/>
        </w:trPr>
        <w:tc>
          <w:tcPr>
            <w:tcW w:w="951" w:type="dxa"/>
            <w:tcBorders>
              <w:top w:val="nil"/>
              <w:left w:val="nil"/>
              <w:bottom w:val="nil"/>
              <w:right w:val="nil"/>
            </w:tcBorders>
            <w:shd w:val="clear" w:color="auto" w:fill="auto"/>
            <w:noWrap/>
            <w:vAlign w:val="center"/>
            <w:hideMark/>
          </w:tcPr>
          <w:p w14:paraId="345D1F6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738AB58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2B6375E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870" w:type="dxa"/>
            <w:tcBorders>
              <w:top w:val="nil"/>
              <w:left w:val="nil"/>
              <w:bottom w:val="nil"/>
              <w:right w:val="nil"/>
            </w:tcBorders>
            <w:shd w:val="clear" w:color="auto" w:fill="auto"/>
            <w:noWrap/>
            <w:vAlign w:val="center"/>
            <w:hideMark/>
          </w:tcPr>
          <w:p w14:paraId="21AE8CB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7.7</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hideMark/>
          </w:tcPr>
          <w:p w14:paraId="4058F6A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4.9</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2FFAA0D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72.3</w:t>
            </w:r>
            <w:r w:rsidRPr="00D0415B">
              <w:rPr>
                <w:rFonts w:ascii="Times New Roman" w:eastAsia="Times New Roman" w:hAnsi="Times New Roman" w:cs="Times New Roman"/>
                <w:color w:val="000000"/>
                <w:sz w:val="16"/>
                <w:szCs w:val="16"/>
                <w:vertAlign w:val="superscript"/>
              </w:rPr>
              <w:t>f</w:t>
            </w:r>
          </w:p>
        </w:tc>
        <w:tc>
          <w:tcPr>
            <w:tcW w:w="1551" w:type="dxa"/>
            <w:tcBorders>
              <w:top w:val="nil"/>
              <w:left w:val="nil"/>
              <w:bottom w:val="nil"/>
              <w:right w:val="nil"/>
            </w:tcBorders>
            <w:shd w:val="clear" w:color="auto" w:fill="auto"/>
            <w:noWrap/>
            <w:vAlign w:val="center"/>
            <w:hideMark/>
          </w:tcPr>
          <w:p w14:paraId="3CF9E30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18.9</w:t>
            </w:r>
            <w:r w:rsidRPr="00D0415B">
              <w:rPr>
                <w:rFonts w:ascii="Times New Roman" w:eastAsia="Times New Roman" w:hAnsi="Times New Roman" w:cs="Times New Roman"/>
                <w:color w:val="000000"/>
                <w:sz w:val="16"/>
                <w:szCs w:val="16"/>
                <w:vertAlign w:val="superscript"/>
              </w:rPr>
              <w:t>f</w:t>
            </w:r>
          </w:p>
        </w:tc>
      </w:tr>
      <w:tr w:rsidR="00873563" w:rsidRPr="00D0415B" w14:paraId="6434AF1B" w14:textId="77777777" w:rsidTr="000A0088">
        <w:trPr>
          <w:trHeight w:val="214"/>
        </w:trPr>
        <w:tc>
          <w:tcPr>
            <w:tcW w:w="951" w:type="dxa"/>
            <w:tcBorders>
              <w:top w:val="nil"/>
              <w:left w:val="nil"/>
              <w:bottom w:val="nil"/>
              <w:right w:val="nil"/>
            </w:tcBorders>
            <w:shd w:val="clear" w:color="auto" w:fill="auto"/>
            <w:noWrap/>
            <w:vAlign w:val="center"/>
            <w:hideMark/>
          </w:tcPr>
          <w:p w14:paraId="10DDD98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29EE947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40C2683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870" w:type="dxa"/>
            <w:tcBorders>
              <w:top w:val="nil"/>
              <w:left w:val="nil"/>
              <w:bottom w:val="nil"/>
              <w:right w:val="nil"/>
            </w:tcBorders>
            <w:shd w:val="clear" w:color="auto" w:fill="auto"/>
            <w:noWrap/>
            <w:vAlign w:val="center"/>
            <w:hideMark/>
          </w:tcPr>
          <w:p w14:paraId="7D247DF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14.4</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7C0135D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557C1D8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39.8</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hideMark/>
          </w:tcPr>
          <w:p w14:paraId="158681F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37.7</w:t>
            </w:r>
            <w:r w:rsidRPr="00D0415B">
              <w:rPr>
                <w:rFonts w:ascii="Times New Roman" w:eastAsia="Times New Roman" w:hAnsi="Times New Roman" w:cs="Times New Roman"/>
                <w:color w:val="000000"/>
                <w:sz w:val="16"/>
                <w:szCs w:val="16"/>
                <w:vertAlign w:val="superscript"/>
              </w:rPr>
              <w:t>cd</w:t>
            </w:r>
          </w:p>
        </w:tc>
      </w:tr>
      <w:tr w:rsidR="00873563" w:rsidRPr="00D0415B" w14:paraId="5A253CF0" w14:textId="77777777" w:rsidTr="000A0088">
        <w:trPr>
          <w:trHeight w:val="214"/>
        </w:trPr>
        <w:tc>
          <w:tcPr>
            <w:tcW w:w="951" w:type="dxa"/>
            <w:tcBorders>
              <w:top w:val="nil"/>
              <w:left w:val="nil"/>
              <w:bottom w:val="nil"/>
              <w:right w:val="nil"/>
            </w:tcBorders>
            <w:shd w:val="clear" w:color="auto" w:fill="auto"/>
            <w:noWrap/>
            <w:vAlign w:val="center"/>
          </w:tcPr>
          <w:p w14:paraId="542E787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15D18A3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tcPr>
          <w:p w14:paraId="22B1016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870" w:type="dxa"/>
            <w:tcBorders>
              <w:top w:val="nil"/>
              <w:left w:val="nil"/>
              <w:bottom w:val="nil"/>
              <w:right w:val="nil"/>
            </w:tcBorders>
            <w:shd w:val="clear" w:color="auto" w:fill="auto"/>
            <w:noWrap/>
            <w:vAlign w:val="center"/>
          </w:tcPr>
          <w:p w14:paraId="7B90A66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15.4</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774DE97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030308F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36.9</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267B101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41.0</w:t>
            </w:r>
            <w:r w:rsidRPr="00D0415B">
              <w:rPr>
                <w:rFonts w:ascii="Times New Roman" w:eastAsia="Times New Roman" w:hAnsi="Times New Roman" w:cs="Times New Roman"/>
                <w:color w:val="000000"/>
                <w:sz w:val="16"/>
                <w:szCs w:val="16"/>
                <w:vertAlign w:val="superscript"/>
              </w:rPr>
              <w:t>c</w:t>
            </w:r>
          </w:p>
        </w:tc>
      </w:tr>
      <w:tr w:rsidR="00873563" w:rsidRPr="00D0415B" w14:paraId="64F134C8" w14:textId="77777777" w:rsidTr="000A0088">
        <w:trPr>
          <w:trHeight w:val="214"/>
        </w:trPr>
        <w:tc>
          <w:tcPr>
            <w:tcW w:w="951" w:type="dxa"/>
            <w:tcBorders>
              <w:top w:val="nil"/>
              <w:left w:val="nil"/>
              <w:bottom w:val="nil"/>
              <w:right w:val="nil"/>
            </w:tcBorders>
            <w:shd w:val="clear" w:color="auto" w:fill="auto"/>
            <w:noWrap/>
            <w:vAlign w:val="center"/>
            <w:hideMark/>
          </w:tcPr>
          <w:p w14:paraId="619FBA5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47BBD4A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0BD9BD9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870" w:type="dxa"/>
            <w:tcBorders>
              <w:top w:val="nil"/>
              <w:left w:val="nil"/>
              <w:bottom w:val="nil"/>
              <w:right w:val="nil"/>
            </w:tcBorders>
            <w:shd w:val="clear" w:color="auto" w:fill="auto"/>
            <w:noWrap/>
            <w:vAlign w:val="center"/>
            <w:hideMark/>
          </w:tcPr>
          <w:p w14:paraId="3B4C440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15.9</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77DA43B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11.1</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0B63A8E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33.8</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09538A6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45.5</w:t>
            </w:r>
            <w:r w:rsidRPr="00D0415B">
              <w:rPr>
                <w:rFonts w:ascii="Times New Roman" w:eastAsia="Times New Roman" w:hAnsi="Times New Roman" w:cs="Times New Roman"/>
                <w:color w:val="000000"/>
                <w:sz w:val="16"/>
                <w:szCs w:val="16"/>
                <w:vertAlign w:val="superscript"/>
              </w:rPr>
              <w:t>b</w:t>
            </w:r>
          </w:p>
        </w:tc>
      </w:tr>
      <w:tr w:rsidR="00873563" w:rsidRPr="00D0415B" w14:paraId="3B212948" w14:textId="77777777" w:rsidTr="000A0088">
        <w:trPr>
          <w:trHeight w:val="214"/>
        </w:trPr>
        <w:tc>
          <w:tcPr>
            <w:tcW w:w="951" w:type="dxa"/>
            <w:tcBorders>
              <w:top w:val="nil"/>
              <w:left w:val="nil"/>
              <w:bottom w:val="nil"/>
              <w:right w:val="nil"/>
            </w:tcBorders>
            <w:shd w:val="clear" w:color="auto" w:fill="auto"/>
            <w:noWrap/>
            <w:vAlign w:val="center"/>
            <w:hideMark/>
          </w:tcPr>
          <w:p w14:paraId="1482D2AC"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79D8C72E"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0C5E207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870" w:type="dxa"/>
            <w:tcBorders>
              <w:top w:val="nil"/>
              <w:left w:val="nil"/>
              <w:bottom w:val="nil"/>
              <w:right w:val="nil"/>
            </w:tcBorders>
            <w:shd w:val="clear" w:color="auto" w:fill="auto"/>
            <w:noWrap/>
            <w:vAlign w:val="center"/>
            <w:hideMark/>
          </w:tcPr>
          <w:p w14:paraId="1210D06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16.0</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2A1797FF" w14:textId="77777777" w:rsidR="00873563" w:rsidRPr="00D0415B" w:rsidRDefault="00873563" w:rsidP="000A0088">
            <w:pPr>
              <w:spacing w:after="0" w:line="36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662EDB4A"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33.4</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2E9F94EE"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46.0</w:t>
            </w:r>
            <w:r w:rsidRPr="00D0415B">
              <w:rPr>
                <w:rFonts w:ascii="Times New Roman" w:eastAsia="Times New Roman" w:hAnsi="Times New Roman" w:cs="Times New Roman"/>
                <w:color w:val="000000"/>
                <w:sz w:val="16"/>
                <w:szCs w:val="16"/>
                <w:vertAlign w:val="superscript"/>
              </w:rPr>
              <w:t>b</w:t>
            </w:r>
          </w:p>
        </w:tc>
      </w:tr>
      <w:tr w:rsidR="00873563" w:rsidRPr="00D0415B" w14:paraId="3C06B233" w14:textId="77777777" w:rsidTr="000A0088">
        <w:trPr>
          <w:trHeight w:val="125"/>
        </w:trPr>
        <w:tc>
          <w:tcPr>
            <w:tcW w:w="951" w:type="dxa"/>
            <w:tcBorders>
              <w:top w:val="nil"/>
              <w:left w:val="nil"/>
              <w:bottom w:val="nil"/>
              <w:right w:val="nil"/>
            </w:tcBorders>
            <w:shd w:val="clear" w:color="auto" w:fill="auto"/>
            <w:noWrap/>
            <w:vAlign w:val="center"/>
            <w:hideMark/>
          </w:tcPr>
          <w:p w14:paraId="0239793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71EAEB9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5C5D192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870" w:type="dxa"/>
            <w:tcBorders>
              <w:top w:val="nil"/>
              <w:left w:val="nil"/>
              <w:bottom w:val="nil"/>
              <w:right w:val="nil"/>
            </w:tcBorders>
            <w:shd w:val="clear" w:color="auto" w:fill="auto"/>
            <w:noWrap/>
            <w:vAlign w:val="center"/>
            <w:hideMark/>
          </w:tcPr>
          <w:p w14:paraId="7A9B1CD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16.1</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2BAF953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10.6</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09FB4E2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33.1</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08F1B70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45.9</w:t>
            </w:r>
            <w:r w:rsidRPr="00D0415B">
              <w:rPr>
                <w:rFonts w:ascii="Times New Roman" w:eastAsia="Times New Roman" w:hAnsi="Times New Roman" w:cs="Times New Roman"/>
                <w:color w:val="000000"/>
                <w:sz w:val="16"/>
                <w:szCs w:val="16"/>
                <w:vertAlign w:val="superscript"/>
              </w:rPr>
              <w:t>b</w:t>
            </w:r>
          </w:p>
        </w:tc>
      </w:tr>
      <w:tr w:rsidR="00873563" w:rsidRPr="00D0415B" w14:paraId="5FF1FC2A" w14:textId="77777777" w:rsidTr="000A0088">
        <w:trPr>
          <w:trHeight w:val="214"/>
        </w:trPr>
        <w:tc>
          <w:tcPr>
            <w:tcW w:w="951" w:type="dxa"/>
            <w:tcBorders>
              <w:top w:val="nil"/>
              <w:left w:val="nil"/>
              <w:bottom w:val="nil"/>
              <w:right w:val="nil"/>
            </w:tcBorders>
            <w:shd w:val="clear" w:color="auto" w:fill="auto"/>
            <w:noWrap/>
            <w:vAlign w:val="center"/>
            <w:hideMark/>
          </w:tcPr>
          <w:p w14:paraId="67EF2CA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5D90487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0338387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870" w:type="dxa"/>
            <w:tcBorders>
              <w:top w:val="nil"/>
              <w:left w:val="nil"/>
              <w:bottom w:val="nil"/>
              <w:right w:val="nil"/>
            </w:tcBorders>
            <w:shd w:val="clear" w:color="auto" w:fill="auto"/>
            <w:noWrap/>
            <w:vAlign w:val="center"/>
            <w:hideMark/>
          </w:tcPr>
          <w:p w14:paraId="1EDA50F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15.9</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3862097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10.5</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241258B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33.5</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6EE19A8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45.9</w:t>
            </w:r>
            <w:r w:rsidRPr="00D0415B">
              <w:rPr>
                <w:rFonts w:ascii="Times New Roman" w:eastAsia="Times New Roman" w:hAnsi="Times New Roman" w:cs="Times New Roman"/>
                <w:color w:val="000000"/>
                <w:sz w:val="16"/>
                <w:szCs w:val="16"/>
                <w:vertAlign w:val="superscript"/>
              </w:rPr>
              <w:t>b</w:t>
            </w:r>
          </w:p>
        </w:tc>
      </w:tr>
      <w:tr w:rsidR="00873563" w:rsidRPr="00D0415B" w14:paraId="21BD6B78" w14:textId="77777777" w:rsidTr="000A0088">
        <w:trPr>
          <w:trHeight w:val="214"/>
        </w:trPr>
        <w:tc>
          <w:tcPr>
            <w:tcW w:w="951" w:type="dxa"/>
            <w:tcBorders>
              <w:top w:val="nil"/>
              <w:left w:val="nil"/>
              <w:bottom w:val="nil"/>
              <w:right w:val="nil"/>
            </w:tcBorders>
            <w:shd w:val="clear" w:color="auto" w:fill="auto"/>
            <w:noWrap/>
            <w:vAlign w:val="center"/>
            <w:hideMark/>
          </w:tcPr>
          <w:p w14:paraId="6163D04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nil"/>
              <w:right w:val="nil"/>
            </w:tcBorders>
            <w:vAlign w:val="center"/>
          </w:tcPr>
          <w:p w14:paraId="4D39A7F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37ED210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870" w:type="dxa"/>
            <w:tcBorders>
              <w:top w:val="nil"/>
              <w:left w:val="nil"/>
              <w:bottom w:val="nil"/>
              <w:right w:val="nil"/>
            </w:tcBorders>
            <w:shd w:val="clear" w:color="auto" w:fill="auto"/>
            <w:noWrap/>
            <w:vAlign w:val="center"/>
            <w:hideMark/>
          </w:tcPr>
          <w:p w14:paraId="1F188D7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18.0</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nil"/>
              <w:right w:val="nil"/>
            </w:tcBorders>
            <w:shd w:val="clear" w:color="auto" w:fill="auto"/>
            <w:noWrap/>
            <w:vAlign w:val="center"/>
            <w:hideMark/>
          </w:tcPr>
          <w:p w14:paraId="0BF6EC9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1ADFFE3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30.0</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nil"/>
              <w:right w:val="nil"/>
            </w:tcBorders>
            <w:shd w:val="clear" w:color="auto" w:fill="auto"/>
            <w:noWrap/>
            <w:vAlign w:val="center"/>
            <w:hideMark/>
          </w:tcPr>
          <w:p w14:paraId="1E28E3F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52.4</w:t>
            </w:r>
            <w:r w:rsidRPr="00D0415B">
              <w:rPr>
                <w:rFonts w:ascii="Times New Roman" w:eastAsia="Times New Roman" w:hAnsi="Times New Roman" w:cs="Times New Roman"/>
                <w:b/>
                <w:bCs/>
                <w:color w:val="000000"/>
                <w:sz w:val="16"/>
                <w:szCs w:val="16"/>
                <w:vertAlign w:val="superscript"/>
              </w:rPr>
              <w:t>a</w:t>
            </w:r>
          </w:p>
        </w:tc>
      </w:tr>
      <w:tr w:rsidR="00873563" w:rsidRPr="00D0415B" w14:paraId="52BB1503" w14:textId="77777777" w:rsidTr="000A0088">
        <w:trPr>
          <w:trHeight w:val="214"/>
        </w:trPr>
        <w:tc>
          <w:tcPr>
            <w:tcW w:w="951" w:type="dxa"/>
            <w:tcBorders>
              <w:top w:val="nil"/>
              <w:left w:val="nil"/>
              <w:bottom w:val="single" w:sz="4" w:space="0" w:color="000000"/>
              <w:right w:val="nil"/>
            </w:tcBorders>
            <w:shd w:val="clear" w:color="auto" w:fill="auto"/>
            <w:noWrap/>
            <w:vAlign w:val="center"/>
          </w:tcPr>
          <w:p w14:paraId="7AD0A90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Burley</w:t>
            </w:r>
          </w:p>
        </w:tc>
        <w:tc>
          <w:tcPr>
            <w:tcW w:w="1359" w:type="dxa"/>
            <w:tcBorders>
              <w:top w:val="nil"/>
              <w:left w:val="nil"/>
              <w:bottom w:val="single" w:sz="4" w:space="0" w:color="000000"/>
              <w:right w:val="nil"/>
            </w:tcBorders>
            <w:vAlign w:val="center"/>
          </w:tcPr>
          <w:p w14:paraId="31F1EBA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single" w:sz="4" w:space="0" w:color="000000"/>
              <w:right w:val="nil"/>
            </w:tcBorders>
            <w:shd w:val="clear" w:color="auto" w:fill="auto"/>
            <w:noWrap/>
            <w:vAlign w:val="center"/>
          </w:tcPr>
          <w:p w14:paraId="28EA4BC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870" w:type="dxa"/>
            <w:tcBorders>
              <w:top w:val="nil"/>
              <w:left w:val="nil"/>
              <w:bottom w:val="single" w:sz="4" w:space="0" w:color="000000"/>
              <w:right w:val="nil"/>
            </w:tcBorders>
            <w:shd w:val="clear" w:color="auto" w:fill="auto"/>
            <w:noWrap/>
            <w:vAlign w:val="center"/>
          </w:tcPr>
          <w:p w14:paraId="3F6A9AB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18.1</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single" w:sz="4" w:space="0" w:color="000000"/>
              <w:right w:val="nil"/>
            </w:tcBorders>
            <w:shd w:val="clear" w:color="auto" w:fill="auto"/>
            <w:noWrap/>
            <w:vAlign w:val="center"/>
          </w:tcPr>
          <w:p w14:paraId="77BD3A0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10.9</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single" w:sz="4" w:space="0" w:color="000000"/>
              <w:right w:val="nil"/>
            </w:tcBorders>
            <w:shd w:val="clear" w:color="auto" w:fill="auto"/>
            <w:noWrap/>
            <w:vAlign w:val="center"/>
          </w:tcPr>
          <w:p w14:paraId="31676A6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29.4</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single" w:sz="4" w:space="0" w:color="000000"/>
              <w:right w:val="nil"/>
            </w:tcBorders>
            <w:shd w:val="clear" w:color="auto" w:fill="auto"/>
            <w:noWrap/>
            <w:vAlign w:val="center"/>
          </w:tcPr>
          <w:p w14:paraId="67696E5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53.1</w:t>
            </w:r>
            <w:r w:rsidRPr="00D0415B">
              <w:rPr>
                <w:rFonts w:ascii="Times New Roman" w:eastAsia="Times New Roman" w:hAnsi="Times New Roman" w:cs="Times New Roman"/>
                <w:b/>
                <w:bCs/>
                <w:color w:val="000000"/>
                <w:sz w:val="16"/>
                <w:szCs w:val="16"/>
                <w:vertAlign w:val="superscript"/>
              </w:rPr>
              <w:t>a</w:t>
            </w:r>
          </w:p>
        </w:tc>
      </w:tr>
    </w:tbl>
    <w:p w14:paraId="6E21F545" w14:textId="77777777" w:rsidR="00873563" w:rsidRPr="00D0415B" w:rsidRDefault="00873563" w:rsidP="00873563">
      <w:pPr>
        <w:autoSpaceDE w:val="0"/>
        <w:autoSpaceDN w:val="0"/>
        <w:adjustRightInd w:val="0"/>
        <w:spacing w:after="0" w:line="276" w:lineRule="auto"/>
        <w:rPr>
          <w:rFonts w:ascii="Times New Roman" w:hAnsi="Times New Roman" w:cs="Times New Roman"/>
          <w:b/>
          <w:bCs/>
        </w:rPr>
      </w:pPr>
      <w:r w:rsidRPr="00D0415B">
        <w:rPr>
          <w:rFonts w:ascii="Times New Roman" w:hAnsi="Times New Roman" w:cs="Times New Roman"/>
          <w:sz w:val="16"/>
          <w:szCs w:val="16"/>
        </w:rPr>
        <w:t>Significant differences at P &lt; 0.05 have been indicated with different letters.</w:t>
      </w:r>
    </w:p>
    <w:p w14:paraId="27CB4876" w14:textId="77777777" w:rsidR="00873563" w:rsidRPr="00D0415B" w:rsidRDefault="00873563" w:rsidP="00873563">
      <w:pPr>
        <w:spacing w:after="0"/>
        <w:jc w:val="center"/>
        <w:rPr>
          <w:rFonts w:asciiTheme="minorBidi" w:hAnsiTheme="minorBidi"/>
          <w:sz w:val="16"/>
          <w:szCs w:val="16"/>
        </w:rPr>
      </w:pPr>
    </w:p>
    <w:p w14:paraId="3CA79C07" w14:textId="77777777" w:rsidR="00873563" w:rsidRPr="00D0415B" w:rsidRDefault="00873563" w:rsidP="00873563">
      <w:pPr>
        <w:spacing w:after="0"/>
        <w:jc w:val="both"/>
        <w:rPr>
          <w:rFonts w:ascii="Times New Roman" w:hAnsi="Times New Roman" w:cs="Times New Roman"/>
          <w:b/>
          <w:bCs/>
          <w:color w:val="000000" w:themeColor="text1"/>
        </w:rPr>
      </w:pPr>
    </w:p>
    <w:p w14:paraId="05198520" w14:textId="77777777" w:rsidR="00873563" w:rsidRPr="00D0415B" w:rsidRDefault="00873563" w:rsidP="00873563">
      <w:pPr>
        <w:spacing w:after="0"/>
        <w:jc w:val="both"/>
        <w:rPr>
          <w:rFonts w:ascii="Times New Roman" w:hAnsi="Times New Roman" w:cs="Times New Roman"/>
          <w:b/>
          <w:bCs/>
          <w:color w:val="000000" w:themeColor="text1"/>
        </w:rPr>
      </w:pPr>
    </w:p>
    <w:p w14:paraId="3F14C22A" w14:textId="77777777" w:rsidR="00873563" w:rsidRPr="00D0415B" w:rsidRDefault="00873563" w:rsidP="00873563">
      <w:pPr>
        <w:spacing w:after="0"/>
        <w:jc w:val="both"/>
        <w:rPr>
          <w:rFonts w:ascii="Times New Roman" w:hAnsi="Times New Roman" w:cs="Times New Roman"/>
          <w:b/>
          <w:bCs/>
          <w:color w:val="000000" w:themeColor="text1"/>
        </w:rPr>
      </w:pPr>
    </w:p>
    <w:p w14:paraId="1A699F2D" w14:textId="77777777" w:rsidR="00873563" w:rsidRPr="00D0415B" w:rsidRDefault="00873563" w:rsidP="00873563">
      <w:pPr>
        <w:spacing w:after="0"/>
        <w:jc w:val="both"/>
        <w:rPr>
          <w:rFonts w:ascii="Times New Roman" w:hAnsi="Times New Roman" w:cs="Times New Roman"/>
          <w:b/>
          <w:bCs/>
          <w:color w:val="000000" w:themeColor="text1"/>
        </w:rPr>
      </w:pPr>
    </w:p>
    <w:p w14:paraId="610C339F" w14:textId="77777777" w:rsidR="00873563" w:rsidRPr="00D0415B" w:rsidRDefault="00873563" w:rsidP="00873563">
      <w:pPr>
        <w:spacing w:after="0"/>
        <w:jc w:val="both"/>
        <w:rPr>
          <w:rFonts w:ascii="Times New Roman" w:hAnsi="Times New Roman" w:cs="Times New Roman"/>
          <w:b/>
          <w:bCs/>
          <w:color w:val="000000" w:themeColor="text1"/>
        </w:rPr>
      </w:pPr>
    </w:p>
    <w:p w14:paraId="2C255665" w14:textId="77777777" w:rsidR="00873563" w:rsidRPr="00D0415B" w:rsidRDefault="00873563" w:rsidP="00873563">
      <w:pPr>
        <w:spacing w:before="240" w:after="0" w:line="276" w:lineRule="auto"/>
        <w:rPr>
          <w:rFonts w:asciiTheme="majorBidi" w:eastAsia="Times New Roman" w:hAnsiTheme="majorBidi" w:cstheme="majorBidi"/>
          <w:sz w:val="20"/>
          <w:szCs w:val="20"/>
          <w:lang w:bidi="fa-IR"/>
        </w:rPr>
      </w:pPr>
      <w:r w:rsidRPr="00D0415B">
        <w:rPr>
          <w:rFonts w:asciiTheme="majorBidi" w:eastAsia="Times New Roman" w:hAnsiTheme="majorBidi" w:cstheme="majorBidi"/>
          <w:b/>
          <w:bCs/>
          <w:sz w:val="20"/>
          <w:szCs w:val="20"/>
          <w:lang w:bidi="fa-IR"/>
        </w:rPr>
        <w:t>Table 2.</w:t>
      </w:r>
      <w:r w:rsidRPr="00D0415B">
        <w:rPr>
          <w:rFonts w:asciiTheme="majorBidi" w:eastAsia="Times New Roman" w:hAnsiTheme="majorBidi" w:cstheme="majorBidi"/>
          <w:sz w:val="20"/>
          <w:szCs w:val="20"/>
          <w:lang w:bidi="fa-IR"/>
        </w:rPr>
        <w:t xml:space="preserve"> Effect of foliar application of different concentrations of nitrogen and various amino acids includes Arginine, Ornithine and Aspartic acid and an equal concentration of combination of amino acids on total phenolic content (TPC), flavonoid (TFC) and antioxidant activity (DPPH and FRAP) of </w:t>
      </w:r>
      <w:proofErr w:type="spellStart"/>
      <w:r w:rsidRPr="00D0415B">
        <w:rPr>
          <w:rFonts w:asciiTheme="majorBidi" w:eastAsia="Times New Roman" w:hAnsiTheme="majorBidi" w:cstheme="majorBidi"/>
          <w:sz w:val="20"/>
          <w:szCs w:val="20"/>
          <w:lang w:bidi="fa-IR"/>
        </w:rPr>
        <w:t>Basma</w:t>
      </w:r>
      <w:proofErr w:type="spellEnd"/>
      <w:r w:rsidRPr="00D0415B">
        <w:rPr>
          <w:rFonts w:asciiTheme="majorBidi" w:eastAsia="Times New Roman" w:hAnsiTheme="majorBidi" w:cstheme="majorBidi"/>
          <w:sz w:val="20"/>
          <w:szCs w:val="20"/>
          <w:lang w:bidi="fa-IR"/>
        </w:rPr>
        <w:t xml:space="preserve"> variety of </w:t>
      </w:r>
      <w:r w:rsidRPr="00D0415B">
        <w:rPr>
          <w:rFonts w:asciiTheme="majorBidi" w:eastAsia="Times New Roman" w:hAnsiTheme="majorBidi" w:cstheme="majorBidi"/>
          <w:i/>
          <w:iCs/>
          <w:sz w:val="20"/>
          <w:szCs w:val="20"/>
          <w:lang w:bidi="fa-IR"/>
        </w:rPr>
        <w:t xml:space="preserve">N. </w:t>
      </w:r>
      <w:proofErr w:type="spellStart"/>
      <w:r w:rsidRPr="00D0415B">
        <w:rPr>
          <w:rFonts w:asciiTheme="majorBidi" w:eastAsia="Times New Roman" w:hAnsiTheme="majorBidi" w:cstheme="majorBidi"/>
          <w:i/>
          <w:iCs/>
          <w:sz w:val="20"/>
          <w:szCs w:val="20"/>
          <w:lang w:bidi="fa-IR"/>
        </w:rPr>
        <w:t>tabacum</w:t>
      </w:r>
      <w:proofErr w:type="spellEnd"/>
      <w:r w:rsidRPr="00D0415B">
        <w:rPr>
          <w:rFonts w:asciiTheme="majorBidi" w:eastAsia="Times New Roman" w:hAnsiTheme="majorBidi" w:cstheme="majorBidi"/>
          <w:sz w:val="20"/>
          <w:szCs w:val="20"/>
          <w:lang w:bidi="fa-IR"/>
        </w:rPr>
        <w:t>.</w:t>
      </w:r>
    </w:p>
    <w:tbl>
      <w:tblPr>
        <w:tblW w:w="10022" w:type="dxa"/>
        <w:tblInd w:w="-426" w:type="dxa"/>
        <w:tblLook w:val="04A0" w:firstRow="1" w:lastRow="0" w:firstColumn="1" w:lastColumn="0" w:noHBand="0" w:noVBand="1"/>
      </w:tblPr>
      <w:tblGrid>
        <w:gridCol w:w="901"/>
        <w:gridCol w:w="1287"/>
        <w:gridCol w:w="1688"/>
        <w:gridCol w:w="1637"/>
        <w:gridCol w:w="1484"/>
        <w:gridCol w:w="1556"/>
        <w:gridCol w:w="1469"/>
      </w:tblGrid>
      <w:tr w:rsidR="00873563" w:rsidRPr="00D0415B" w14:paraId="73294E02" w14:textId="77777777" w:rsidTr="000A0088">
        <w:trPr>
          <w:trHeight w:val="272"/>
        </w:trPr>
        <w:tc>
          <w:tcPr>
            <w:tcW w:w="901" w:type="dxa"/>
            <w:tcBorders>
              <w:top w:val="single" w:sz="4" w:space="0" w:color="auto"/>
              <w:left w:val="nil"/>
              <w:bottom w:val="single" w:sz="4" w:space="0" w:color="auto"/>
              <w:right w:val="nil"/>
            </w:tcBorders>
            <w:shd w:val="clear" w:color="auto" w:fill="auto"/>
            <w:noWrap/>
            <w:vAlign w:val="center"/>
            <w:hideMark/>
          </w:tcPr>
          <w:p w14:paraId="2F702F4B"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Variety</w:t>
            </w:r>
          </w:p>
        </w:tc>
        <w:tc>
          <w:tcPr>
            <w:tcW w:w="1287" w:type="dxa"/>
            <w:tcBorders>
              <w:top w:val="single" w:sz="4" w:space="0" w:color="auto"/>
              <w:left w:val="nil"/>
              <w:bottom w:val="single" w:sz="4" w:space="0" w:color="auto"/>
              <w:right w:val="nil"/>
            </w:tcBorders>
            <w:vAlign w:val="center"/>
          </w:tcPr>
          <w:p w14:paraId="7DD31879"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Year</w:t>
            </w:r>
          </w:p>
        </w:tc>
        <w:tc>
          <w:tcPr>
            <w:tcW w:w="1688" w:type="dxa"/>
            <w:tcBorders>
              <w:top w:val="single" w:sz="4" w:space="0" w:color="auto"/>
              <w:left w:val="nil"/>
              <w:bottom w:val="single" w:sz="4" w:space="0" w:color="auto"/>
              <w:right w:val="nil"/>
            </w:tcBorders>
            <w:shd w:val="clear" w:color="auto" w:fill="auto"/>
            <w:noWrap/>
            <w:vAlign w:val="center"/>
            <w:hideMark/>
          </w:tcPr>
          <w:p w14:paraId="265EDE0F"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Treatments</w:t>
            </w:r>
          </w:p>
        </w:tc>
        <w:tc>
          <w:tcPr>
            <w:tcW w:w="1637" w:type="dxa"/>
            <w:tcBorders>
              <w:top w:val="single" w:sz="4" w:space="0" w:color="auto"/>
              <w:left w:val="nil"/>
              <w:bottom w:val="single" w:sz="4" w:space="0" w:color="auto"/>
              <w:right w:val="nil"/>
            </w:tcBorders>
            <w:shd w:val="clear" w:color="auto" w:fill="auto"/>
            <w:noWrap/>
            <w:vAlign w:val="center"/>
            <w:hideMark/>
          </w:tcPr>
          <w:p w14:paraId="2079A1E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TPC</w:t>
            </w:r>
          </w:p>
          <w:p w14:paraId="75457E3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GAE/g DW)</w:t>
            </w:r>
          </w:p>
        </w:tc>
        <w:tc>
          <w:tcPr>
            <w:tcW w:w="1484" w:type="dxa"/>
            <w:tcBorders>
              <w:top w:val="single" w:sz="4" w:space="0" w:color="auto"/>
              <w:left w:val="nil"/>
              <w:bottom w:val="single" w:sz="4" w:space="0" w:color="auto"/>
              <w:right w:val="nil"/>
            </w:tcBorders>
            <w:shd w:val="clear" w:color="auto" w:fill="auto"/>
            <w:noWrap/>
            <w:vAlign w:val="center"/>
            <w:hideMark/>
          </w:tcPr>
          <w:p w14:paraId="06093AD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TFC</w:t>
            </w:r>
          </w:p>
          <w:p w14:paraId="2B22F8A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QE/g DW)</w:t>
            </w:r>
          </w:p>
        </w:tc>
        <w:tc>
          <w:tcPr>
            <w:tcW w:w="1556" w:type="dxa"/>
            <w:tcBorders>
              <w:top w:val="single" w:sz="4" w:space="0" w:color="auto"/>
              <w:left w:val="nil"/>
              <w:bottom w:val="single" w:sz="4" w:space="0" w:color="auto"/>
              <w:right w:val="nil"/>
            </w:tcBorders>
            <w:shd w:val="clear" w:color="auto" w:fill="auto"/>
            <w:noWrap/>
            <w:vAlign w:val="center"/>
            <w:hideMark/>
          </w:tcPr>
          <w:p w14:paraId="77A9575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DPPH</w:t>
            </w:r>
          </w:p>
          <w:p w14:paraId="36885B1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(IC</w:t>
            </w:r>
            <w:r w:rsidRPr="00D0415B">
              <w:rPr>
                <w:rFonts w:ascii="Times New Roman" w:eastAsia="Times New Roman" w:hAnsi="Times New Roman" w:cs="Times New Roman"/>
                <w:color w:val="000000"/>
                <w:sz w:val="16"/>
                <w:szCs w:val="16"/>
                <w:vertAlign w:val="subscript"/>
              </w:rPr>
              <w:t xml:space="preserve">50 </w:t>
            </w:r>
            <w:proofErr w:type="spellStart"/>
            <w:r w:rsidRPr="00D0415B">
              <w:rPr>
                <w:rFonts w:ascii="Times New Roman" w:eastAsia="Times New Roman" w:hAnsi="Times New Roman" w:cs="Times New Roman"/>
                <w:color w:val="000000"/>
                <w:sz w:val="16"/>
                <w:szCs w:val="16"/>
              </w:rPr>
              <w:t>μg</w:t>
            </w:r>
            <w:proofErr w:type="spellEnd"/>
            <w:r w:rsidRPr="00D0415B">
              <w:rPr>
                <w:rFonts w:ascii="Times New Roman" w:eastAsia="Times New Roman" w:hAnsi="Times New Roman" w:cs="Times New Roman"/>
                <w:color w:val="000000"/>
                <w:sz w:val="16"/>
                <w:szCs w:val="16"/>
              </w:rPr>
              <w:t>/ml)</w:t>
            </w:r>
          </w:p>
        </w:tc>
        <w:tc>
          <w:tcPr>
            <w:tcW w:w="1469" w:type="dxa"/>
            <w:tcBorders>
              <w:top w:val="single" w:sz="4" w:space="0" w:color="auto"/>
              <w:left w:val="nil"/>
              <w:bottom w:val="single" w:sz="4" w:space="0" w:color="auto"/>
              <w:right w:val="nil"/>
            </w:tcBorders>
            <w:shd w:val="clear" w:color="auto" w:fill="auto"/>
            <w:noWrap/>
            <w:vAlign w:val="center"/>
            <w:hideMark/>
          </w:tcPr>
          <w:p w14:paraId="281AEA3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FRAP</w:t>
            </w:r>
          </w:p>
          <w:p w14:paraId="2B97A1D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Fe</w:t>
            </w:r>
            <w:r w:rsidRPr="00D0415B">
              <w:rPr>
                <w:rFonts w:ascii="Times New Roman" w:eastAsia="Times New Roman" w:hAnsi="Times New Roman" w:cs="Times New Roman"/>
                <w:color w:val="000000"/>
                <w:sz w:val="16"/>
                <w:szCs w:val="16"/>
                <w:vertAlign w:val="superscript"/>
              </w:rPr>
              <w:t>2⁺</w:t>
            </w:r>
            <w:r w:rsidRPr="00D0415B">
              <w:rPr>
                <w:rFonts w:ascii="Times New Roman" w:eastAsia="Times New Roman" w:hAnsi="Times New Roman" w:cs="Times New Roman"/>
                <w:color w:val="000000"/>
                <w:sz w:val="16"/>
                <w:szCs w:val="16"/>
              </w:rPr>
              <w:t>/g DW)</w:t>
            </w:r>
          </w:p>
        </w:tc>
      </w:tr>
      <w:tr w:rsidR="00873563" w:rsidRPr="00D0415B" w14:paraId="40A3DB3C" w14:textId="77777777" w:rsidTr="000A0088">
        <w:trPr>
          <w:trHeight w:val="272"/>
        </w:trPr>
        <w:tc>
          <w:tcPr>
            <w:tcW w:w="901" w:type="dxa"/>
            <w:tcBorders>
              <w:top w:val="single" w:sz="4" w:space="0" w:color="auto"/>
              <w:left w:val="nil"/>
              <w:bottom w:val="nil"/>
              <w:right w:val="nil"/>
            </w:tcBorders>
            <w:shd w:val="clear" w:color="auto" w:fill="auto"/>
            <w:noWrap/>
            <w:vAlign w:val="center"/>
            <w:hideMark/>
          </w:tcPr>
          <w:p w14:paraId="12A2A1C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single" w:sz="4" w:space="0" w:color="auto"/>
              <w:left w:val="nil"/>
              <w:bottom w:val="nil"/>
              <w:right w:val="nil"/>
            </w:tcBorders>
          </w:tcPr>
          <w:p w14:paraId="0426381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single" w:sz="4" w:space="0" w:color="auto"/>
              <w:left w:val="nil"/>
              <w:bottom w:val="nil"/>
              <w:right w:val="nil"/>
            </w:tcBorders>
            <w:shd w:val="clear" w:color="auto" w:fill="auto"/>
            <w:noWrap/>
            <w:vAlign w:val="center"/>
            <w:hideMark/>
          </w:tcPr>
          <w:p w14:paraId="4941FB6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637" w:type="dxa"/>
            <w:tcBorders>
              <w:top w:val="single" w:sz="4" w:space="0" w:color="auto"/>
              <w:left w:val="nil"/>
              <w:bottom w:val="nil"/>
              <w:right w:val="nil"/>
            </w:tcBorders>
            <w:shd w:val="clear" w:color="auto" w:fill="auto"/>
            <w:noWrap/>
            <w:vAlign w:val="center"/>
            <w:hideMark/>
          </w:tcPr>
          <w:p w14:paraId="0355A73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9.0</w:t>
            </w:r>
            <w:r w:rsidRPr="00D0415B">
              <w:rPr>
                <w:rFonts w:ascii="Times New Roman" w:eastAsia="Times New Roman" w:hAnsi="Times New Roman" w:cs="Times New Roman"/>
                <w:color w:val="000000"/>
                <w:sz w:val="16"/>
                <w:szCs w:val="16"/>
                <w:vertAlign w:val="superscript"/>
              </w:rPr>
              <w:t>d</w:t>
            </w:r>
          </w:p>
        </w:tc>
        <w:tc>
          <w:tcPr>
            <w:tcW w:w="1484" w:type="dxa"/>
            <w:tcBorders>
              <w:top w:val="single" w:sz="4" w:space="0" w:color="auto"/>
              <w:left w:val="nil"/>
              <w:bottom w:val="nil"/>
              <w:right w:val="nil"/>
            </w:tcBorders>
            <w:shd w:val="clear" w:color="auto" w:fill="auto"/>
            <w:noWrap/>
            <w:vAlign w:val="center"/>
            <w:hideMark/>
          </w:tcPr>
          <w:p w14:paraId="07FC767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w:t>
            </w:r>
            <w:r w:rsidRPr="00D0415B">
              <w:rPr>
                <w:rFonts w:ascii="Times New Roman" w:eastAsia="Times New Roman" w:hAnsi="Times New Roman" w:cs="Times New Roman"/>
                <w:color w:val="000000"/>
                <w:sz w:val="16"/>
                <w:szCs w:val="16"/>
                <w:vertAlign w:val="superscript"/>
              </w:rPr>
              <w:t>c</w:t>
            </w:r>
          </w:p>
        </w:tc>
        <w:tc>
          <w:tcPr>
            <w:tcW w:w="1556" w:type="dxa"/>
            <w:tcBorders>
              <w:top w:val="single" w:sz="4" w:space="0" w:color="auto"/>
              <w:left w:val="nil"/>
              <w:bottom w:val="nil"/>
              <w:right w:val="nil"/>
            </w:tcBorders>
            <w:shd w:val="clear" w:color="auto" w:fill="auto"/>
            <w:noWrap/>
            <w:vAlign w:val="center"/>
            <w:hideMark/>
          </w:tcPr>
          <w:p w14:paraId="7B59A7B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61.5</w:t>
            </w:r>
            <w:r w:rsidRPr="00D0415B">
              <w:rPr>
                <w:rFonts w:ascii="Times New Roman" w:eastAsia="Times New Roman" w:hAnsi="Times New Roman" w:cs="Times New Roman"/>
                <w:color w:val="000000"/>
                <w:sz w:val="16"/>
                <w:szCs w:val="16"/>
                <w:vertAlign w:val="superscript"/>
              </w:rPr>
              <w:t>c</w:t>
            </w:r>
          </w:p>
        </w:tc>
        <w:tc>
          <w:tcPr>
            <w:tcW w:w="1469" w:type="dxa"/>
            <w:tcBorders>
              <w:top w:val="single" w:sz="4" w:space="0" w:color="auto"/>
              <w:left w:val="nil"/>
              <w:bottom w:val="nil"/>
              <w:right w:val="nil"/>
            </w:tcBorders>
            <w:shd w:val="clear" w:color="auto" w:fill="auto"/>
            <w:noWrap/>
            <w:vAlign w:val="center"/>
            <w:hideMark/>
          </w:tcPr>
          <w:p w14:paraId="39850F2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27.0</w:t>
            </w:r>
            <w:r w:rsidRPr="00D0415B">
              <w:rPr>
                <w:rFonts w:ascii="Times New Roman" w:eastAsia="Times New Roman" w:hAnsi="Times New Roman" w:cs="Times New Roman"/>
                <w:color w:val="000000"/>
                <w:sz w:val="16"/>
                <w:szCs w:val="16"/>
                <w:vertAlign w:val="superscript"/>
              </w:rPr>
              <w:t>f</w:t>
            </w:r>
          </w:p>
        </w:tc>
      </w:tr>
      <w:tr w:rsidR="00873563" w:rsidRPr="00D0415B" w14:paraId="4D69DEF2" w14:textId="77777777" w:rsidTr="000A0088">
        <w:trPr>
          <w:trHeight w:val="272"/>
        </w:trPr>
        <w:tc>
          <w:tcPr>
            <w:tcW w:w="901" w:type="dxa"/>
            <w:tcBorders>
              <w:top w:val="nil"/>
              <w:left w:val="nil"/>
              <w:bottom w:val="nil"/>
              <w:right w:val="nil"/>
            </w:tcBorders>
            <w:shd w:val="clear" w:color="auto" w:fill="auto"/>
            <w:noWrap/>
            <w:vAlign w:val="center"/>
            <w:hideMark/>
          </w:tcPr>
          <w:p w14:paraId="691E54E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4BAB0B8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hideMark/>
          </w:tcPr>
          <w:p w14:paraId="7BE671C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637" w:type="dxa"/>
            <w:tcBorders>
              <w:top w:val="nil"/>
              <w:left w:val="nil"/>
              <w:bottom w:val="nil"/>
              <w:right w:val="nil"/>
            </w:tcBorders>
            <w:shd w:val="clear" w:color="auto" w:fill="auto"/>
            <w:noWrap/>
            <w:vAlign w:val="center"/>
            <w:hideMark/>
          </w:tcPr>
          <w:p w14:paraId="52A754B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9.0</w:t>
            </w:r>
            <w:r w:rsidRPr="00D0415B">
              <w:rPr>
                <w:rFonts w:ascii="Times New Roman" w:eastAsia="Times New Roman" w:hAnsi="Times New Roman" w:cs="Times New Roman"/>
                <w:color w:val="000000"/>
                <w:sz w:val="16"/>
                <w:szCs w:val="16"/>
                <w:vertAlign w:val="superscript"/>
              </w:rPr>
              <w:t>d</w:t>
            </w:r>
          </w:p>
        </w:tc>
        <w:tc>
          <w:tcPr>
            <w:tcW w:w="1484" w:type="dxa"/>
            <w:tcBorders>
              <w:top w:val="nil"/>
              <w:left w:val="nil"/>
              <w:bottom w:val="nil"/>
              <w:right w:val="nil"/>
            </w:tcBorders>
            <w:shd w:val="clear" w:color="auto" w:fill="auto"/>
            <w:noWrap/>
            <w:vAlign w:val="center"/>
            <w:hideMark/>
          </w:tcPr>
          <w:p w14:paraId="786A4C6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7.3</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hideMark/>
          </w:tcPr>
          <w:p w14:paraId="21019CF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75.9</w:t>
            </w:r>
            <w:r w:rsidRPr="00D0415B">
              <w:rPr>
                <w:rFonts w:ascii="Times New Roman" w:eastAsia="Times New Roman" w:hAnsi="Times New Roman" w:cs="Times New Roman"/>
                <w:color w:val="000000"/>
                <w:sz w:val="16"/>
                <w:szCs w:val="16"/>
                <w:vertAlign w:val="superscript"/>
              </w:rPr>
              <w:t>d</w:t>
            </w:r>
          </w:p>
        </w:tc>
        <w:tc>
          <w:tcPr>
            <w:tcW w:w="1469" w:type="dxa"/>
            <w:tcBorders>
              <w:top w:val="nil"/>
              <w:left w:val="nil"/>
              <w:bottom w:val="nil"/>
              <w:right w:val="nil"/>
            </w:tcBorders>
            <w:shd w:val="clear" w:color="auto" w:fill="auto"/>
            <w:noWrap/>
            <w:vAlign w:val="center"/>
            <w:hideMark/>
          </w:tcPr>
          <w:p w14:paraId="55EF039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21.9</w:t>
            </w:r>
            <w:r w:rsidRPr="00D0415B">
              <w:rPr>
                <w:rFonts w:ascii="Times New Roman" w:eastAsia="Times New Roman" w:hAnsi="Times New Roman" w:cs="Times New Roman"/>
                <w:color w:val="000000"/>
                <w:sz w:val="16"/>
                <w:szCs w:val="16"/>
                <w:vertAlign w:val="superscript"/>
              </w:rPr>
              <w:t>g</w:t>
            </w:r>
          </w:p>
        </w:tc>
      </w:tr>
      <w:tr w:rsidR="00873563" w:rsidRPr="00D0415B" w14:paraId="03610EEF" w14:textId="77777777" w:rsidTr="000A0088">
        <w:trPr>
          <w:trHeight w:val="272"/>
        </w:trPr>
        <w:tc>
          <w:tcPr>
            <w:tcW w:w="901" w:type="dxa"/>
            <w:tcBorders>
              <w:top w:val="nil"/>
              <w:left w:val="nil"/>
              <w:bottom w:val="nil"/>
              <w:right w:val="nil"/>
            </w:tcBorders>
            <w:shd w:val="clear" w:color="auto" w:fill="auto"/>
            <w:noWrap/>
            <w:vAlign w:val="center"/>
            <w:hideMark/>
          </w:tcPr>
          <w:p w14:paraId="719AC60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59AAD0E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hideMark/>
          </w:tcPr>
          <w:p w14:paraId="091D252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637" w:type="dxa"/>
            <w:tcBorders>
              <w:top w:val="nil"/>
              <w:left w:val="nil"/>
              <w:bottom w:val="nil"/>
              <w:right w:val="nil"/>
            </w:tcBorders>
            <w:shd w:val="clear" w:color="auto" w:fill="auto"/>
            <w:noWrap/>
            <w:vAlign w:val="center"/>
            <w:hideMark/>
          </w:tcPr>
          <w:p w14:paraId="3E263C7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9.5</w:t>
            </w:r>
            <w:r w:rsidRPr="00D0415B">
              <w:rPr>
                <w:rFonts w:ascii="Times New Roman" w:eastAsia="Times New Roman" w:hAnsi="Times New Roman" w:cs="Times New Roman"/>
                <w:color w:val="000000"/>
                <w:sz w:val="16"/>
                <w:szCs w:val="16"/>
                <w:vertAlign w:val="superscript"/>
              </w:rPr>
              <w:t>d</w:t>
            </w:r>
          </w:p>
        </w:tc>
        <w:tc>
          <w:tcPr>
            <w:tcW w:w="1484" w:type="dxa"/>
            <w:tcBorders>
              <w:top w:val="nil"/>
              <w:left w:val="nil"/>
              <w:bottom w:val="nil"/>
              <w:right w:val="nil"/>
            </w:tcBorders>
            <w:shd w:val="clear" w:color="auto" w:fill="auto"/>
            <w:noWrap/>
            <w:vAlign w:val="center"/>
            <w:hideMark/>
          </w:tcPr>
          <w:p w14:paraId="5BEA035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hideMark/>
          </w:tcPr>
          <w:p w14:paraId="3B8EC1E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80.2</w:t>
            </w:r>
            <w:r w:rsidRPr="00D0415B">
              <w:rPr>
                <w:rFonts w:ascii="Times New Roman" w:eastAsia="Times New Roman" w:hAnsi="Times New Roman" w:cs="Times New Roman"/>
                <w:color w:val="000000"/>
                <w:sz w:val="16"/>
                <w:szCs w:val="16"/>
                <w:vertAlign w:val="superscript"/>
              </w:rPr>
              <w:t>d</w:t>
            </w:r>
          </w:p>
        </w:tc>
        <w:tc>
          <w:tcPr>
            <w:tcW w:w="1469" w:type="dxa"/>
            <w:tcBorders>
              <w:top w:val="nil"/>
              <w:left w:val="nil"/>
              <w:bottom w:val="nil"/>
              <w:right w:val="nil"/>
            </w:tcBorders>
            <w:shd w:val="clear" w:color="auto" w:fill="auto"/>
            <w:noWrap/>
            <w:vAlign w:val="center"/>
            <w:hideMark/>
          </w:tcPr>
          <w:p w14:paraId="6EB07AB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20.7</w:t>
            </w:r>
            <w:r w:rsidRPr="00D0415B">
              <w:rPr>
                <w:rFonts w:ascii="Times New Roman" w:eastAsia="Times New Roman" w:hAnsi="Times New Roman" w:cs="Times New Roman"/>
                <w:color w:val="000000"/>
                <w:sz w:val="16"/>
                <w:szCs w:val="16"/>
                <w:vertAlign w:val="superscript"/>
              </w:rPr>
              <w:t>g</w:t>
            </w:r>
          </w:p>
        </w:tc>
      </w:tr>
      <w:tr w:rsidR="00873563" w:rsidRPr="00D0415B" w14:paraId="7273E79A" w14:textId="77777777" w:rsidTr="000A0088">
        <w:trPr>
          <w:trHeight w:val="272"/>
        </w:trPr>
        <w:tc>
          <w:tcPr>
            <w:tcW w:w="901" w:type="dxa"/>
            <w:tcBorders>
              <w:top w:val="nil"/>
              <w:left w:val="nil"/>
              <w:bottom w:val="nil"/>
              <w:right w:val="nil"/>
            </w:tcBorders>
            <w:shd w:val="clear" w:color="auto" w:fill="auto"/>
            <w:noWrap/>
            <w:vAlign w:val="center"/>
          </w:tcPr>
          <w:p w14:paraId="3D86A6E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71BD37E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031709F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637" w:type="dxa"/>
            <w:tcBorders>
              <w:top w:val="nil"/>
              <w:left w:val="nil"/>
              <w:bottom w:val="nil"/>
              <w:right w:val="nil"/>
            </w:tcBorders>
            <w:shd w:val="clear" w:color="auto" w:fill="auto"/>
            <w:noWrap/>
            <w:vAlign w:val="center"/>
          </w:tcPr>
          <w:p w14:paraId="25E6093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9.5</w:t>
            </w:r>
            <w:r w:rsidRPr="00D0415B">
              <w:rPr>
                <w:rFonts w:ascii="Times New Roman" w:eastAsia="Times New Roman" w:hAnsi="Times New Roman" w:cs="Times New Roman"/>
                <w:color w:val="000000"/>
                <w:sz w:val="16"/>
                <w:szCs w:val="16"/>
                <w:vertAlign w:val="superscript"/>
              </w:rPr>
              <w:t>d</w:t>
            </w:r>
          </w:p>
        </w:tc>
        <w:tc>
          <w:tcPr>
            <w:tcW w:w="1484" w:type="dxa"/>
            <w:tcBorders>
              <w:top w:val="nil"/>
              <w:left w:val="nil"/>
              <w:bottom w:val="nil"/>
              <w:right w:val="nil"/>
            </w:tcBorders>
            <w:shd w:val="clear" w:color="auto" w:fill="auto"/>
            <w:noWrap/>
            <w:vAlign w:val="center"/>
          </w:tcPr>
          <w:p w14:paraId="04FD786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tcPr>
          <w:p w14:paraId="0B01C37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87.9</w:t>
            </w:r>
            <w:r w:rsidRPr="00D0415B">
              <w:rPr>
                <w:rFonts w:ascii="Times New Roman" w:eastAsia="Times New Roman" w:hAnsi="Times New Roman" w:cs="Times New Roman"/>
                <w:color w:val="000000"/>
                <w:sz w:val="16"/>
                <w:szCs w:val="16"/>
                <w:vertAlign w:val="superscript"/>
              </w:rPr>
              <w:t>e</w:t>
            </w:r>
          </w:p>
        </w:tc>
        <w:tc>
          <w:tcPr>
            <w:tcW w:w="1469" w:type="dxa"/>
            <w:tcBorders>
              <w:top w:val="nil"/>
              <w:left w:val="nil"/>
              <w:bottom w:val="nil"/>
              <w:right w:val="nil"/>
            </w:tcBorders>
            <w:shd w:val="clear" w:color="auto" w:fill="auto"/>
            <w:noWrap/>
            <w:vAlign w:val="center"/>
          </w:tcPr>
          <w:p w14:paraId="5DB48C3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18.9</w:t>
            </w:r>
            <w:r w:rsidRPr="00D0415B">
              <w:rPr>
                <w:rFonts w:ascii="Times New Roman" w:eastAsia="Times New Roman" w:hAnsi="Times New Roman" w:cs="Times New Roman"/>
                <w:color w:val="000000"/>
                <w:sz w:val="16"/>
                <w:szCs w:val="16"/>
                <w:vertAlign w:val="superscript"/>
              </w:rPr>
              <w:t>g</w:t>
            </w:r>
          </w:p>
        </w:tc>
      </w:tr>
      <w:tr w:rsidR="00873563" w:rsidRPr="00D0415B" w14:paraId="6A5E468E" w14:textId="77777777" w:rsidTr="000A0088">
        <w:trPr>
          <w:trHeight w:val="272"/>
        </w:trPr>
        <w:tc>
          <w:tcPr>
            <w:tcW w:w="901" w:type="dxa"/>
            <w:tcBorders>
              <w:top w:val="nil"/>
              <w:left w:val="nil"/>
              <w:bottom w:val="nil"/>
              <w:right w:val="nil"/>
            </w:tcBorders>
            <w:shd w:val="clear" w:color="auto" w:fill="auto"/>
            <w:noWrap/>
            <w:vAlign w:val="center"/>
          </w:tcPr>
          <w:p w14:paraId="6389060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1AB99AA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5D6EDD8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637" w:type="dxa"/>
            <w:tcBorders>
              <w:top w:val="nil"/>
              <w:left w:val="nil"/>
              <w:bottom w:val="nil"/>
              <w:right w:val="nil"/>
            </w:tcBorders>
            <w:shd w:val="clear" w:color="auto" w:fill="auto"/>
            <w:noWrap/>
            <w:vAlign w:val="center"/>
          </w:tcPr>
          <w:p w14:paraId="013523E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10.5</w:t>
            </w:r>
            <w:r w:rsidRPr="00D0415B">
              <w:rPr>
                <w:rFonts w:ascii="Times New Roman" w:eastAsia="Times New Roman" w:hAnsi="Times New Roman" w:cs="Times New Roman"/>
                <w:color w:val="000000"/>
                <w:sz w:val="16"/>
                <w:szCs w:val="16"/>
                <w:vertAlign w:val="superscript"/>
              </w:rPr>
              <w:t>cd</w:t>
            </w:r>
          </w:p>
        </w:tc>
        <w:tc>
          <w:tcPr>
            <w:tcW w:w="1484" w:type="dxa"/>
            <w:tcBorders>
              <w:top w:val="nil"/>
              <w:left w:val="nil"/>
              <w:bottom w:val="nil"/>
              <w:right w:val="nil"/>
            </w:tcBorders>
            <w:shd w:val="clear" w:color="auto" w:fill="auto"/>
            <w:noWrap/>
            <w:vAlign w:val="center"/>
          </w:tcPr>
          <w:p w14:paraId="6EAE9CD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6.9</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tcPr>
          <w:p w14:paraId="3BC4F5F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104.2</w:t>
            </w:r>
            <w:r w:rsidRPr="00D0415B">
              <w:rPr>
                <w:rFonts w:ascii="Times New Roman" w:eastAsia="Times New Roman" w:hAnsi="Times New Roman" w:cs="Times New Roman"/>
                <w:color w:val="000000"/>
                <w:sz w:val="16"/>
                <w:szCs w:val="16"/>
                <w:vertAlign w:val="superscript"/>
              </w:rPr>
              <w:t>f</w:t>
            </w:r>
          </w:p>
        </w:tc>
        <w:tc>
          <w:tcPr>
            <w:tcW w:w="1469" w:type="dxa"/>
            <w:tcBorders>
              <w:top w:val="nil"/>
              <w:left w:val="nil"/>
              <w:bottom w:val="nil"/>
              <w:right w:val="nil"/>
            </w:tcBorders>
            <w:shd w:val="clear" w:color="auto" w:fill="auto"/>
            <w:noWrap/>
            <w:vAlign w:val="center"/>
          </w:tcPr>
          <w:p w14:paraId="0E1C2FB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15.9</w:t>
            </w:r>
            <w:r w:rsidRPr="00D0415B">
              <w:rPr>
                <w:rFonts w:ascii="Times New Roman" w:eastAsia="Times New Roman" w:hAnsi="Times New Roman" w:cs="Times New Roman"/>
                <w:color w:val="000000"/>
                <w:sz w:val="16"/>
                <w:szCs w:val="16"/>
                <w:vertAlign w:val="superscript"/>
              </w:rPr>
              <w:t>h</w:t>
            </w:r>
          </w:p>
        </w:tc>
      </w:tr>
      <w:tr w:rsidR="00873563" w:rsidRPr="00D0415B" w14:paraId="4831745B" w14:textId="77777777" w:rsidTr="000A0088">
        <w:trPr>
          <w:trHeight w:val="272"/>
        </w:trPr>
        <w:tc>
          <w:tcPr>
            <w:tcW w:w="901" w:type="dxa"/>
            <w:tcBorders>
              <w:top w:val="nil"/>
              <w:left w:val="nil"/>
              <w:bottom w:val="nil"/>
              <w:right w:val="nil"/>
            </w:tcBorders>
            <w:shd w:val="clear" w:color="auto" w:fill="auto"/>
            <w:noWrap/>
            <w:vAlign w:val="center"/>
          </w:tcPr>
          <w:p w14:paraId="3DC5AAB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63326B3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204732A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637" w:type="dxa"/>
            <w:tcBorders>
              <w:top w:val="nil"/>
              <w:left w:val="nil"/>
              <w:bottom w:val="nil"/>
              <w:right w:val="nil"/>
            </w:tcBorders>
            <w:shd w:val="clear" w:color="auto" w:fill="auto"/>
            <w:noWrap/>
            <w:vAlign w:val="center"/>
          </w:tcPr>
          <w:p w14:paraId="666F3A8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11.5</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tcPr>
          <w:p w14:paraId="54257C0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8.4</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tcPr>
          <w:p w14:paraId="3D12EAD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54.3</w:t>
            </w:r>
            <w:r w:rsidRPr="00D0415B">
              <w:rPr>
                <w:rFonts w:ascii="Times New Roman" w:eastAsia="Times New Roman" w:hAnsi="Times New Roman" w:cs="Times New Roman"/>
                <w:color w:val="000000"/>
                <w:sz w:val="16"/>
                <w:szCs w:val="16"/>
                <w:vertAlign w:val="superscript"/>
              </w:rPr>
              <w:t>b</w:t>
            </w:r>
          </w:p>
        </w:tc>
        <w:tc>
          <w:tcPr>
            <w:tcW w:w="1469" w:type="dxa"/>
            <w:tcBorders>
              <w:top w:val="nil"/>
              <w:left w:val="nil"/>
              <w:bottom w:val="nil"/>
              <w:right w:val="nil"/>
            </w:tcBorders>
            <w:shd w:val="clear" w:color="auto" w:fill="auto"/>
            <w:noWrap/>
            <w:vAlign w:val="center"/>
          </w:tcPr>
          <w:p w14:paraId="19C8D21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30.6</w:t>
            </w:r>
            <w:r w:rsidRPr="00D0415B">
              <w:rPr>
                <w:rFonts w:ascii="Times New Roman" w:eastAsia="Times New Roman" w:hAnsi="Times New Roman" w:cs="Times New Roman"/>
                <w:color w:val="000000"/>
                <w:sz w:val="16"/>
                <w:szCs w:val="16"/>
                <w:vertAlign w:val="superscript"/>
              </w:rPr>
              <w:t>e</w:t>
            </w:r>
          </w:p>
        </w:tc>
      </w:tr>
      <w:tr w:rsidR="00873563" w:rsidRPr="00D0415B" w14:paraId="32ED5A53" w14:textId="77777777" w:rsidTr="000A0088">
        <w:trPr>
          <w:trHeight w:val="272"/>
        </w:trPr>
        <w:tc>
          <w:tcPr>
            <w:tcW w:w="901" w:type="dxa"/>
            <w:tcBorders>
              <w:top w:val="nil"/>
              <w:left w:val="nil"/>
              <w:bottom w:val="nil"/>
              <w:right w:val="nil"/>
            </w:tcBorders>
            <w:shd w:val="clear" w:color="auto" w:fill="auto"/>
            <w:noWrap/>
            <w:vAlign w:val="center"/>
          </w:tcPr>
          <w:p w14:paraId="2C49AE6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lastRenderedPageBreak/>
              <w:t>Basma</w:t>
            </w:r>
            <w:proofErr w:type="spellEnd"/>
          </w:p>
        </w:tc>
        <w:tc>
          <w:tcPr>
            <w:tcW w:w="1287" w:type="dxa"/>
            <w:tcBorders>
              <w:top w:val="nil"/>
              <w:left w:val="nil"/>
              <w:bottom w:val="nil"/>
              <w:right w:val="nil"/>
            </w:tcBorders>
          </w:tcPr>
          <w:p w14:paraId="21B3D1F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0A8A23C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637" w:type="dxa"/>
            <w:tcBorders>
              <w:top w:val="nil"/>
              <w:left w:val="nil"/>
              <w:bottom w:val="nil"/>
              <w:right w:val="nil"/>
            </w:tcBorders>
            <w:shd w:val="clear" w:color="auto" w:fill="auto"/>
            <w:noWrap/>
            <w:vAlign w:val="center"/>
          </w:tcPr>
          <w:p w14:paraId="708B749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11.4</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tcPr>
          <w:p w14:paraId="3104A2E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8.5</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tcPr>
          <w:p w14:paraId="19E9DD2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52.0</w:t>
            </w:r>
            <w:r w:rsidRPr="00D0415B">
              <w:rPr>
                <w:rFonts w:ascii="Times New Roman" w:eastAsia="Times New Roman" w:hAnsi="Times New Roman" w:cs="Times New Roman"/>
                <w:color w:val="000000"/>
                <w:sz w:val="16"/>
                <w:szCs w:val="16"/>
                <w:vertAlign w:val="superscript"/>
              </w:rPr>
              <w:t>b</w:t>
            </w:r>
          </w:p>
        </w:tc>
        <w:tc>
          <w:tcPr>
            <w:tcW w:w="1469" w:type="dxa"/>
            <w:tcBorders>
              <w:top w:val="nil"/>
              <w:left w:val="nil"/>
              <w:bottom w:val="nil"/>
              <w:right w:val="nil"/>
            </w:tcBorders>
            <w:shd w:val="clear" w:color="auto" w:fill="auto"/>
            <w:noWrap/>
            <w:vAlign w:val="center"/>
          </w:tcPr>
          <w:p w14:paraId="3BD69A6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33.3</w:t>
            </w:r>
            <w:r w:rsidRPr="00D0415B">
              <w:rPr>
                <w:rFonts w:ascii="Times New Roman" w:eastAsia="Times New Roman" w:hAnsi="Times New Roman" w:cs="Times New Roman"/>
                <w:color w:val="000000"/>
                <w:sz w:val="16"/>
                <w:szCs w:val="16"/>
                <w:vertAlign w:val="superscript"/>
              </w:rPr>
              <w:t>d</w:t>
            </w:r>
          </w:p>
        </w:tc>
      </w:tr>
      <w:tr w:rsidR="00873563" w:rsidRPr="00D0415B" w14:paraId="5E710750" w14:textId="77777777" w:rsidTr="000A0088">
        <w:trPr>
          <w:trHeight w:val="272"/>
        </w:trPr>
        <w:tc>
          <w:tcPr>
            <w:tcW w:w="901" w:type="dxa"/>
            <w:tcBorders>
              <w:top w:val="nil"/>
              <w:left w:val="nil"/>
              <w:bottom w:val="nil"/>
              <w:right w:val="nil"/>
            </w:tcBorders>
            <w:shd w:val="clear" w:color="auto" w:fill="auto"/>
            <w:noWrap/>
            <w:vAlign w:val="center"/>
          </w:tcPr>
          <w:p w14:paraId="56AEE8E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0F2911E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35A1732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637" w:type="dxa"/>
            <w:tcBorders>
              <w:top w:val="nil"/>
              <w:left w:val="nil"/>
              <w:bottom w:val="nil"/>
              <w:right w:val="nil"/>
            </w:tcBorders>
            <w:shd w:val="clear" w:color="auto" w:fill="auto"/>
            <w:noWrap/>
            <w:vAlign w:val="center"/>
          </w:tcPr>
          <w:p w14:paraId="0DCCB3D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tcPr>
          <w:p w14:paraId="011CB3F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8.9</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tcPr>
          <w:p w14:paraId="4531220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42.6</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tcPr>
          <w:p w14:paraId="08F29CA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36.9</w:t>
            </w:r>
            <w:r w:rsidRPr="00D0415B">
              <w:rPr>
                <w:rFonts w:ascii="Times New Roman" w:eastAsia="Times New Roman" w:hAnsi="Times New Roman" w:cs="Times New Roman"/>
                <w:color w:val="000000"/>
                <w:sz w:val="16"/>
                <w:szCs w:val="16"/>
                <w:vertAlign w:val="superscript"/>
              </w:rPr>
              <w:t>b</w:t>
            </w:r>
          </w:p>
        </w:tc>
      </w:tr>
      <w:tr w:rsidR="00873563" w:rsidRPr="00D0415B" w14:paraId="3E869BD8" w14:textId="77777777" w:rsidTr="000A0088">
        <w:trPr>
          <w:trHeight w:val="272"/>
        </w:trPr>
        <w:tc>
          <w:tcPr>
            <w:tcW w:w="901" w:type="dxa"/>
            <w:tcBorders>
              <w:top w:val="nil"/>
              <w:left w:val="nil"/>
              <w:bottom w:val="nil"/>
              <w:right w:val="nil"/>
            </w:tcBorders>
            <w:shd w:val="clear" w:color="auto" w:fill="auto"/>
            <w:noWrap/>
            <w:vAlign w:val="center"/>
          </w:tcPr>
          <w:p w14:paraId="313274E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77BCCBB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20E1067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637" w:type="dxa"/>
            <w:tcBorders>
              <w:top w:val="nil"/>
              <w:left w:val="nil"/>
              <w:bottom w:val="nil"/>
              <w:right w:val="nil"/>
            </w:tcBorders>
            <w:shd w:val="clear" w:color="auto" w:fill="auto"/>
            <w:noWrap/>
            <w:vAlign w:val="center"/>
          </w:tcPr>
          <w:p w14:paraId="73C230B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tcPr>
          <w:p w14:paraId="7BD2BCE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8.2</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tcPr>
          <w:p w14:paraId="5EA5082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44.5</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tcPr>
          <w:p w14:paraId="7C35FF0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37.3</w:t>
            </w:r>
            <w:r w:rsidRPr="00D0415B">
              <w:rPr>
                <w:rFonts w:ascii="Times New Roman" w:eastAsia="Times New Roman" w:hAnsi="Times New Roman" w:cs="Times New Roman"/>
                <w:color w:val="000000"/>
                <w:sz w:val="16"/>
                <w:szCs w:val="16"/>
                <w:vertAlign w:val="superscript"/>
              </w:rPr>
              <w:t>ab</w:t>
            </w:r>
          </w:p>
        </w:tc>
      </w:tr>
      <w:tr w:rsidR="00873563" w:rsidRPr="00D0415B" w14:paraId="3C5E4A6D" w14:textId="77777777" w:rsidTr="000A0088">
        <w:trPr>
          <w:trHeight w:val="272"/>
        </w:trPr>
        <w:tc>
          <w:tcPr>
            <w:tcW w:w="901" w:type="dxa"/>
            <w:tcBorders>
              <w:top w:val="nil"/>
              <w:left w:val="nil"/>
              <w:bottom w:val="nil"/>
              <w:right w:val="nil"/>
            </w:tcBorders>
            <w:shd w:val="clear" w:color="auto" w:fill="auto"/>
            <w:noWrap/>
            <w:vAlign w:val="center"/>
          </w:tcPr>
          <w:p w14:paraId="4D158CB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4EC3AA0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435FE50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637" w:type="dxa"/>
            <w:tcBorders>
              <w:top w:val="nil"/>
              <w:left w:val="nil"/>
              <w:bottom w:val="nil"/>
              <w:right w:val="nil"/>
            </w:tcBorders>
            <w:shd w:val="clear" w:color="auto" w:fill="auto"/>
            <w:noWrap/>
            <w:vAlign w:val="center"/>
          </w:tcPr>
          <w:p w14:paraId="50E226B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12.8</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tcPr>
          <w:p w14:paraId="0EF521C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10.1</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nil"/>
              <w:right w:val="nil"/>
            </w:tcBorders>
            <w:shd w:val="clear" w:color="auto" w:fill="auto"/>
            <w:noWrap/>
            <w:vAlign w:val="center"/>
          </w:tcPr>
          <w:p w14:paraId="6D1D0E6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43.9</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tcPr>
          <w:p w14:paraId="0EBE7A1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36.0</w:t>
            </w:r>
            <w:r w:rsidRPr="00D0415B">
              <w:rPr>
                <w:rFonts w:ascii="Times New Roman" w:eastAsia="Times New Roman" w:hAnsi="Times New Roman" w:cs="Times New Roman"/>
                <w:color w:val="000000"/>
                <w:sz w:val="16"/>
                <w:szCs w:val="16"/>
                <w:vertAlign w:val="superscript"/>
              </w:rPr>
              <w:t>b</w:t>
            </w:r>
          </w:p>
        </w:tc>
      </w:tr>
      <w:tr w:rsidR="00873563" w:rsidRPr="00D0415B" w14:paraId="5B50CEFE" w14:textId="77777777" w:rsidTr="000A0088">
        <w:trPr>
          <w:trHeight w:val="272"/>
        </w:trPr>
        <w:tc>
          <w:tcPr>
            <w:tcW w:w="901" w:type="dxa"/>
            <w:tcBorders>
              <w:top w:val="nil"/>
              <w:left w:val="nil"/>
              <w:bottom w:val="nil"/>
              <w:right w:val="nil"/>
            </w:tcBorders>
            <w:shd w:val="clear" w:color="auto" w:fill="auto"/>
            <w:noWrap/>
            <w:vAlign w:val="center"/>
          </w:tcPr>
          <w:p w14:paraId="085A066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00B53A6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438D1FE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637" w:type="dxa"/>
            <w:tcBorders>
              <w:top w:val="nil"/>
              <w:left w:val="nil"/>
              <w:bottom w:val="nil"/>
              <w:right w:val="nil"/>
            </w:tcBorders>
            <w:shd w:val="clear" w:color="auto" w:fill="auto"/>
            <w:noWrap/>
            <w:vAlign w:val="center"/>
          </w:tcPr>
          <w:p w14:paraId="180D04F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12.9</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tcPr>
          <w:p w14:paraId="4684FB5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nil"/>
              <w:right w:val="nil"/>
            </w:tcBorders>
            <w:shd w:val="clear" w:color="auto" w:fill="auto"/>
            <w:noWrap/>
            <w:vAlign w:val="center"/>
          </w:tcPr>
          <w:p w14:paraId="76ABBAA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44.6</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tcPr>
          <w:p w14:paraId="3524AEC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35.0</w:t>
            </w:r>
            <w:r w:rsidRPr="00D0415B">
              <w:rPr>
                <w:rFonts w:ascii="Times New Roman" w:eastAsia="Times New Roman" w:hAnsi="Times New Roman" w:cs="Times New Roman"/>
                <w:color w:val="000000"/>
                <w:sz w:val="16"/>
                <w:szCs w:val="16"/>
                <w:vertAlign w:val="superscript"/>
              </w:rPr>
              <w:t>c</w:t>
            </w:r>
          </w:p>
        </w:tc>
      </w:tr>
      <w:tr w:rsidR="00873563" w:rsidRPr="00D0415B" w14:paraId="3AA8822E" w14:textId="77777777" w:rsidTr="000A0088">
        <w:trPr>
          <w:trHeight w:val="272"/>
        </w:trPr>
        <w:tc>
          <w:tcPr>
            <w:tcW w:w="901" w:type="dxa"/>
            <w:tcBorders>
              <w:top w:val="nil"/>
              <w:left w:val="nil"/>
              <w:bottom w:val="nil"/>
              <w:right w:val="nil"/>
            </w:tcBorders>
            <w:shd w:val="clear" w:color="auto" w:fill="auto"/>
            <w:noWrap/>
            <w:vAlign w:val="center"/>
          </w:tcPr>
          <w:p w14:paraId="4621DEE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1C71550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nil"/>
              <w:right w:val="nil"/>
            </w:tcBorders>
            <w:shd w:val="clear" w:color="auto" w:fill="auto"/>
            <w:noWrap/>
            <w:vAlign w:val="center"/>
          </w:tcPr>
          <w:p w14:paraId="42D8CDB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637" w:type="dxa"/>
            <w:tcBorders>
              <w:top w:val="nil"/>
              <w:left w:val="nil"/>
              <w:bottom w:val="nil"/>
              <w:right w:val="nil"/>
            </w:tcBorders>
            <w:shd w:val="clear" w:color="auto" w:fill="auto"/>
            <w:noWrap/>
            <w:vAlign w:val="center"/>
          </w:tcPr>
          <w:p w14:paraId="1258678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13.9</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tcPr>
          <w:p w14:paraId="6487960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10.2</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nil"/>
              <w:right w:val="nil"/>
            </w:tcBorders>
            <w:shd w:val="clear" w:color="auto" w:fill="auto"/>
            <w:noWrap/>
            <w:vAlign w:val="center"/>
          </w:tcPr>
          <w:p w14:paraId="4093866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40.0</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tcPr>
          <w:p w14:paraId="7697DA8E"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40.1</w:t>
            </w:r>
            <w:r w:rsidRPr="00D0415B">
              <w:rPr>
                <w:rFonts w:ascii="Times New Roman" w:eastAsia="Times New Roman" w:hAnsi="Times New Roman" w:cs="Times New Roman"/>
                <w:b/>
                <w:bCs/>
                <w:color w:val="000000"/>
                <w:sz w:val="16"/>
                <w:szCs w:val="16"/>
                <w:vertAlign w:val="superscript"/>
              </w:rPr>
              <w:t>a</w:t>
            </w:r>
          </w:p>
        </w:tc>
      </w:tr>
      <w:tr w:rsidR="00873563" w:rsidRPr="00D0415B" w14:paraId="4A7C888E" w14:textId="77777777" w:rsidTr="000A0088">
        <w:trPr>
          <w:trHeight w:val="272"/>
        </w:trPr>
        <w:tc>
          <w:tcPr>
            <w:tcW w:w="901" w:type="dxa"/>
            <w:tcBorders>
              <w:top w:val="nil"/>
              <w:left w:val="nil"/>
              <w:bottom w:val="single" w:sz="4" w:space="0" w:color="FFFFFF" w:themeColor="background1"/>
              <w:right w:val="nil"/>
            </w:tcBorders>
            <w:shd w:val="clear" w:color="auto" w:fill="auto"/>
            <w:noWrap/>
            <w:vAlign w:val="center"/>
          </w:tcPr>
          <w:p w14:paraId="6D96FDA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single" w:sz="4" w:space="0" w:color="000000"/>
              <w:right w:val="nil"/>
            </w:tcBorders>
          </w:tcPr>
          <w:p w14:paraId="548D821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88" w:type="dxa"/>
            <w:tcBorders>
              <w:top w:val="nil"/>
              <w:left w:val="nil"/>
              <w:bottom w:val="single" w:sz="4" w:space="0" w:color="000000"/>
              <w:right w:val="nil"/>
            </w:tcBorders>
            <w:shd w:val="clear" w:color="auto" w:fill="auto"/>
            <w:noWrap/>
            <w:vAlign w:val="center"/>
          </w:tcPr>
          <w:p w14:paraId="53C4ED4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637" w:type="dxa"/>
            <w:tcBorders>
              <w:top w:val="nil"/>
              <w:left w:val="nil"/>
              <w:bottom w:val="single" w:sz="4" w:space="0" w:color="000000"/>
              <w:right w:val="nil"/>
            </w:tcBorders>
            <w:shd w:val="clear" w:color="auto" w:fill="auto"/>
            <w:noWrap/>
            <w:vAlign w:val="center"/>
          </w:tcPr>
          <w:p w14:paraId="44D04BE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15.0</w:t>
            </w:r>
            <w:r w:rsidRPr="00D0415B">
              <w:rPr>
                <w:rFonts w:ascii="Times New Roman" w:eastAsia="Times New Roman" w:hAnsi="Times New Roman" w:cs="Times New Roman"/>
                <w:b/>
                <w:bCs/>
                <w:color w:val="000000"/>
                <w:sz w:val="16"/>
                <w:szCs w:val="16"/>
                <w:vertAlign w:val="superscript"/>
              </w:rPr>
              <w:t>a</w:t>
            </w:r>
          </w:p>
        </w:tc>
        <w:tc>
          <w:tcPr>
            <w:tcW w:w="1484" w:type="dxa"/>
            <w:tcBorders>
              <w:top w:val="nil"/>
              <w:left w:val="nil"/>
              <w:bottom w:val="single" w:sz="4" w:space="0" w:color="000000"/>
              <w:right w:val="nil"/>
            </w:tcBorders>
            <w:shd w:val="clear" w:color="auto" w:fill="auto"/>
            <w:noWrap/>
            <w:vAlign w:val="center"/>
          </w:tcPr>
          <w:p w14:paraId="05FBFDB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10.1</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single" w:sz="4" w:space="0" w:color="000000"/>
              <w:right w:val="nil"/>
            </w:tcBorders>
            <w:shd w:val="clear" w:color="auto" w:fill="auto"/>
            <w:noWrap/>
            <w:vAlign w:val="center"/>
          </w:tcPr>
          <w:p w14:paraId="2F40019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40.1</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single" w:sz="4" w:space="0" w:color="000000"/>
              <w:right w:val="nil"/>
            </w:tcBorders>
            <w:shd w:val="clear" w:color="auto" w:fill="auto"/>
            <w:noWrap/>
            <w:vAlign w:val="center"/>
          </w:tcPr>
          <w:p w14:paraId="4589974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38.0</w:t>
            </w:r>
            <w:r w:rsidRPr="00D0415B">
              <w:rPr>
                <w:rFonts w:ascii="Times New Roman" w:eastAsia="Times New Roman" w:hAnsi="Times New Roman" w:cs="Times New Roman"/>
                <w:color w:val="000000"/>
                <w:sz w:val="16"/>
                <w:szCs w:val="16"/>
                <w:vertAlign w:val="superscript"/>
              </w:rPr>
              <w:t>ab</w:t>
            </w:r>
          </w:p>
        </w:tc>
      </w:tr>
      <w:tr w:rsidR="00873563" w:rsidRPr="00D0415B" w14:paraId="36E2451B" w14:textId="77777777" w:rsidTr="000A0088">
        <w:trPr>
          <w:trHeight w:val="272"/>
        </w:trPr>
        <w:tc>
          <w:tcPr>
            <w:tcW w:w="901" w:type="dxa"/>
            <w:tcBorders>
              <w:top w:val="single" w:sz="4" w:space="0" w:color="FFFFFF" w:themeColor="background1"/>
              <w:left w:val="nil"/>
              <w:bottom w:val="nil"/>
              <w:right w:val="nil"/>
            </w:tcBorders>
            <w:shd w:val="clear" w:color="auto" w:fill="auto"/>
            <w:noWrap/>
            <w:vAlign w:val="center"/>
          </w:tcPr>
          <w:p w14:paraId="268F97A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single" w:sz="4" w:space="0" w:color="000000"/>
              <w:left w:val="nil"/>
              <w:bottom w:val="nil"/>
              <w:right w:val="nil"/>
            </w:tcBorders>
          </w:tcPr>
          <w:p w14:paraId="6DBA13B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single" w:sz="4" w:space="0" w:color="000000"/>
              <w:left w:val="nil"/>
              <w:bottom w:val="nil"/>
              <w:right w:val="nil"/>
            </w:tcBorders>
            <w:shd w:val="clear" w:color="auto" w:fill="auto"/>
            <w:noWrap/>
            <w:vAlign w:val="center"/>
          </w:tcPr>
          <w:p w14:paraId="169283A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637" w:type="dxa"/>
            <w:tcBorders>
              <w:top w:val="single" w:sz="4" w:space="0" w:color="000000"/>
              <w:left w:val="nil"/>
              <w:bottom w:val="nil"/>
              <w:right w:val="nil"/>
            </w:tcBorders>
            <w:shd w:val="clear" w:color="auto" w:fill="auto"/>
            <w:noWrap/>
            <w:vAlign w:val="center"/>
          </w:tcPr>
          <w:p w14:paraId="0DD2995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10.5</w:t>
            </w:r>
            <w:r w:rsidRPr="00D0415B">
              <w:rPr>
                <w:rFonts w:ascii="Times New Roman" w:eastAsia="Times New Roman" w:hAnsi="Times New Roman" w:cs="Times New Roman"/>
                <w:color w:val="000000"/>
                <w:sz w:val="16"/>
                <w:szCs w:val="16"/>
                <w:vertAlign w:val="superscript"/>
              </w:rPr>
              <w:t>c</w:t>
            </w:r>
          </w:p>
        </w:tc>
        <w:tc>
          <w:tcPr>
            <w:tcW w:w="1484" w:type="dxa"/>
            <w:tcBorders>
              <w:top w:val="single" w:sz="4" w:space="0" w:color="000000"/>
              <w:left w:val="nil"/>
              <w:bottom w:val="nil"/>
              <w:right w:val="nil"/>
            </w:tcBorders>
            <w:shd w:val="clear" w:color="auto" w:fill="auto"/>
            <w:noWrap/>
            <w:vAlign w:val="center"/>
          </w:tcPr>
          <w:p w14:paraId="635113A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w:t>
            </w:r>
            <w:r w:rsidRPr="00D0415B">
              <w:rPr>
                <w:rFonts w:ascii="Times New Roman" w:eastAsia="Times New Roman" w:hAnsi="Times New Roman" w:cs="Times New Roman"/>
                <w:color w:val="000000"/>
                <w:sz w:val="16"/>
                <w:szCs w:val="16"/>
                <w:vertAlign w:val="superscript"/>
              </w:rPr>
              <w:t>c</w:t>
            </w:r>
          </w:p>
        </w:tc>
        <w:tc>
          <w:tcPr>
            <w:tcW w:w="1556" w:type="dxa"/>
            <w:tcBorders>
              <w:top w:val="single" w:sz="4" w:space="0" w:color="000000"/>
              <w:left w:val="nil"/>
              <w:bottom w:val="nil"/>
              <w:right w:val="nil"/>
            </w:tcBorders>
            <w:shd w:val="clear" w:color="auto" w:fill="auto"/>
            <w:noWrap/>
            <w:vAlign w:val="center"/>
          </w:tcPr>
          <w:p w14:paraId="386C4D0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56.0</w:t>
            </w:r>
            <w:r w:rsidRPr="00D0415B">
              <w:rPr>
                <w:rFonts w:ascii="Times New Roman" w:eastAsia="Times New Roman" w:hAnsi="Times New Roman" w:cs="Times New Roman"/>
                <w:color w:val="000000"/>
                <w:sz w:val="16"/>
                <w:szCs w:val="16"/>
                <w:vertAlign w:val="superscript"/>
              </w:rPr>
              <w:t>c</w:t>
            </w:r>
          </w:p>
        </w:tc>
        <w:tc>
          <w:tcPr>
            <w:tcW w:w="1469" w:type="dxa"/>
            <w:tcBorders>
              <w:top w:val="single" w:sz="4" w:space="0" w:color="000000"/>
              <w:left w:val="nil"/>
              <w:bottom w:val="nil"/>
              <w:right w:val="nil"/>
            </w:tcBorders>
            <w:shd w:val="clear" w:color="auto" w:fill="auto"/>
            <w:noWrap/>
            <w:vAlign w:val="center"/>
          </w:tcPr>
          <w:p w14:paraId="2DD3F17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7.2</w:t>
            </w:r>
            <w:r w:rsidRPr="00D0415B">
              <w:rPr>
                <w:rFonts w:ascii="Times New Roman" w:eastAsia="Times New Roman" w:hAnsi="Times New Roman" w:cs="Times New Roman"/>
                <w:color w:val="000000"/>
                <w:sz w:val="16"/>
                <w:szCs w:val="16"/>
                <w:vertAlign w:val="superscript"/>
              </w:rPr>
              <w:t>d</w:t>
            </w:r>
          </w:p>
        </w:tc>
      </w:tr>
      <w:tr w:rsidR="00873563" w:rsidRPr="00D0415B" w14:paraId="11D6161B" w14:textId="77777777" w:rsidTr="000A0088">
        <w:trPr>
          <w:trHeight w:val="272"/>
        </w:trPr>
        <w:tc>
          <w:tcPr>
            <w:tcW w:w="901" w:type="dxa"/>
            <w:tcBorders>
              <w:top w:val="nil"/>
              <w:left w:val="nil"/>
              <w:bottom w:val="nil"/>
              <w:right w:val="nil"/>
            </w:tcBorders>
            <w:shd w:val="clear" w:color="auto" w:fill="auto"/>
            <w:noWrap/>
            <w:vAlign w:val="center"/>
            <w:hideMark/>
          </w:tcPr>
          <w:p w14:paraId="2181FA7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1272A96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53D8DBA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637" w:type="dxa"/>
            <w:tcBorders>
              <w:top w:val="nil"/>
              <w:left w:val="nil"/>
              <w:bottom w:val="nil"/>
              <w:right w:val="nil"/>
            </w:tcBorders>
            <w:shd w:val="clear" w:color="auto" w:fill="auto"/>
            <w:noWrap/>
            <w:vAlign w:val="center"/>
            <w:hideMark/>
          </w:tcPr>
          <w:p w14:paraId="416EB72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hideMark/>
          </w:tcPr>
          <w:p w14:paraId="4F765E0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7.3</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hideMark/>
          </w:tcPr>
          <w:p w14:paraId="0B0288E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69.1</w:t>
            </w:r>
            <w:r w:rsidRPr="00D0415B">
              <w:rPr>
                <w:rFonts w:ascii="Times New Roman" w:eastAsia="Times New Roman" w:hAnsi="Times New Roman" w:cs="Times New Roman"/>
                <w:color w:val="000000"/>
                <w:sz w:val="16"/>
                <w:szCs w:val="16"/>
                <w:vertAlign w:val="superscript"/>
              </w:rPr>
              <w:t>d</w:t>
            </w:r>
          </w:p>
        </w:tc>
        <w:tc>
          <w:tcPr>
            <w:tcW w:w="1469" w:type="dxa"/>
            <w:tcBorders>
              <w:top w:val="nil"/>
              <w:left w:val="nil"/>
              <w:bottom w:val="nil"/>
              <w:right w:val="nil"/>
            </w:tcBorders>
            <w:shd w:val="clear" w:color="auto" w:fill="auto"/>
            <w:noWrap/>
            <w:vAlign w:val="center"/>
            <w:hideMark/>
          </w:tcPr>
          <w:p w14:paraId="7B4B465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9.1</w:t>
            </w:r>
            <w:r w:rsidRPr="00D0415B">
              <w:rPr>
                <w:rFonts w:ascii="Times New Roman" w:eastAsia="Times New Roman" w:hAnsi="Times New Roman" w:cs="Times New Roman"/>
                <w:color w:val="000000"/>
                <w:sz w:val="16"/>
                <w:szCs w:val="16"/>
                <w:vertAlign w:val="superscript"/>
              </w:rPr>
              <w:t>c</w:t>
            </w:r>
          </w:p>
        </w:tc>
      </w:tr>
      <w:tr w:rsidR="00873563" w:rsidRPr="00D0415B" w14:paraId="04D6EA2B" w14:textId="77777777" w:rsidTr="000A0088">
        <w:trPr>
          <w:trHeight w:val="272"/>
        </w:trPr>
        <w:tc>
          <w:tcPr>
            <w:tcW w:w="901" w:type="dxa"/>
            <w:tcBorders>
              <w:top w:val="nil"/>
              <w:left w:val="nil"/>
              <w:bottom w:val="nil"/>
              <w:right w:val="nil"/>
            </w:tcBorders>
            <w:shd w:val="clear" w:color="auto" w:fill="auto"/>
            <w:noWrap/>
            <w:vAlign w:val="center"/>
            <w:hideMark/>
          </w:tcPr>
          <w:p w14:paraId="5D1ABA96"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6574EFD8"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52222C2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637" w:type="dxa"/>
            <w:tcBorders>
              <w:top w:val="nil"/>
              <w:left w:val="nil"/>
              <w:bottom w:val="nil"/>
              <w:right w:val="nil"/>
            </w:tcBorders>
            <w:shd w:val="clear" w:color="auto" w:fill="auto"/>
            <w:noWrap/>
            <w:vAlign w:val="center"/>
            <w:hideMark/>
          </w:tcPr>
          <w:p w14:paraId="0403AEBB"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11.2</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hideMark/>
          </w:tcPr>
          <w:p w14:paraId="1C52ED04"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hideMark/>
          </w:tcPr>
          <w:p w14:paraId="345B64F5"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73.0</w:t>
            </w:r>
            <w:r w:rsidRPr="00D0415B">
              <w:rPr>
                <w:rFonts w:ascii="Times New Roman" w:eastAsia="Times New Roman" w:hAnsi="Times New Roman" w:cs="Times New Roman"/>
                <w:color w:val="000000"/>
                <w:sz w:val="16"/>
                <w:szCs w:val="16"/>
                <w:vertAlign w:val="superscript"/>
              </w:rPr>
              <w:t>d</w:t>
            </w:r>
          </w:p>
        </w:tc>
        <w:tc>
          <w:tcPr>
            <w:tcW w:w="1469" w:type="dxa"/>
            <w:tcBorders>
              <w:top w:val="nil"/>
              <w:left w:val="nil"/>
              <w:bottom w:val="nil"/>
              <w:right w:val="nil"/>
            </w:tcBorders>
            <w:shd w:val="clear" w:color="auto" w:fill="auto"/>
            <w:noWrap/>
            <w:vAlign w:val="center"/>
            <w:hideMark/>
          </w:tcPr>
          <w:p w14:paraId="313CCED1"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9.1</w:t>
            </w:r>
            <w:r w:rsidRPr="00D0415B">
              <w:rPr>
                <w:rFonts w:ascii="Times New Roman" w:eastAsia="Times New Roman" w:hAnsi="Times New Roman" w:cs="Times New Roman"/>
                <w:color w:val="000000"/>
                <w:sz w:val="16"/>
                <w:szCs w:val="16"/>
                <w:vertAlign w:val="superscript"/>
              </w:rPr>
              <w:t>c</w:t>
            </w:r>
          </w:p>
        </w:tc>
      </w:tr>
      <w:tr w:rsidR="00873563" w:rsidRPr="00D0415B" w14:paraId="41957E73" w14:textId="77777777" w:rsidTr="000A0088">
        <w:trPr>
          <w:trHeight w:val="83"/>
        </w:trPr>
        <w:tc>
          <w:tcPr>
            <w:tcW w:w="901" w:type="dxa"/>
            <w:tcBorders>
              <w:top w:val="nil"/>
              <w:left w:val="nil"/>
              <w:bottom w:val="nil"/>
              <w:right w:val="nil"/>
            </w:tcBorders>
            <w:shd w:val="clear" w:color="auto" w:fill="auto"/>
            <w:noWrap/>
            <w:vAlign w:val="center"/>
            <w:hideMark/>
          </w:tcPr>
          <w:p w14:paraId="43E2169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538A583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7D66B48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637" w:type="dxa"/>
            <w:tcBorders>
              <w:top w:val="nil"/>
              <w:left w:val="nil"/>
              <w:bottom w:val="nil"/>
              <w:right w:val="nil"/>
            </w:tcBorders>
            <w:shd w:val="clear" w:color="auto" w:fill="auto"/>
            <w:noWrap/>
            <w:vAlign w:val="center"/>
            <w:hideMark/>
          </w:tcPr>
          <w:p w14:paraId="68299A7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hideMark/>
          </w:tcPr>
          <w:p w14:paraId="1F1833E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hideMark/>
          </w:tcPr>
          <w:p w14:paraId="7E8D03B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80.0</w:t>
            </w:r>
            <w:r w:rsidRPr="00D0415B">
              <w:rPr>
                <w:rFonts w:ascii="Times New Roman" w:eastAsia="Times New Roman" w:hAnsi="Times New Roman" w:cs="Times New Roman"/>
                <w:color w:val="000000"/>
                <w:sz w:val="16"/>
                <w:szCs w:val="16"/>
                <w:vertAlign w:val="superscript"/>
              </w:rPr>
              <w:t>e</w:t>
            </w:r>
          </w:p>
        </w:tc>
        <w:tc>
          <w:tcPr>
            <w:tcW w:w="1469" w:type="dxa"/>
            <w:tcBorders>
              <w:top w:val="nil"/>
              <w:left w:val="nil"/>
              <w:bottom w:val="nil"/>
              <w:right w:val="nil"/>
            </w:tcBorders>
            <w:shd w:val="clear" w:color="auto" w:fill="auto"/>
            <w:noWrap/>
            <w:vAlign w:val="center"/>
            <w:hideMark/>
          </w:tcPr>
          <w:p w14:paraId="02D507B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8.6</w:t>
            </w:r>
            <w:r w:rsidRPr="00D0415B">
              <w:rPr>
                <w:rFonts w:ascii="Times New Roman" w:eastAsia="Times New Roman" w:hAnsi="Times New Roman" w:cs="Times New Roman"/>
                <w:color w:val="000000"/>
                <w:sz w:val="16"/>
                <w:szCs w:val="16"/>
                <w:vertAlign w:val="superscript"/>
              </w:rPr>
              <w:t>c</w:t>
            </w:r>
          </w:p>
        </w:tc>
      </w:tr>
      <w:tr w:rsidR="00873563" w:rsidRPr="00D0415B" w14:paraId="21EC3C04" w14:textId="77777777" w:rsidTr="000A0088">
        <w:trPr>
          <w:trHeight w:val="272"/>
        </w:trPr>
        <w:tc>
          <w:tcPr>
            <w:tcW w:w="901" w:type="dxa"/>
            <w:tcBorders>
              <w:top w:val="nil"/>
              <w:left w:val="nil"/>
              <w:bottom w:val="nil"/>
              <w:right w:val="nil"/>
            </w:tcBorders>
            <w:shd w:val="clear" w:color="auto" w:fill="auto"/>
            <w:noWrap/>
            <w:vAlign w:val="center"/>
            <w:hideMark/>
          </w:tcPr>
          <w:p w14:paraId="1F20D78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49F80C3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4BF85A3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637" w:type="dxa"/>
            <w:tcBorders>
              <w:top w:val="nil"/>
              <w:left w:val="nil"/>
              <w:bottom w:val="nil"/>
              <w:right w:val="nil"/>
            </w:tcBorders>
            <w:shd w:val="clear" w:color="auto" w:fill="auto"/>
            <w:noWrap/>
            <w:vAlign w:val="center"/>
            <w:hideMark/>
          </w:tcPr>
          <w:p w14:paraId="11AAB6F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11.1</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hideMark/>
          </w:tcPr>
          <w:p w14:paraId="5D3A15A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6.9</w:t>
            </w:r>
            <w:r w:rsidRPr="00D0415B">
              <w:rPr>
                <w:rFonts w:ascii="Times New Roman" w:eastAsia="Times New Roman" w:hAnsi="Times New Roman" w:cs="Times New Roman"/>
                <w:color w:val="000000"/>
                <w:sz w:val="16"/>
                <w:szCs w:val="16"/>
                <w:vertAlign w:val="superscript"/>
              </w:rPr>
              <w:t>c</w:t>
            </w:r>
          </w:p>
        </w:tc>
        <w:tc>
          <w:tcPr>
            <w:tcW w:w="1556" w:type="dxa"/>
            <w:tcBorders>
              <w:top w:val="nil"/>
              <w:left w:val="nil"/>
              <w:bottom w:val="nil"/>
              <w:right w:val="nil"/>
            </w:tcBorders>
            <w:shd w:val="clear" w:color="auto" w:fill="auto"/>
            <w:noWrap/>
            <w:vAlign w:val="center"/>
            <w:hideMark/>
          </w:tcPr>
          <w:p w14:paraId="185D34B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94.9</w:t>
            </w:r>
            <w:r w:rsidRPr="00D0415B">
              <w:rPr>
                <w:rFonts w:ascii="Times New Roman" w:eastAsia="Times New Roman" w:hAnsi="Times New Roman" w:cs="Times New Roman"/>
                <w:color w:val="000000"/>
                <w:sz w:val="16"/>
                <w:szCs w:val="16"/>
                <w:vertAlign w:val="superscript"/>
              </w:rPr>
              <w:t>f</w:t>
            </w:r>
          </w:p>
        </w:tc>
        <w:tc>
          <w:tcPr>
            <w:tcW w:w="1469" w:type="dxa"/>
            <w:tcBorders>
              <w:top w:val="nil"/>
              <w:left w:val="nil"/>
              <w:bottom w:val="nil"/>
              <w:right w:val="nil"/>
            </w:tcBorders>
            <w:shd w:val="clear" w:color="auto" w:fill="auto"/>
            <w:noWrap/>
            <w:vAlign w:val="center"/>
            <w:hideMark/>
          </w:tcPr>
          <w:p w14:paraId="4ABBCE7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8.5</w:t>
            </w:r>
            <w:r w:rsidRPr="00D0415B">
              <w:rPr>
                <w:rFonts w:ascii="Times New Roman" w:eastAsia="Times New Roman" w:hAnsi="Times New Roman" w:cs="Times New Roman"/>
                <w:color w:val="000000"/>
                <w:sz w:val="16"/>
                <w:szCs w:val="16"/>
                <w:vertAlign w:val="superscript"/>
              </w:rPr>
              <w:t>c</w:t>
            </w:r>
          </w:p>
        </w:tc>
      </w:tr>
      <w:tr w:rsidR="00873563" w:rsidRPr="00D0415B" w14:paraId="0C50F5AE" w14:textId="77777777" w:rsidTr="000A0088">
        <w:trPr>
          <w:trHeight w:val="272"/>
        </w:trPr>
        <w:tc>
          <w:tcPr>
            <w:tcW w:w="901" w:type="dxa"/>
            <w:tcBorders>
              <w:top w:val="nil"/>
              <w:left w:val="nil"/>
              <w:bottom w:val="nil"/>
              <w:right w:val="nil"/>
            </w:tcBorders>
            <w:shd w:val="clear" w:color="auto" w:fill="auto"/>
            <w:noWrap/>
            <w:vAlign w:val="center"/>
            <w:hideMark/>
          </w:tcPr>
          <w:p w14:paraId="7EC7334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3B08069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3DF26F6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637" w:type="dxa"/>
            <w:tcBorders>
              <w:top w:val="nil"/>
              <w:left w:val="nil"/>
              <w:bottom w:val="nil"/>
              <w:right w:val="nil"/>
            </w:tcBorders>
            <w:shd w:val="clear" w:color="auto" w:fill="auto"/>
            <w:noWrap/>
            <w:vAlign w:val="center"/>
            <w:hideMark/>
          </w:tcPr>
          <w:p w14:paraId="18A8AF5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12.5</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hideMark/>
          </w:tcPr>
          <w:p w14:paraId="1A5C60A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8.4</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hideMark/>
          </w:tcPr>
          <w:p w14:paraId="64F570D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50.0</w:t>
            </w:r>
            <w:r w:rsidRPr="00D0415B">
              <w:rPr>
                <w:rFonts w:ascii="Times New Roman" w:eastAsia="Times New Roman" w:hAnsi="Times New Roman" w:cs="Times New Roman"/>
                <w:color w:val="000000"/>
                <w:sz w:val="16"/>
                <w:szCs w:val="16"/>
                <w:vertAlign w:val="superscript"/>
              </w:rPr>
              <w:t>b</w:t>
            </w:r>
          </w:p>
        </w:tc>
        <w:tc>
          <w:tcPr>
            <w:tcW w:w="1469" w:type="dxa"/>
            <w:tcBorders>
              <w:top w:val="nil"/>
              <w:left w:val="nil"/>
              <w:bottom w:val="nil"/>
              <w:right w:val="nil"/>
            </w:tcBorders>
            <w:shd w:val="clear" w:color="auto" w:fill="auto"/>
            <w:noWrap/>
            <w:vAlign w:val="center"/>
            <w:hideMark/>
          </w:tcPr>
          <w:p w14:paraId="36F5BC9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11.4</w:t>
            </w:r>
            <w:r w:rsidRPr="00D0415B">
              <w:rPr>
                <w:rFonts w:ascii="Times New Roman" w:eastAsia="Times New Roman" w:hAnsi="Times New Roman" w:cs="Times New Roman"/>
                <w:color w:val="000000"/>
                <w:sz w:val="16"/>
                <w:szCs w:val="16"/>
                <w:vertAlign w:val="superscript"/>
              </w:rPr>
              <w:t>b</w:t>
            </w:r>
          </w:p>
        </w:tc>
      </w:tr>
      <w:tr w:rsidR="00873563" w:rsidRPr="00D0415B" w14:paraId="288794FB" w14:textId="77777777" w:rsidTr="000A0088">
        <w:trPr>
          <w:trHeight w:val="272"/>
        </w:trPr>
        <w:tc>
          <w:tcPr>
            <w:tcW w:w="901" w:type="dxa"/>
            <w:tcBorders>
              <w:top w:val="nil"/>
              <w:left w:val="nil"/>
              <w:bottom w:val="nil"/>
              <w:right w:val="nil"/>
            </w:tcBorders>
            <w:shd w:val="clear" w:color="auto" w:fill="auto"/>
            <w:noWrap/>
            <w:vAlign w:val="center"/>
          </w:tcPr>
          <w:p w14:paraId="18EDBB4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7335521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tcPr>
          <w:p w14:paraId="5F9A9C3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637" w:type="dxa"/>
            <w:tcBorders>
              <w:top w:val="nil"/>
              <w:left w:val="nil"/>
              <w:bottom w:val="nil"/>
              <w:right w:val="nil"/>
            </w:tcBorders>
            <w:shd w:val="clear" w:color="auto" w:fill="auto"/>
            <w:noWrap/>
            <w:vAlign w:val="center"/>
          </w:tcPr>
          <w:p w14:paraId="4967A07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12.5</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tcPr>
          <w:p w14:paraId="27835E0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8.5</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tcPr>
          <w:p w14:paraId="75BA1A5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48.9</w:t>
            </w:r>
            <w:r w:rsidRPr="00D0415B">
              <w:rPr>
                <w:rFonts w:ascii="Times New Roman" w:eastAsia="Times New Roman" w:hAnsi="Times New Roman" w:cs="Times New Roman"/>
                <w:color w:val="000000"/>
                <w:sz w:val="16"/>
                <w:szCs w:val="16"/>
                <w:vertAlign w:val="superscript"/>
              </w:rPr>
              <w:t>b</w:t>
            </w:r>
          </w:p>
        </w:tc>
        <w:tc>
          <w:tcPr>
            <w:tcW w:w="1469" w:type="dxa"/>
            <w:tcBorders>
              <w:top w:val="nil"/>
              <w:left w:val="nil"/>
              <w:bottom w:val="nil"/>
              <w:right w:val="nil"/>
            </w:tcBorders>
            <w:shd w:val="clear" w:color="auto" w:fill="auto"/>
            <w:noWrap/>
            <w:vAlign w:val="center"/>
          </w:tcPr>
          <w:p w14:paraId="7F923EF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11.9</w:t>
            </w:r>
            <w:r w:rsidRPr="00D0415B">
              <w:rPr>
                <w:rFonts w:ascii="Times New Roman" w:eastAsia="Times New Roman" w:hAnsi="Times New Roman" w:cs="Times New Roman"/>
                <w:color w:val="000000"/>
                <w:sz w:val="16"/>
                <w:szCs w:val="16"/>
                <w:vertAlign w:val="superscript"/>
              </w:rPr>
              <w:t>b</w:t>
            </w:r>
          </w:p>
        </w:tc>
      </w:tr>
      <w:tr w:rsidR="00873563" w:rsidRPr="00D0415B" w14:paraId="63E9F613" w14:textId="77777777" w:rsidTr="000A0088">
        <w:trPr>
          <w:trHeight w:val="272"/>
        </w:trPr>
        <w:tc>
          <w:tcPr>
            <w:tcW w:w="901" w:type="dxa"/>
            <w:tcBorders>
              <w:top w:val="nil"/>
              <w:left w:val="nil"/>
              <w:bottom w:val="nil"/>
              <w:right w:val="nil"/>
            </w:tcBorders>
            <w:shd w:val="clear" w:color="auto" w:fill="auto"/>
            <w:noWrap/>
            <w:vAlign w:val="center"/>
            <w:hideMark/>
          </w:tcPr>
          <w:p w14:paraId="746B1AA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4BEA5EB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7940A1F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637" w:type="dxa"/>
            <w:tcBorders>
              <w:top w:val="nil"/>
              <w:left w:val="nil"/>
              <w:bottom w:val="nil"/>
              <w:right w:val="nil"/>
            </w:tcBorders>
            <w:shd w:val="clear" w:color="auto" w:fill="auto"/>
            <w:noWrap/>
            <w:vAlign w:val="center"/>
            <w:hideMark/>
          </w:tcPr>
          <w:p w14:paraId="3F927AD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c</w:t>
            </w:r>
          </w:p>
        </w:tc>
        <w:tc>
          <w:tcPr>
            <w:tcW w:w="1484" w:type="dxa"/>
            <w:tcBorders>
              <w:top w:val="nil"/>
              <w:left w:val="nil"/>
              <w:bottom w:val="nil"/>
              <w:right w:val="nil"/>
            </w:tcBorders>
            <w:shd w:val="clear" w:color="auto" w:fill="auto"/>
            <w:noWrap/>
            <w:vAlign w:val="center"/>
            <w:hideMark/>
          </w:tcPr>
          <w:p w14:paraId="71804D1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8.9</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hideMark/>
          </w:tcPr>
          <w:p w14:paraId="621B7A1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38.8</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hideMark/>
          </w:tcPr>
          <w:p w14:paraId="5328EBC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12.9</w:t>
            </w:r>
            <w:r w:rsidRPr="00D0415B">
              <w:rPr>
                <w:rFonts w:ascii="Times New Roman" w:eastAsia="Times New Roman" w:hAnsi="Times New Roman" w:cs="Times New Roman"/>
                <w:color w:val="000000"/>
                <w:sz w:val="16"/>
                <w:szCs w:val="16"/>
                <w:vertAlign w:val="superscript"/>
              </w:rPr>
              <w:t>ab</w:t>
            </w:r>
          </w:p>
        </w:tc>
      </w:tr>
      <w:tr w:rsidR="00873563" w:rsidRPr="00D0415B" w14:paraId="031DEEDC" w14:textId="77777777" w:rsidTr="000A0088">
        <w:trPr>
          <w:trHeight w:val="272"/>
        </w:trPr>
        <w:tc>
          <w:tcPr>
            <w:tcW w:w="901" w:type="dxa"/>
            <w:tcBorders>
              <w:top w:val="nil"/>
              <w:left w:val="nil"/>
              <w:bottom w:val="nil"/>
              <w:right w:val="nil"/>
            </w:tcBorders>
            <w:shd w:val="clear" w:color="auto" w:fill="auto"/>
            <w:noWrap/>
            <w:vAlign w:val="center"/>
            <w:hideMark/>
          </w:tcPr>
          <w:p w14:paraId="21922D5E"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7FE3294A"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48B3FA4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637" w:type="dxa"/>
            <w:tcBorders>
              <w:top w:val="nil"/>
              <w:left w:val="nil"/>
              <w:bottom w:val="nil"/>
              <w:right w:val="nil"/>
            </w:tcBorders>
            <w:shd w:val="clear" w:color="auto" w:fill="auto"/>
            <w:noWrap/>
            <w:vAlign w:val="center"/>
            <w:hideMark/>
          </w:tcPr>
          <w:p w14:paraId="3B95ACD8"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12.5</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hideMark/>
          </w:tcPr>
          <w:p w14:paraId="7814AAA4"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8.2</w:t>
            </w:r>
            <w:r w:rsidRPr="00D0415B">
              <w:rPr>
                <w:rFonts w:ascii="Times New Roman" w:eastAsia="Times New Roman" w:hAnsi="Times New Roman" w:cs="Times New Roman"/>
                <w:color w:val="000000"/>
                <w:sz w:val="16"/>
                <w:szCs w:val="16"/>
                <w:vertAlign w:val="superscript"/>
              </w:rPr>
              <w:t>b</w:t>
            </w:r>
          </w:p>
        </w:tc>
        <w:tc>
          <w:tcPr>
            <w:tcW w:w="1556" w:type="dxa"/>
            <w:tcBorders>
              <w:top w:val="nil"/>
              <w:left w:val="nil"/>
              <w:bottom w:val="nil"/>
              <w:right w:val="nil"/>
            </w:tcBorders>
            <w:shd w:val="clear" w:color="auto" w:fill="auto"/>
            <w:noWrap/>
            <w:vAlign w:val="center"/>
            <w:hideMark/>
          </w:tcPr>
          <w:p w14:paraId="4BE33D0E" w14:textId="77777777" w:rsidR="00873563" w:rsidRPr="00D0415B" w:rsidRDefault="00873563" w:rsidP="000A0088">
            <w:pPr>
              <w:spacing w:after="0" w:line="36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40.5</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hideMark/>
          </w:tcPr>
          <w:p w14:paraId="67AA1614"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12.4</w:t>
            </w:r>
            <w:r w:rsidRPr="00D0415B">
              <w:rPr>
                <w:rFonts w:ascii="Times New Roman" w:eastAsia="Times New Roman" w:hAnsi="Times New Roman" w:cs="Times New Roman"/>
                <w:color w:val="000000"/>
                <w:sz w:val="16"/>
                <w:szCs w:val="16"/>
                <w:vertAlign w:val="superscript"/>
              </w:rPr>
              <w:t>ab</w:t>
            </w:r>
          </w:p>
        </w:tc>
      </w:tr>
      <w:tr w:rsidR="00873563" w:rsidRPr="00D0415B" w14:paraId="1C5B9E99" w14:textId="77777777" w:rsidTr="000A0088">
        <w:trPr>
          <w:trHeight w:val="64"/>
        </w:trPr>
        <w:tc>
          <w:tcPr>
            <w:tcW w:w="901" w:type="dxa"/>
            <w:tcBorders>
              <w:top w:val="nil"/>
              <w:left w:val="nil"/>
              <w:bottom w:val="nil"/>
              <w:right w:val="nil"/>
            </w:tcBorders>
            <w:shd w:val="clear" w:color="auto" w:fill="auto"/>
            <w:noWrap/>
            <w:vAlign w:val="center"/>
            <w:hideMark/>
          </w:tcPr>
          <w:p w14:paraId="2E612F7C"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61677F6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5A8FEE6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637" w:type="dxa"/>
            <w:tcBorders>
              <w:top w:val="nil"/>
              <w:left w:val="nil"/>
              <w:bottom w:val="nil"/>
              <w:right w:val="nil"/>
            </w:tcBorders>
            <w:shd w:val="clear" w:color="auto" w:fill="auto"/>
            <w:noWrap/>
            <w:vAlign w:val="center"/>
            <w:hideMark/>
          </w:tcPr>
          <w:p w14:paraId="5EB9F10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14.0</w:t>
            </w:r>
            <w:r w:rsidRPr="00D0415B">
              <w:rPr>
                <w:rFonts w:ascii="Times New Roman" w:eastAsia="Times New Roman" w:hAnsi="Times New Roman" w:cs="Times New Roman"/>
                <w:b/>
                <w:bCs/>
                <w:color w:val="000000"/>
                <w:sz w:val="16"/>
                <w:szCs w:val="16"/>
                <w:vertAlign w:val="superscript"/>
              </w:rPr>
              <w:t>a</w:t>
            </w:r>
          </w:p>
        </w:tc>
        <w:tc>
          <w:tcPr>
            <w:tcW w:w="1484" w:type="dxa"/>
            <w:tcBorders>
              <w:top w:val="nil"/>
              <w:left w:val="nil"/>
              <w:bottom w:val="nil"/>
              <w:right w:val="nil"/>
            </w:tcBorders>
            <w:shd w:val="clear" w:color="auto" w:fill="auto"/>
            <w:noWrap/>
            <w:vAlign w:val="center"/>
            <w:hideMark/>
          </w:tcPr>
          <w:p w14:paraId="1E5FC2C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10.1</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nil"/>
              <w:right w:val="nil"/>
            </w:tcBorders>
            <w:shd w:val="clear" w:color="auto" w:fill="auto"/>
            <w:noWrap/>
            <w:vAlign w:val="center"/>
            <w:hideMark/>
          </w:tcPr>
          <w:p w14:paraId="5AC0191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41.0</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hideMark/>
          </w:tcPr>
          <w:p w14:paraId="168F8E8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13.4</w:t>
            </w:r>
            <w:r w:rsidRPr="00D0415B">
              <w:rPr>
                <w:rFonts w:ascii="Times New Roman" w:eastAsia="Times New Roman" w:hAnsi="Times New Roman" w:cs="Times New Roman"/>
                <w:b/>
                <w:bCs/>
                <w:color w:val="000000"/>
                <w:sz w:val="16"/>
                <w:szCs w:val="16"/>
                <w:vertAlign w:val="superscript"/>
              </w:rPr>
              <w:t>a</w:t>
            </w:r>
          </w:p>
        </w:tc>
      </w:tr>
      <w:tr w:rsidR="00873563" w:rsidRPr="00D0415B" w14:paraId="67C042FF" w14:textId="77777777" w:rsidTr="000A0088">
        <w:trPr>
          <w:trHeight w:val="272"/>
        </w:trPr>
        <w:tc>
          <w:tcPr>
            <w:tcW w:w="901" w:type="dxa"/>
            <w:tcBorders>
              <w:top w:val="nil"/>
              <w:left w:val="nil"/>
              <w:bottom w:val="nil"/>
              <w:right w:val="nil"/>
            </w:tcBorders>
            <w:shd w:val="clear" w:color="auto" w:fill="auto"/>
            <w:noWrap/>
            <w:vAlign w:val="center"/>
            <w:hideMark/>
          </w:tcPr>
          <w:p w14:paraId="01E006F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0A78BC4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54DAC0C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637" w:type="dxa"/>
            <w:tcBorders>
              <w:top w:val="nil"/>
              <w:left w:val="nil"/>
              <w:bottom w:val="nil"/>
              <w:right w:val="nil"/>
            </w:tcBorders>
            <w:shd w:val="clear" w:color="auto" w:fill="auto"/>
            <w:noWrap/>
            <w:vAlign w:val="center"/>
            <w:hideMark/>
          </w:tcPr>
          <w:p w14:paraId="6721DDA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14.1</w:t>
            </w:r>
            <w:r w:rsidRPr="00D0415B">
              <w:rPr>
                <w:rFonts w:ascii="Times New Roman" w:eastAsia="Times New Roman" w:hAnsi="Times New Roman" w:cs="Times New Roman"/>
                <w:b/>
                <w:bCs/>
                <w:color w:val="000000"/>
                <w:sz w:val="16"/>
                <w:szCs w:val="16"/>
                <w:vertAlign w:val="superscript"/>
              </w:rPr>
              <w:t>a</w:t>
            </w:r>
          </w:p>
        </w:tc>
        <w:tc>
          <w:tcPr>
            <w:tcW w:w="1484" w:type="dxa"/>
            <w:tcBorders>
              <w:top w:val="nil"/>
              <w:left w:val="nil"/>
              <w:bottom w:val="nil"/>
              <w:right w:val="nil"/>
            </w:tcBorders>
            <w:shd w:val="clear" w:color="auto" w:fill="auto"/>
            <w:noWrap/>
            <w:vAlign w:val="center"/>
            <w:hideMark/>
          </w:tcPr>
          <w:p w14:paraId="19425FD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nil"/>
              <w:right w:val="nil"/>
            </w:tcBorders>
            <w:shd w:val="clear" w:color="auto" w:fill="auto"/>
            <w:noWrap/>
            <w:vAlign w:val="center"/>
            <w:hideMark/>
          </w:tcPr>
          <w:p w14:paraId="22645A3C"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39.1</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hideMark/>
          </w:tcPr>
          <w:p w14:paraId="7EE6651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13.9</w:t>
            </w:r>
            <w:r w:rsidRPr="00D0415B">
              <w:rPr>
                <w:rFonts w:ascii="Times New Roman" w:eastAsia="Times New Roman" w:hAnsi="Times New Roman" w:cs="Times New Roman"/>
                <w:b/>
                <w:bCs/>
                <w:color w:val="000000"/>
                <w:sz w:val="16"/>
                <w:szCs w:val="16"/>
                <w:vertAlign w:val="superscript"/>
              </w:rPr>
              <w:t>a</w:t>
            </w:r>
          </w:p>
        </w:tc>
      </w:tr>
      <w:tr w:rsidR="00873563" w:rsidRPr="00D0415B" w14:paraId="30CAE31D" w14:textId="77777777" w:rsidTr="000A0088">
        <w:trPr>
          <w:trHeight w:val="272"/>
        </w:trPr>
        <w:tc>
          <w:tcPr>
            <w:tcW w:w="901" w:type="dxa"/>
            <w:tcBorders>
              <w:top w:val="nil"/>
              <w:left w:val="nil"/>
              <w:bottom w:val="nil"/>
              <w:right w:val="nil"/>
            </w:tcBorders>
            <w:shd w:val="clear" w:color="auto" w:fill="auto"/>
            <w:noWrap/>
            <w:vAlign w:val="center"/>
            <w:hideMark/>
          </w:tcPr>
          <w:p w14:paraId="55D71A5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nil"/>
              <w:right w:val="nil"/>
            </w:tcBorders>
          </w:tcPr>
          <w:p w14:paraId="381B209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nil"/>
              <w:right w:val="nil"/>
            </w:tcBorders>
            <w:shd w:val="clear" w:color="auto" w:fill="auto"/>
            <w:noWrap/>
            <w:vAlign w:val="center"/>
            <w:hideMark/>
          </w:tcPr>
          <w:p w14:paraId="03BD897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637" w:type="dxa"/>
            <w:tcBorders>
              <w:top w:val="nil"/>
              <w:left w:val="nil"/>
              <w:bottom w:val="nil"/>
              <w:right w:val="nil"/>
            </w:tcBorders>
            <w:shd w:val="clear" w:color="auto" w:fill="auto"/>
            <w:noWrap/>
            <w:vAlign w:val="center"/>
            <w:hideMark/>
          </w:tcPr>
          <w:p w14:paraId="19502AF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12.9</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nil"/>
              <w:right w:val="nil"/>
            </w:tcBorders>
            <w:shd w:val="clear" w:color="auto" w:fill="auto"/>
            <w:noWrap/>
            <w:vAlign w:val="center"/>
            <w:hideMark/>
          </w:tcPr>
          <w:p w14:paraId="338D4C8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10.2</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nil"/>
              <w:right w:val="nil"/>
            </w:tcBorders>
            <w:shd w:val="clear" w:color="auto" w:fill="auto"/>
            <w:noWrap/>
            <w:vAlign w:val="center"/>
            <w:hideMark/>
          </w:tcPr>
          <w:p w14:paraId="4EBDA81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38.0</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nil"/>
              <w:right w:val="nil"/>
            </w:tcBorders>
            <w:shd w:val="clear" w:color="auto" w:fill="auto"/>
            <w:noWrap/>
            <w:vAlign w:val="center"/>
            <w:hideMark/>
          </w:tcPr>
          <w:p w14:paraId="5CE74EE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13.9</w:t>
            </w:r>
            <w:r w:rsidRPr="00D0415B">
              <w:rPr>
                <w:rFonts w:ascii="Times New Roman" w:eastAsia="Times New Roman" w:hAnsi="Times New Roman" w:cs="Times New Roman"/>
                <w:b/>
                <w:bCs/>
                <w:color w:val="000000"/>
                <w:sz w:val="16"/>
                <w:szCs w:val="16"/>
                <w:vertAlign w:val="superscript"/>
              </w:rPr>
              <w:t>a</w:t>
            </w:r>
          </w:p>
        </w:tc>
      </w:tr>
      <w:tr w:rsidR="00873563" w:rsidRPr="00D0415B" w14:paraId="787D0CFE" w14:textId="77777777" w:rsidTr="000A0088">
        <w:trPr>
          <w:trHeight w:val="272"/>
        </w:trPr>
        <w:tc>
          <w:tcPr>
            <w:tcW w:w="901" w:type="dxa"/>
            <w:tcBorders>
              <w:top w:val="nil"/>
              <w:left w:val="nil"/>
              <w:bottom w:val="single" w:sz="4" w:space="0" w:color="000000"/>
              <w:right w:val="nil"/>
            </w:tcBorders>
            <w:shd w:val="clear" w:color="auto" w:fill="auto"/>
            <w:noWrap/>
            <w:vAlign w:val="center"/>
          </w:tcPr>
          <w:p w14:paraId="7277984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proofErr w:type="spellStart"/>
            <w:r w:rsidRPr="00D0415B">
              <w:rPr>
                <w:rFonts w:ascii="Times New Roman" w:eastAsia="Times New Roman" w:hAnsi="Times New Roman" w:cs="Times New Roman"/>
                <w:b/>
                <w:bCs/>
                <w:color w:val="000000"/>
                <w:sz w:val="16"/>
                <w:szCs w:val="16"/>
              </w:rPr>
              <w:t>Basma</w:t>
            </w:r>
            <w:proofErr w:type="spellEnd"/>
          </w:p>
        </w:tc>
        <w:tc>
          <w:tcPr>
            <w:tcW w:w="1287" w:type="dxa"/>
            <w:tcBorders>
              <w:top w:val="nil"/>
              <w:left w:val="nil"/>
              <w:bottom w:val="single" w:sz="4" w:space="0" w:color="000000"/>
              <w:right w:val="nil"/>
            </w:tcBorders>
          </w:tcPr>
          <w:p w14:paraId="711A370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88" w:type="dxa"/>
            <w:tcBorders>
              <w:top w:val="nil"/>
              <w:left w:val="nil"/>
              <w:bottom w:val="single" w:sz="4" w:space="0" w:color="000000"/>
              <w:right w:val="nil"/>
            </w:tcBorders>
            <w:shd w:val="clear" w:color="auto" w:fill="auto"/>
            <w:noWrap/>
            <w:vAlign w:val="center"/>
          </w:tcPr>
          <w:p w14:paraId="15BE1A5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637" w:type="dxa"/>
            <w:tcBorders>
              <w:top w:val="nil"/>
              <w:left w:val="nil"/>
              <w:bottom w:val="single" w:sz="4" w:space="0" w:color="000000"/>
              <w:right w:val="nil"/>
            </w:tcBorders>
            <w:shd w:val="clear" w:color="auto" w:fill="auto"/>
            <w:noWrap/>
            <w:vAlign w:val="center"/>
          </w:tcPr>
          <w:p w14:paraId="3904DC1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13.0</w:t>
            </w:r>
            <w:r w:rsidRPr="00D0415B">
              <w:rPr>
                <w:rFonts w:ascii="Times New Roman" w:eastAsia="Times New Roman" w:hAnsi="Times New Roman" w:cs="Times New Roman"/>
                <w:color w:val="000000"/>
                <w:sz w:val="16"/>
                <w:szCs w:val="16"/>
                <w:vertAlign w:val="superscript"/>
              </w:rPr>
              <w:t>b</w:t>
            </w:r>
          </w:p>
        </w:tc>
        <w:tc>
          <w:tcPr>
            <w:tcW w:w="1484" w:type="dxa"/>
            <w:tcBorders>
              <w:top w:val="nil"/>
              <w:left w:val="nil"/>
              <w:bottom w:val="single" w:sz="4" w:space="0" w:color="000000"/>
              <w:right w:val="nil"/>
            </w:tcBorders>
            <w:shd w:val="clear" w:color="auto" w:fill="auto"/>
            <w:noWrap/>
            <w:vAlign w:val="center"/>
          </w:tcPr>
          <w:p w14:paraId="0A7B199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10.1</w:t>
            </w:r>
            <w:r w:rsidRPr="00D0415B">
              <w:rPr>
                <w:rFonts w:ascii="Times New Roman" w:eastAsia="Times New Roman" w:hAnsi="Times New Roman" w:cs="Times New Roman"/>
                <w:b/>
                <w:bCs/>
                <w:color w:val="000000"/>
                <w:sz w:val="16"/>
                <w:szCs w:val="16"/>
                <w:vertAlign w:val="superscript"/>
              </w:rPr>
              <w:t>a</w:t>
            </w:r>
          </w:p>
        </w:tc>
        <w:tc>
          <w:tcPr>
            <w:tcW w:w="1556" w:type="dxa"/>
            <w:tcBorders>
              <w:top w:val="nil"/>
              <w:left w:val="nil"/>
              <w:bottom w:val="single" w:sz="4" w:space="0" w:color="000000"/>
              <w:right w:val="nil"/>
            </w:tcBorders>
            <w:shd w:val="clear" w:color="auto" w:fill="auto"/>
            <w:noWrap/>
            <w:vAlign w:val="center"/>
          </w:tcPr>
          <w:p w14:paraId="2F91B68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37.0</w:t>
            </w:r>
            <w:r w:rsidRPr="00D0415B">
              <w:rPr>
                <w:rFonts w:ascii="Times New Roman" w:eastAsia="Times New Roman" w:hAnsi="Times New Roman" w:cs="Times New Roman"/>
                <w:b/>
                <w:bCs/>
                <w:color w:val="000000"/>
                <w:sz w:val="16"/>
                <w:szCs w:val="16"/>
                <w:vertAlign w:val="superscript"/>
              </w:rPr>
              <w:t>a</w:t>
            </w:r>
          </w:p>
        </w:tc>
        <w:tc>
          <w:tcPr>
            <w:tcW w:w="1469" w:type="dxa"/>
            <w:tcBorders>
              <w:top w:val="nil"/>
              <w:left w:val="nil"/>
              <w:bottom w:val="single" w:sz="4" w:space="0" w:color="000000"/>
              <w:right w:val="nil"/>
            </w:tcBorders>
            <w:shd w:val="clear" w:color="auto" w:fill="auto"/>
            <w:noWrap/>
            <w:vAlign w:val="center"/>
          </w:tcPr>
          <w:p w14:paraId="04136E5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14.1</w:t>
            </w:r>
            <w:r w:rsidRPr="00D0415B">
              <w:rPr>
                <w:rFonts w:ascii="Times New Roman" w:eastAsia="Times New Roman" w:hAnsi="Times New Roman" w:cs="Times New Roman"/>
                <w:b/>
                <w:bCs/>
                <w:color w:val="000000"/>
                <w:sz w:val="16"/>
                <w:szCs w:val="16"/>
                <w:vertAlign w:val="superscript"/>
              </w:rPr>
              <w:t>a</w:t>
            </w:r>
          </w:p>
        </w:tc>
      </w:tr>
    </w:tbl>
    <w:p w14:paraId="7068631B" w14:textId="77777777" w:rsidR="00873563" w:rsidRPr="00D0415B" w:rsidRDefault="00873563" w:rsidP="00873563">
      <w:pPr>
        <w:autoSpaceDE w:val="0"/>
        <w:autoSpaceDN w:val="0"/>
        <w:adjustRightInd w:val="0"/>
        <w:spacing w:after="0" w:line="276" w:lineRule="auto"/>
        <w:rPr>
          <w:rFonts w:ascii="Times New Roman" w:hAnsi="Times New Roman" w:cs="Times New Roman"/>
          <w:b/>
          <w:bCs/>
        </w:rPr>
      </w:pPr>
      <w:r w:rsidRPr="00D0415B">
        <w:rPr>
          <w:rFonts w:ascii="Times New Roman" w:hAnsi="Times New Roman" w:cs="Times New Roman"/>
          <w:sz w:val="16"/>
          <w:szCs w:val="16"/>
        </w:rPr>
        <w:t>Significant differences at P &lt; 0.05 have been indicated with different letters.</w:t>
      </w:r>
    </w:p>
    <w:p w14:paraId="6FAF064E" w14:textId="77777777" w:rsidR="00873563" w:rsidRPr="00D0415B" w:rsidRDefault="00873563" w:rsidP="00873563">
      <w:pPr>
        <w:spacing w:after="0"/>
        <w:jc w:val="center"/>
        <w:rPr>
          <w:rFonts w:asciiTheme="minorBidi" w:hAnsiTheme="minorBidi"/>
          <w:sz w:val="16"/>
          <w:szCs w:val="16"/>
        </w:rPr>
      </w:pPr>
    </w:p>
    <w:p w14:paraId="2891D626" w14:textId="77777777" w:rsidR="00873563" w:rsidRPr="00D0415B" w:rsidRDefault="00873563" w:rsidP="00873563">
      <w:pPr>
        <w:spacing w:after="0"/>
        <w:jc w:val="center"/>
        <w:rPr>
          <w:rFonts w:asciiTheme="minorBidi" w:hAnsiTheme="minorBidi"/>
          <w:sz w:val="16"/>
          <w:szCs w:val="16"/>
        </w:rPr>
      </w:pPr>
    </w:p>
    <w:p w14:paraId="7DD1345C" w14:textId="77777777" w:rsidR="00873563" w:rsidRPr="00D0415B" w:rsidRDefault="00873563" w:rsidP="00873563">
      <w:pPr>
        <w:spacing w:after="0"/>
        <w:jc w:val="center"/>
        <w:rPr>
          <w:rFonts w:asciiTheme="minorBidi" w:hAnsiTheme="minorBidi"/>
          <w:sz w:val="16"/>
          <w:szCs w:val="16"/>
        </w:rPr>
      </w:pPr>
    </w:p>
    <w:p w14:paraId="5DD2B557" w14:textId="77777777" w:rsidR="00873563" w:rsidRPr="00D0415B" w:rsidRDefault="00873563" w:rsidP="00873563">
      <w:pPr>
        <w:spacing w:before="240" w:after="0" w:line="276" w:lineRule="auto"/>
        <w:rPr>
          <w:rFonts w:asciiTheme="majorBidi" w:eastAsia="Times New Roman" w:hAnsiTheme="majorBidi" w:cstheme="majorBidi"/>
          <w:sz w:val="20"/>
          <w:szCs w:val="20"/>
          <w:lang w:bidi="fa-IR"/>
        </w:rPr>
      </w:pPr>
      <w:r w:rsidRPr="00D0415B">
        <w:rPr>
          <w:rFonts w:asciiTheme="majorBidi" w:eastAsia="Times New Roman" w:hAnsiTheme="majorBidi" w:cstheme="majorBidi"/>
          <w:b/>
          <w:bCs/>
          <w:sz w:val="20"/>
          <w:szCs w:val="20"/>
          <w:lang w:bidi="fa-IR"/>
        </w:rPr>
        <w:t>Table 3.</w:t>
      </w:r>
      <w:r w:rsidRPr="00D0415B">
        <w:rPr>
          <w:rFonts w:asciiTheme="majorBidi" w:eastAsia="Times New Roman" w:hAnsiTheme="majorBidi" w:cstheme="majorBidi"/>
          <w:sz w:val="20"/>
          <w:szCs w:val="20"/>
          <w:lang w:bidi="fa-IR"/>
        </w:rPr>
        <w:t xml:space="preserve"> Effect of foliar application of different concentrations of nitrogen and various amino acids includes Arginine, Ornithine and Aspartic acid and an equal concentration of combination of amino acids on total phenolic content (TPC), flavonoid (TFC) and antioxidant activity (DPPH and FRAP) of BT variety of </w:t>
      </w:r>
      <w:r w:rsidRPr="00D0415B">
        <w:rPr>
          <w:rFonts w:asciiTheme="majorBidi" w:eastAsia="Times New Roman" w:hAnsiTheme="majorBidi" w:cstheme="majorBidi"/>
          <w:i/>
          <w:iCs/>
          <w:sz w:val="20"/>
          <w:szCs w:val="20"/>
          <w:lang w:bidi="fa-IR"/>
        </w:rPr>
        <w:t xml:space="preserve">N. </w:t>
      </w:r>
      <w:proofErr w:type="spellStart"/>
      <w:r w:rsidRPr="00D0415B">
        <w:rPr>
          <w:rFonts w:asciiTheme="majorBidi" w:eastAsia="Times New Roman" w:hAnsiTheme="majorBidi" w:cstheme="majorBidi"/>
          <w:i/>
          <w:iCs/>
          <w:sz w:val="20"/>
          <w:szCs w:val="20"/>
          <w:lang w:bidi="fa-IR"/>
        </w:rPr>
        <w:t>tabacum</w:t>
      </w:r>
      <w:proofErr w:type="spellEnd"/>
      <w:r w:rsidRPr="00D0415B">
        <w:rPr>
          <w:rFonts w:asciiTheme="majorBidi" w:eastAsia="Times New Roman" w:hAnsiTheme="majorBidi" w:cstheme="majorBidi"/>
          <w:sz w:val="20"/>
          <w:szCs w:val="20"/>
          <w:lang w:bidi="fa-IR"/>
        </w:rPr>
        <w:t>.</w:t>
      </w:r>
    </w:p>
    <w:tbl>
      <w:tblPr>
        <w:tblW w:w="10580" w:type="dxa"/>
        <w:tblInd w:w="-426" w:type="dxa"/>
        <w:tblLook w:val="04A0" w:firstRow="1" w:lastRow="0" w:firstColumn="1" w:lastColumn="0" w:noHBand="0" w:noVBand="1"/>
      </w:tblPr>
      <w:tblGrid>
        <w:gridCol w:w="951"/>
        <w:gridCol w:w="1359"/>
        <w:gridCol w:w="1640"/>
        <w:gridCol w:w="1870"/>
        <w:gridCol w:w="1567"/>
        <w:gridCol w:w="1642"/>
        <w:gridCol w:w="1551"/>
      </w:tblGrid>
      <w:tr w:rsidR="00873563" w:rsidRPr="00D0415B" w14:paraId="38FBD813" w14:textId="77777777" w:rsidTr="000A0088">
        <w:trPr>
          <w:trHeight w:val="214"/>
        </w:trPr>
        <w:tc>
          <w:tcPr>
            <w:tcW w:w="951" w:type="dxa"/>
            <w:tcBorders>
              <w:top w:val="single" w:sz="4" w:space="0" w:color="auto"/>
              <w:left w:val="nil"/>
              <w:bottom w:val="single" w:sz="4" w:space="0" w:color="auto"/>
              <w:right w:val="nil"/>
            </w:tcBorders>
            <w:shd w:val="clear" w:color="auto" w:fill="auto"/>
            <w:noWrap/>
            <w:vAlign w:val="center"/>
            <w:hideMark/>
          </w:tcPr>
          <w:p w14:paraId="7783B7A0"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Variety</w:t>
            </w:r>
          </w:p>
        </w:tc>
        <w:tc>
          <w:tcPr>
            <w:tcW w:w="1359" w:type="dxa"/>
            <w:tcBorders>
              <w:top w:val="single" w:sz="4" w:space="0" w:color="auto"/>
              <w:left w:val="nil"/>
              <w:bottom w:val="single" w:sz="4" w:space="0" w:color="auto"/>
              <w:right w:val="nil"/>
            </w:tcBorders>
            <w:vAlign w:val="center"/>
          </w:tcPr>
          <w:p w14:paraId="132859FB"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Year</w:t>
            </w:r>
          </w:p>
        </w:tc>
        <w:tc>
          <w:tcPr>
            <w:tcW w:w="1640" w:type="dxa"/>
            <w:tcBorders>
              <w:top w:val="single" w:sz="4" w:space="0" w:color="auto"/>
              <w:left w:val="nil"/>
              <w:bottom w:val="single" w:sz="4" w:space="0" w:color="auto"/>
              <w:right w:val="nil"/>
            </w:tcBorders>
            <w:shd w:val="clear" w:color="auto" w:fill="auto"/>
            <w:noWrap/>
            <w:vAlign w:val="center"/>
            <w:hideMark/>
          </w:tcPr>
          <w:p w14:paraId="0E10B88B"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Treatments</w:t>
            </w:r>
          </w:p>
        </w:tc>
        <w:tc>
          <w:tcPr>
            <w:tcW w:w="1870" w:type="dxa"/>
            <w:tcBorders>
              <w:top w:val="single" w:sz="4" w:space="0" w:color="auto"/>
              <w:left w:val="nil"/>
              <w:bottom w:val="single" w:sz="4" w:space="0" w:color="auto"/>
              <w:right w:val="nil"/>
            </w:tcBorders>
            <w:shd w:val="clear" w:color="auto" w:fill="auto"/>
            <w:noWrap/>
            <w:vAlign w:val="center"/>
            <w:hideMark/>
          </w:tcPr>
          <w:p w14:paraId="3284757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TPC</w:t>
            </w:r>
          </w:p>
          <w:p w14:paraId="1E9BA00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GAE/g DW)</w:t>
            </w:r>
          </w:p>
        </w:tc>
        <w:tc>
          <w:tcPr>
            <w:tcW w:w="1567" w:type="dxa"/>
            <w:tcBorders>
              <w:top w:val="single" w:sz="4" w:space="0" w:color="auto"/>
              <w:left w:val="nil"/>
              <w:bottom w:val="single" w:sz="4" w:space="0" w:color="auto"/>
              <w:right w:val="nil"/>
            </w:tcBorders>
            <w:shd w:val="clear" w:color="auto" w:fill="auto"/>
            <w:noWrap/>
            <w:vAlign w:val="center"/>
            <w:hideMark/>
          </w:tcPr>
          <w:p w14:paraId="535672F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TFC</w:t>
            </w:r>
          </w:p>
          <w:p w14:paraId="36868DA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QE/g DW)</w:t>
            </w:r>
          </w:p>
        </w:tc>
        <w:tc>
          <w:tcPr>
            <w:tcW w:w="1642" w:type="dxa"/>
            <w:tcBorders>
              <w:top w:val="single" w:sz="4" w:space="0" w:color="auto"/>
              <w:left w:val="nil"/>
              <w:bottom w:val="single" w:sz="4" w:space="0" w:color="auto"/>
              <w:right w:val="nil"/>
            </w:tcBorders>
            <w:shd w:val="clear" w:color="auto" w:fill="auto"/>
            <w:noWrap/>
            <w:vAlign w:val="center"/>
            <w:hideMark/>
          </w:tcPr>
          <w:p w14:paraId="62F54AE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DPPH</w:t>
            </w:r>
          </w:p>
          <w:p w14:paraId="7746ACA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(IC</w:t>
            </w:r>
            <w:r w:rsidRPr="00D0415B">
              <w:rPr>
                <w:rFonts w:ascii="Times New Roman" w:eastAsia="Times New Roman" w:hAnsi="Times New Roman" w:cs="Times New Roman"/>
                <w:color w:val="000000"/>
                <w:sz w:val="16"/>
                <w:szCs w:val="16"/>
                <w:vertAlign w:val="subscript"/>
              </w:rPr>
              <w:t xml:space="preserve">50 </w:t>
            </w:r>
            <w:proofErr w:type="spellStart"/>
            <w:r w:rsidRPr="00D0415B">
              <w:rPr>
                <w:rFonts w:ascii="Times New Roman" w:eastAsia="Times New Roman" w:hAnsi="Times New Roman" w:cs="Times New Roman"/>
                <w:color w:val="000000"/>
                <w:sz w:val="16"/>
                <w:szCs w:val="16"/>
              </w:rPr>
              <w:t>μg</w:t>
            </w:r>
            <w:proofErr w:type="spellEnd"/>
            <w:r w:rsidRPr="00D0415B">
              <w:rPr>
                <w:rFonts w:ascii="Times New Roman" w:eastAsia="Times New Roman" w:hAnsi="Times New Roman" w:cs="Times New Roman"/>
                <w:color w:val="000000"/>
                <w:sz w:val="16"/>
                <w:szCs w:val="16"/>
              </w:rPr>
              <w:t>/ml)</w:t>
            </w:r>
          </w:p>
        </w:tc>
        <w:tc>
          <w:tcPr>
            <w:tcW w:w="1551" w:type="dxa"/>
            <w:tcBorders>
              <w:top w:val="single" w:sz="4" w:space="0" w:color="auto"/>
              <w:left w:val="nil"/>
              <w:bottom w:val="single" w:sz="4" w:space="0" w:color="auto"/>
              <w:right w:val="nil"/>
            </w:tcBorders>
            <w:shd w:val="clear" w:color="auto" w:fill="auto"/>
            <w:noWrap/>
            <w:vAlign w:val="center"/>
            <w:hideMark/>
          </w:tcPr>
          <w:p w14:paraId="6D5B23E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FRAP</w:t>
            </w:r>
          </w:p>
          <w:p w14:paraId="5C7CC0C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Fe</w:t>
            </w:r>
            <w:r w:rsidRPr="00D0415B">
              <w:rPr>
                <w:rFonts w:ascii="Times New Roman" w:eastAsia="Times New Roman" w:hAnsi="Times New Roman" w:cs="Times New Roman"/>
                <w:color w:val="000000"/>
                <w:sz w:val="16"/>
                <w:szCs w:val="16"/>
                <w:vertAlign w:val="superscript"/>
              </w:rPr>
              <w:t>2⁺</w:t>
            </w:r>
            <w:r w:rsidRPr="00D0415B">
              <w:rPr>
                <w:rFonts w:ascii="Times New Roman" w:eastAsia="Times New Roman" w:hAnsi="Times New Roman" w:cs="Times New Roman"/>
                <w:color w:val="000000"/>
                <w:sz w:val="16"/>
                <w:szCs w:val="16"/>
              </w:rPr>
              <w:t>/g DW)</w:t>
            </w:r>
          </w:p>
        </w:tc>
      </w:tr>
      <w:tr w:rsidR="00873563" w:rsidRPr="00D0415B" w14:paraId="68CBB54C" w14:textId="77777777" w:rsidTr="000A0088">
        <w:trPr>
          <w:trHeight w:val="214"/>
        </w:trPr>
        <w:tc>
          <w:tcPr>
            <w:tcW w:w="951" w:type="dxa"/>
            <w:tcBorders>
              <w:top w:val="single" w:sz="4" w:space="0" w:color="auto"/>
              <w:left w:val="nil"/>
              <w:bottom w:val="nil"/>
              <w:right w:val="nil"/>
            </w:tcBorders>
            <w:shd w:val="clear" w:color="auto" w:fill="auto"/>
            <w:noWrap/>
            <w:vAlign w:val="center"/>
            <w:hideMark/>
          </w:tcPr>
          <w:p w14:paraId="309D259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single" w:sz="4" w:space="0" w:color="auto"/>
              <w:left w:val="nil"/>
              <w:bottom w:val="nil"/>
              <w:right w:val="nil"/>
            </w:tcBorders>
          </w:tcPr>
          <w:p w14:paraId="17B7359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single" w:sz="4" w:space="0" w:color="auto"/>
              <w:left w:val="nil"/>
              <w:bottom w:val="nil"/>
              <w:right w:val="nil"/>
            </w:tcBorders>
            <w:shd w:val="clear" w:color="auto" w:fill="auto"/>
            <w:noWrap/>
            <w:vAlign w:val="center"/>
            <w:hideMark/>
          </w:tcPr>
          <w:p w14:paraId="6A90D79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870" w:type="dxa"/>
            <w:tcBorders>
              <w:top w:val="single" w:sz="4" w:space="0" w:color="auto"/>
              <w:left w:val="nil"/>
              <w:bottom w:val="nil"/>
              <w:right w:val="nil"/>
            </w:tcBorders>
            <w:shd w:val="clear" w:color="auto" w:fill="auto"/>
            <w:noWrap/>
            <w:vAlign w:val="center"/>
            <w:hideMark/>
          </w:tcPr>
          <w:p w14:paraId="51ABE35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9.0</w:t>
            </w:r>
            <w:r w:rsidRPr="00D0415B">
              <w:rPr>
                <w:rFonts w:ascii="Times New Roman" w:eastAsia="Times New Roman" w:hAnsi="Times New Roman" w:cs="Times New Roman"/>
                <w:color w:val="000000"/>
                <w:sz w:val="16"/>
                <w:szCs w:val="16"/>
                <w:vertAlign w:val="superscript"/>
              </w:rPr>
              <w:t>c</w:t>
            </w:r>
          </w:p>
        </w:tc>
        <w:tc>
          <w:tcPr>
            <w:tcW w:w="1567" w:type="dxa"/>
            <w:tcBorders>
              <w:top w:val="single" w:sz="4" w:space="0" w:color="auto"/>
              <w:left w:val="nil"/>
              <w:bottom w:val="nil"/>
              <w:right w:val="nil"/>
            </w:tcBorders>
            <w:shd w:val="clear" w:color="auto" w:fill="auto"/>
            <w:noWrap/>
            <w:vAlign w:val="center"/>
            <w:hideMark/>
          </w:tcPr>
          <w:p w14:paraId="4A3C995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8.3</w:t>
            </w:r>
            <w:r w:rsidRPr="00D0415B">
              <w:rPr>
                <w:rFonts w:ascii="Times New Roman" w:eastAsia="Times New Roman" w:hAnsi="Times New Roman" w:cs="Times New Roman"/>
                <w:color w:val="000000"/>
                <w:sz w:val="16"/>
                <w:szCs w:val="16"/>
                <w:vertAlign w:val="superscript"/>
              </w:rPr>
              <w:t>c</w:t>
            </w:r>
          </w:p>
        </w:tc>
        <w:tc>
          <w:tcPr>
            <w:tcW w:w="1642" w:type="dxa"/>
            <w:tcBorders>
              <w:top w:val="single" w:sz="4" w:space="0" w:color="auto"/>
              <w:left w:val="nil"/>
              <w:bottom w:val="nil"/>
              <w:right w:val="nil"/>
            </w:tcBorders>
            <w:shd w:val="clear" w:color="auto" w:fill="auto"/>
            <w:noWrap/>
            <w:vAlign w:val="center"/>
            <w:hideMark/>
          </w:tcPr>
          <w:p w14:paraId="11D4065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53.1</w:t>
            </w:r>
            <w:r w:rsidRPr="00D0415B">
              <w:rPr>
                <w:rFonts w:ascii="Times New Roman" w:eastAsia="Times New Roman" w:hAnsi="Times New Roman" w:cs="Times New Roman"/>
                <w:color w:val="000000"/>
                <w:sz w:val="16"/>
                <w:szCs w:val="16"/>
                <w:vertAlign w:val="superscript"/>
              </w:rPr>
              <w:t>d</w:t>
            </w:r>
          </w:p>
        </w:tc>
        <w:tc>
          <w:tcPr>
            <w:tcW w:w="1551" w:type="dxa"/>
            <w:tcBorders>
              <w:top w:val="single" w:sz="4" w:space="0" w:color="auto"/>
              <w:left w:val="nil"/>
              <w:bottom w:val="nil"/>
              <w:right w:val="nil"/>
            </w:tcBorders>
            <w:shd w:val="clear" w:color="auto" w:fill="auto"/>
            <w:noWrap/>
            <w:vAlign w:val="center"/>
            <w:hideMark/>
          </w:tcPr>
          <w:p w14:paraId="0E04CA2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28.1</w:t>
            </w:r>
            <w:r w:rsidRPr="00D0415B">
              <w:rPr>
                <w:rFonts w:ascii="Times New Roman" w:eastAsia="Times New Roman" w:hAnsi="Times New Roman" w:cs="Times New Roman"/>
                <w:color w:val="000000"/>
                <w:sz w:val="16"/>
                <w:szCs w:val="16"/>
                <w:vertAlign w:val="superscript"/>
              </w:rPr>
              <w:t>c</w:t>
            </w:r>
          </w:p>
        </w:tc>
      </w:tr>
      <w:tr w:rsidR="00873563" w:rsidRPr="00D0415B" w14:paraId="6F486939" w14:textId="77777777" w:rsidTr="000A0088">
        <w:trPr>
          <w:trHeight w:val="214"/>
        </w:trPr>
        <w:tc>
          <w:tcPr>
            <w:tcW w:w="951" w:type="dxa"/>
            <w:tcBorders>
              <w:top w:val="nil"/>
              <w:left w:val="nil"/>
              <w:bottom w:val="nil"/>
              <w:right w:val="nil"/>
            </w:tcBorders>
            <w:shd w:val="clear" w:color="auto" w:fill="auto"/>
            <w:noWrap/>
            <w:vAlign w:val="center"/>
            <w:hideMark/>
          </w:tcPr>
          <w:p w14:paraId="69F705D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44A8E6A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hideMark/>
          </w:tcPr>
          <w:p w14:paraId="1EA52F5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870" w:type="dxa"/>
            <w:tcBorders>
              <w:top w:val="nil"/>
              <w:left w:val="nil"/>
              <w:bottom w:val="nil"/>
              <w:right w:val="nil"/>
            </w:tcBorders>
            <w:shd w:val="clear" w:color="auto" w:fill="auto"/>
            <w:noWrap/>
            <w:vAlign w:val="center"/>
            <w:hideMark/>
          </w:tcPr>
          <w:p w14:paraId="42160FE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7.2</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636D991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6.4</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hideMark/>
          </w:tcPr>
          <w:p w14:paraId="7E97D93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64.7</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2274A0C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26.1</w:t>
            </w:r>
            <w:r w:rsidRPr="00D0415B">
              <w:rPr>
                <w:rFonts w:ascii="Times New Roman" w:eastAsia="Times New Roman" w:hAnsi="Times New Roman" w:cs="Times New Roman"/>
                <w:color w:val="000000"/>
                <w:sz w:val="16"/>
                <w:szCs w:val="16"/>
                <w:vertAlign w:val="superscript"/>
              </w:rPr>
              <w:t>d</w:t>
            </w:r>
          </w:p>
        </w:tc>
      </w:tr>
      <w:tr w:rsidR="00873563" w:rsidRPr="00D0415B" w14:paraId="440D50DA" w14:textId="77777777" w:rsidTr="000A0088">
        <w:trPr>
          <w:trHeight w:val="214"/>
        </w:trPr>
        <w:tc>
          <w:tcPr>
            <w:tcW w:w="951" w:type="dxa"/>
            <w:tcBorders>
              <w:top w:val="nil"/>
              <w:left w:val="nil"/>
              <w:bottom w:val="nil"/>
              <w:right w:val="nil"/>
            </w:tcBorders>
            <w:shd w:val="clear" w:color="auto" w:fill="auto"/>
            <w:noWrap/>
            <w:vAlign w:val="center"/>
            <w:hideMark/>
          </w:tcPr>
          <w:p w14:paraId="47F9B0B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50FDEE0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hideMark/>
          </w:tcPr>
          <w:p w14:paraId="38A1FC5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870" w:type="dxa"/>
            <w:tcBorders>
              <w:top w:val="nil"/>
              <w:left w:val="nil"/>
              <w:bottom w:val="nil"/>
              <w:right w:val="nil"/>
            </w:tcBorders>
            <w:shd w:val="clear" w:color="auto" w:fill="auto"/>
            <w:noWrap/>
            <w:vAlign w:val="center"/>
            <w:hideMark/>
          </w:tcPr>
          <w:p w14:paraId="395AF92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7.1</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72158C6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5.8</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hideMark/>
          </w:tcPr>
          <w:p w14:paraId="3FB77A6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68.1</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7CE04D9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26.0</w:t>
            </w:r>
            <w:r w:rsidRPr="00D0415B">
              <w:rPr>
                <w:rFonts w:ascii="Times New Roman" w:eastAsia="Times New Roman" w:hAnsi="Times New Roman" w:cs="Times New Roman"/>
                <w:color w:val="000000"/>
                <w:sz w:val="16"/>
                <w:szCs w:val="16"/>
                <w:vertAlign w:val="superscript"/>
              </w:rPr>
              <w:t>d</w:t>
            </w:r>
          </w:p>
        </w:tc>
      </w:tr>
      <w:tr w:rsidR="00873563" w:rsidRPr="00D0415B" w14:paraId="3062A93A" w14:textId="77777777" w:rsidTr="000A0088">
        <w:trPr>
          <w:trHeight w:val="214"/>
        </w:trPr>
        <w:tc>
          <w:tcPr>
            <w:tcW w:w="951" w:type="dxa"/>
            <w:tcBorders>
              <w:top w:val="nil"/>
              <w:left w:val="nil"/>
              <w:bottom w:val="nil"/>
              <w:right w:val="nil"/>
            </w:tcBorders>
            <w:shd w:val="clear" w:color="auto" w:fill="auto"/>
            <w:noWrap/>
            <w:vAlign w:val="center"/>
          </w:tcPr>
          <w:p w14:paraId="4DE3A19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30BC363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3F78B39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870" w:type="dxa"/>
            <w:tcBorders>
              <w:top w:val="nil"/>
              <w:left w:val="nil"/>
              <w:bottom w:val="nil"/>
              <w:right w:val="nil"/>
            </w:tcBorders>
            <w:shd w:val="clear" w:color="auto" w:fill="auto"/>
            <w:noWrap/>
            <w:vAlign w:val="center"/>
          </w:tcPr>
          <w:p w14:paraId="148DCED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5.5</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tcPr>
          <w:p w14:paraId="1F44F00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5.6</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tcPr>
          <w:p w14:paraId="32B9729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73.3</w:t>
            </w:r>
            <w:r w:rsidRPr="00D0415B">
              <w:rPr>
                <w:rFonts w:ascii="Times New Roman" w:eastAsia="Times New Roman" w:hAnsi="Times New Roman" w:cs="Times New Roman"/>
                <w:color w:val="000000"/>
                <w:sz w:val="16"/>
                <w:szCs w:val="16"/>
                <w:vertAlign w:val="superscript"/>
              </w:rPr>
              <w:t>f</w:t>
            </w:r>
          </w:p>
        </w:tc>
        <w:tc>
          <w:tcPr>
            <w:tcW w:w="1551" w:type="dxa"/>
            <w:tcBorders>
              <w:top w:val="nil"/>
              <w:left w:val="nil"/>
              <w:bottom w:val="nil"/>
              <w:right w:val="nil"/>
            </w:tcBorders>
            <w:shd w:val="clear" w:color="auto" w:fill="auto"/>
            <w:noWrap/>
            <w:vAlign w:val="center"/>
          </w:tcPr>
          <w:p w14:paraId="0F6F001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23.1</w:t>
            </w:r>
            <w:r w:rsidRPr="00D0415B">
              <w:rPr>
                <w:rFonts w:ascii="Times New Roman" w:eastAsia="Times New Roman" w:hAnsi="Times New Roman" w:cs="Times New Roman"/>
                <w:color w:val="000000"/>
                <w:sz w:val="16"/>
                <w:szCs w:val="16"/>
                <w:vertAlign w:val="superscript"/>
              </w:rPr>
              <w:t>d</w:t>
            </w:r>
          </w:p>
        </w:tc>
      </w:tr>
      <w:tr w:rsidR="00873563" w:rsidRPr="00D0415B" w14:paraId="32EB3D56" w14:textId="77777777" w:rsidTr="000A0088">
        <w:trPr>
          <w:trHeight w:val="214"/>
        </w:trPr>
        <w:tc>
          <w:tcPr>
            <w:tcW w:w="951" w:type="dxa"/>
            <w:tcBorders>
              <w:top w:val="nil"/>
              <w:left w:val="nil"/>
              <w:bottom w:val="nil"/>
              <w:right w:val="nil"/>
            </w:tcBorders>
            <w:shd w:val="clear" w:color="auto" w:fill="auto"/>
            <w:noWrap/>
            <w:vAlign w:val="center"/>
          </w:tcPr>
          <w:p w14:paraId="5402E51E"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0E1CA1F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7B7D5F8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870" w:type="dxa"/>
            <w:tcBorders>
              <w:top w:val="nil"/>
              <w:left w:val="nil"/>
              <w:bottom w:val="nil"/>
              <w:right w:val="nil"/>
            </w:tcBorders>
            <w:shd w:val="clear" w:color="auto" w:fill="auto"/>
            <w:noWrap/>
            <w:vAlign w:val="center"/>
          </w:tcPr>
          <w:p w14:paraId="13C7D5F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4.6</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tcPr>
          <w:p w14:paraId="7467C5C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4.5</w:t>
            </w:r>
            <w:r w:rsidRPr="00D0415B">
              <w:rPr>
                <w:rFonts w:ascii="Times New Roman" w:eastAsia="Times New Roman" w:hAnsi="Times New Roman" w:cs="Times New Roman"/>
                <w:color w:val="000000"/>
                <w:sz w:val="16"/>
                <w:szCs w:val="16"/>
                <w:vertAlign w:val="superscript"/>
              </w:rPr>
              <w:t>d</w:t>
            </w:r>
          </w:p>
        </w:tc>
        <w:tc>
          <w:tcPr>
            <w:tcW w:w="1642" w:type="dxa"/>
            <w:tcBorders>
              <w:top w:val="nil"/>
              <w:left w:val="nil"/>
              <w:bottom w:val="nil"/>
              <w:right w:val="nil"/>
            </w:tcBorders>
            <w:shd w:val="clear" w:color="auto" w:fill="auto"/>
            <w:noWrap/>
            <w:vAlign w:val="center"/>
          </w:tcPr>
          <w:p w14:paraId="4C1B892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87.5</w:t>
            </w:r>
            <w:r w:rsidRPr="00D0415B">
              <w:rPr>
                <w:rFonts w:ascii="Times New Roman" w:eastAsia="Times New Roman" w:hAnsi="Times New Roman" w:cs="Times New Roman"/>
                <w:color w:val="000000"/>
                <w:sz w:val="16"/>
                <w:szCs w:val="16"/>
                <w:vertAlign w:val="superscript"/>
              </w:rPr>
              <w:t>g</w:t>
            </w:r>
          </w:p>
        </w:tc>
        <w:tc>
          <w:tcPr>
            <w:tcW w:w="1551" w:type="dxa"/>
            <w:tcBorders>
              <w:top w:val="nil"/>
              <w:left w:val="nil"/>
              <w:bottom w:val="nil"/>
              <w:right w:val="nil"/>
            </w:tcBorders>
            <w:shd w:val="clear" w:color="auto" w:fill="auto"/>
            <w:noWrap/>
            <w:vAlign w:val="center"/>
          </w:tcPr>
          <w:p w14:paraId="576AAFE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18.9</w:t>
            </w:r>
            <w:r w:rsidRPr="00D0415B">
              <w:rPr>
                <w:rFonts w:ascii="Times New Roman" w:eastAsia="Times New Roman" w:hAnsi="Times New Roman" w:cs="Times New Roman"/>
                <w:color w:val="000000"/>
                <w:sz w:val="16"/>
                <w:szCs w:val="16"/>
                <w:vertAlign w:val="superscript"/>
              </w:rPr>
              <w:t>e</w:t>
            </w:r>
          </w:p>
        </w:tc>
      </w:tr>
      <w:tr w:rsidR="00873563" w:rsidRPr="00D0415B" w14:paraId="43F4F956" w14:textId="77777777" w:rsidTr="000A0088">
        <w:trPr>
          <w:trHeight w:val="214"/>
        </w:trPr>
        <w:tc>
          <w:tcPr>
            <w:tcW w:w="951" w:type="dxa"/>
            <w:tcBorders>
              <w:top w:val="nil"/>
              <w:left w:val="nil"/>
              <w:bottom w:val="nil"/>
              <w:right w:val="nil"/>
            </w:tcBorders>
            <w:shd w:val="clear" w:color="auto" w:fill="auto"/>
            <w:noWrap/>
            <w:vAlign w:val="center"/>
          </w:tcPr>
          <w:p w14:paraId="059CCED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6BB86D6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1D497A4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870" w:type="dxa"/>
            <w:tcBorders>
              <w:top w:val="nil"/>
              <w:left w:val="nil"/>
              <w:bottom w:val="nil"/>
              <w:right w:val="nil"/>
            </w:tcBorders>
            <w:shd w:val="clear" w:color="auto" w:fill="auto"/>
            <w:noWrap/>
            <w:vAlign w:val="center"/>
          </w:tcPr>
          <w:p w14:paraId="26E4033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145CAC5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10.2</w:t>
            </w:r>
            <w:r w:rsidRPr="00D0415B">
              <w:rPr>
                <w:rFonts w:ascii="Times New Roman" w:eastAsia="Times New Roman" w:hAnsi="Times New Roman" w:cs="Times New Roman"/>
                <w:color w:val="000000"/>
                <w:sz w:val="16"/>
                <w:szCs w:val="16"/>
                <w:vertAlign w:val="superscript"/>
              </w:rPr>
              <w:t>b</w:t>
            </w:r>
          </w:p>
        </w:tc>
        <w:tc>
          <w:tcPr>
            <w:tcW w:w="1642" w:type="dxa"/>
            <w:tcBorders>
              <w:top w:val="nil"/>
              <w:left w:val="nil"/>
              <w:bottom w:val="nil"/>
              <w:right w:val="nil"/>
            </w:tcBorders>
            <w:shd w:val="clear" w:color="auto" w:fill="auto"/>
            <w:noWrap/>
            <w:vAlign w:val="center"/>
          </w:tcPr>
          <w:p w14:paraId="424BC75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48.0</w:t>
            </w:r>
            <w:r w:rsidRPr="00D0415B">
              <w:rPr>
                <w:rFonts w:ascii="Times New Roman" w:eastAsia="Times New Roman" w:hAnsi="Times New Roman" w:cs="Times New Roman"/>
                <w:color w:val="000000"/>
                <w:sz w:val="16"/>
                <w:szCs w:val="16"/>
                <w:vertAlign w:val="superscript"/>
              </w:rPr>
              <w:t>c</w:t>
            </w:r>
          </w:p>
        </w:tc>
        <w:tc>
          <w:tcPr>
            <w:tcW w:w="1551" w:type="dxa"/>
            <w:tcBorders>
              <w:top w:val="nil"/>
              <w:left w:val="nil"/>
              <w:bottom w:val="nil"/>
              <w:right w:val="nil"/>
            </w:tcBorders>
            <w:shd w:val="clear" w:color="auto" w:fill="auto"/>
            <w:noWrap/>
            <w:vAlign w:val="center"/>
          </w:tcPr>
          <w:p w14:paraId="702B309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32.0</w:t>
            </w:r>
            <w:r w:rsidRPr="00D0415B">
              <w:rPr>
                <w:rFonts w:ascii="Times New Roman" w:eastAsia="Times New Roman" w:hAnsi="Times New Roman" w:cs="Times New Roman"/>
                <w:color w:val="000000"/>
                <w:sz w:val="16"/>
                <w:szCs w:val="16"/>
                <w:vertAlign w:val="superscript"/>
              </w:rPr>
              <w:t>c</w:t>
            </w:r>
          </w:p>
        </w:tc>
      </w:tr>
      <w:tr w:rsidR="00873563" w:rsidRPr="00D0415B" w14:paraId="2823890D" w14:textId="77777777" w:rsidTr="000A0088">
        <w:trPr>
          <w:trHeight w:val="214"/>
        </w:trPr>
        <w:tc>
          <w:tcPr>
            <w:tcW w:w="951" w:type="dxa"/>
            <w:tcBorders>
              <w:top w:val="nil"/>
              <w:left w:val="nil"/>
              <w:bottom w:val="nil"/>
              <w:right w:val="nil"/>
            </w:tcBorders>
            <w:shd w:val="clear" w:color="auto" w:fill="auto"/>
            <w:noWrap/>
            <w:vAlign w:val="center"/>
          </w:tcPr>
          <w:p w14:paraId="280E2D4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42EC299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7903E75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870" w:type="dxa"/>
            <w:tcBorders>
              <w:top w:val="nil"/>
              <w:left w:val="nil"/>
              <w:bottom w:val="nil"/>
              <w:right w:val="nil"/>
            </w:tcBorders>
            <w:shd w:val="clear" w:color="auto" w:fill="auto"/>
            <w:noWrap/>
            <w:vAlign w:val="center"/>
          </w:tcPr>
          <w:p w14:paraId="25CF910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11.8</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26FBCD3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10.2</w:t>
            </w:r>
            <w:r w:rsidRPr="00D0415B">
              <w:rPr>
                <w:rFonts w:ascii="Times New Roman" w:eastAsia="Times New Roman" w:hAnsi="Times New Roman" w:cs="Times New Roman"/>
                <w:color w:val="000000"/>
                <w:sz w:val="16"/>
                <w:szCs w:val="16"/>
                <w:vertAlign w:val="superscript"/>
              </w:rPr>
              <w:t>b</w:t>
            </w:r>
          </w:p>
        </w:tc>
        <w:tc>
          <w:tcPr>
            <w:tcW w:w="1642" w:type="dxa"/>
            <w:tcBorders>
              <w:top w:val="nil"/>
              <w:left w:val="nil"/>
              <w:bottom w:val="nil"/>
              <w:right w:val="nil"/>
            </w:tcBorders>
            <w:shd w:val="clear" w:color="auto" w:fill="auto"/>
            <w:noWrap/>
            <w:vAlign w:val="center"/>
          </w:tcPr>
          <w:p w14:paraId="24FD047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42.5</w:t>
            </w:r>
            <w:r w:rsidRPr="00D0415B">
              <w:rPr>
                <w:rFonts w:ascii="Times New Roman" w:eastAsia="Times New Roman" w:hAnsi="Times New Roman" w:cs="Times New Roman"/>
                <w:color w:val="000000"/>
                <w:sz w:val="16"/>
                <w:szCs w:val="16"/>
                <w:vertAlign w:val="superscript"/>
              </w:rPr>
              <w:t>c</w:t>
            </w:r>
          </w:p>
        </w:tc>
        <w:tc>
          <w:tcPr>
            <w:tcW w:w="1551" w:type="dxa"/>
            <w:tcBorders>
              <w:top w:val="nil"/>
              <w:left w:val="nil"/>
              <w:bottom w:val="nil"/>
              <w:right w:val="nil"/>
            </w:tcBorders>
            <w:shd w:val="clear" w:color="auto" w:fill="auto"/>
            <w:noWrap/>
            <w:vAlign w:val="center"/>
          </w:tcPr>
          <w:p w14:paraId="199FF26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35.0</w:t>
            </w:r>
            <w:r w:rsidRPr="00D0415B">
              <w:rPr>
                <w:rFonts w:ascii="Times New Roman" w:eastAsia="Times New Roman" w:hAnsi="Times New Roman" w:cs="Times New Roman"/>
                <w:color w:val="000000"/>
                <w:sz w:val="16"/>
                <w:szCs w:val="16"/>
                <w:vertAlign w:val="superscript"/>
              </w:rPr>
              <w:t>c</w:t>
            </w:r>
          </w:p>
        </w:tc>
      </w:tr>
      <w:tr w:rsidR="00873563" w:rsidRPr="00D0415B" w14:paraId="25F26F27" w14:textId="77777777" w:rsidTr="000A0088">
        <w:trPr>
          <w:trHeight w:val="214"/>
        </w:trPr>
        <w:tc>
          <w:tcPr>
            <w:tcW w:w="951" w:type="dxa"/>
            <w:tcBorders>
              <w:top w:val="nil"/>
              <w:left w:val="nil"/>
              <w:bottom w:val="nil"/>
              <w:right w:val="nil"/>
            </w:tcBorders>
            <w:shd w:val="clear" w:color="auto" w:fill="auto"/>
            <w:noWrap/>
            <w:vAlign w:val="center"/>
          </w:tcPr>
          <w:p w14:paraId="764D889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177D228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36A1843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870" w:type="dxa"/>
            <w:tcBorders>
              <w:top w:val="nil"/>
              <w:left w:val="nil"/>
              <w:bottom w:val="nil"/>
              <w:right w:val="nil"/>
            </w:tcBorders>
            <w:shd w:val="clear" w:color="auto" w:fill="auto"/>
            <w:noWrap/>
            <w:vAlign w:val="center"/>
          </w:tcPr>
          <w:p w14:paraId="6D59BAD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12.4</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2660F4C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11.4</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709ABB0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39.1</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7B05BB6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38.0</w:t>
            </w:r>
            <w:r w:rsidRPr="00D0415B">
              <w:rPr>
                <w:rFonts w:ascii="Times New Roman" w:eastAsia="Times New Roman" w:hAnsi="Times New Roman" w:cs="Times New Roman"/>
                <w:color w:val="000000"/>
                <w:sz w:val="16"/>
                <w:szCs w:val="16"/>
                <w:vertAlign w:val="superscript"/>
              </w:rPr>
              <w:t>b</w:t>
            </w:r>
          </w:p>
        </w:tc>
      </w:tr>
      <w:tr w:rsidR="00873563" w:rsidRPr="00D0415B" w14:paraId="6D81397B" w14:textId="77777777" w:rsidTr="000A0088">
        <w:trPr>
          <w:trHeight w:val="214"/>
        </w:trPr>
        <w:tc>
          <w:tcPr>
            <w:tcW w:w="951" w:type="dxa"/>
            <w:tcBorders>
              <w:top w:val="nil"/>
              <w:left w:val="nil"/>
              <w:bottom w:val="nil"/>
              <w:right w:val="nil"/>
            </w:tcBorders>
            <w:shd w:val="clear" w:color="auto" w:fill="auto"/>
            <w:noWrap/>
            <w:vAlign w:val="center"/>
          </w:tcPr>
          <w:p w14:paraId="609EE8D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4B57200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68746E8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870" w:type="dxa"/>
            <w:tcBorders>
              <w:top w:val="nil"/>
              <w:left w:val="nil"/>
              <w:bottom w:val="nil"/>
              <w:right w:val="nil"/>
            </w:tcBorders>
            <w:shd w:val="clear" w:color="auto" w:fill="auto"/>
            <w:noWrap/>
            <w:vAlign w:val="center"/>
          </w:tcPr>
          <w:p w14:paraId="55C2186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13.0</w:t>
            </w:r>
            <w:r w:rsidRPr="00D0415B">
              <w:rPr>
                <w:rFonts w:ascii="Times New Roman" w:eastAsia="Times New Roman" w:hAnsi="Times New Roman" w:cs="Times New Roman"/>
                <w:color w:val="000000"/>
                <w:sz w:val="16"/>
                <w:szCs w:val="16"/>
                <w:vertAlign w:val="superscript"/>
              </w:rPr>
              <w:t>ab</w:t>
            </w:r>
          </w:p>
        </w:tc>
        <w:tc>
          <w:tcPr>
            <w:tcW w:w="1567" w:type="dxa"/>
            <w:tcBorders>
              <w:top w:val="nil"/>
              <w:left w:val="nil"/>
              <w:bottom w:val="nil"/>
              <w:right w:val="nil"/>
            </w:tcBorders>
            <w:shd w:val="clear" w:color="auto" w:fill="auto"/>
            <w:noWrap/>
            <w:vAlign w:val="center"/>
          </w:tcPr>
          <w:p w14:paraId="122EE09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11.4</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2B6ACB0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39.0</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3AFBEB5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42.2</w:t>
            </w:r>
            <w:r w:rsidRPr="00D0415B">
              <w:rPr>
                <w:rFonts w:ascii="Times New Roman" w:eastAsia="Times New Roman" w:hAnsi="Times New Roman" w:cs="Times New Roman"/>
                <w:color w:val="000000"/>
                <w:sz w:val="16"/>
                <w:szCs w:val="16"/>
                <w:vertAlign w:val="superscript"/>
              </w:rPr>
              <w:t>b</w:t>
            </w:r>
          </w:p>
        </w:tc>
      </w:tr>
      <w:tr w:rsidR="00873563" w:rsidRPr="00D0415B" w14:paraId="2AE9E996" w14:textId="77777777" w:rsidTr="000A0088">
        <w:trPr>
          <w:trHeight w:val="214"/>
        </w:trPr>
        <w:tc>
          <w:tcPr>
            <w:tcW w:w="951" w:type="dxa"/>
            <w:tcBorders>
              <w:top w:val="nil"/>
              <w:left w:val="nil"/>
              <w:bottom w:val="nil"/>
              <w:right w:val="nil"/>
            </w:tcBorders>
            <w:shd w:val="clear" w:color="auto" w:fill="auto"/>
            <w:noWrap/>
            <w:vAlign w:val="center"/>
          </w:tcPr>
          <w:p w14:paraId="118716B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067EA3F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4365643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870" w:type="dxa"/>
            <w:tcBorders>
              <w:top w:val="nil"/>
              <w:left w:val="nil"/>
              <w:bottom w:val="nil"/>
              <w:right w:val="nil"/>
            </w:tcBorders>
            <w:shd w:val="clear" w:color="auto" w:fill="auto"/>
            <w:noWrap/>
            <w:vAlign w:val="center"/>
          </w:tcPr>
          <w:p w14:paraId="23C28D3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12.9</w:t>
            </w:r>
            <w:r w:rsidRPr="00D0415B">
              <w:rPr>
                <w:rFonts w:ascii="Times New Roman" w:eastAsia="Times New Roman" w:hAnsi="Times New Roman" w:cs="Times New Roman"/>
                <w:color w:val="000000"/>
                <w:sz w:val="16"/>
                <w:szCs w:val="16"/>
                <w:vertAlign w:val="superscript"/>
              </w:rPr>
              <w:t>ab</w:t>
            </w:r>
          </w:p>
        </w:tc>
        <w:tc>
          <w:tcPr>
            <w:tcW w:w="1567" w:type="dxa"/>
            <w:tcBorders>
              <w:top w:val="nil"/>
              <w:left w:val="nil"/>
              <w:bottom w:val="nil"/>
              <w:right w:val="nil"/>
            </w:tcBorders>
            <w:shd w:val="clear" w:color="auto" w:fill="auto"/>
            <w:noWrap/>
            <w:vAlign w:val="center"/>
          </w:tcPr>
          <w:p w14:paraId="79B12F4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10.9</w:t>
            </w:r>
            <w:r w:rsidRPr="00D0415B">
              <w:rPr>
                <w:rFonts w:ascii="Times New Roman" w:eastAsia="Times New Roman" w:hAnsi="Times New Roman" w:cs="Times New Roman"/>
                <w:color w:val="000000"/>
                <w:sz w:val="16"/>
                <w:szCs w:val="16"/>
                <w:vertAlign w:val="superscript"/>
              </w:rPr>
              <w:t>ab</w:t>
            </w:r>
          </w:p>
        </w:tc>
        <w:tc>
          <w:tcPr>
            <w:tcW w:w="1642" w:type="dxa"/>
            <w:tcBorders>
              <w:top w:val="nil"/>
              <w:left w:val="nil"/>
              <w:bottom w:val="nil"/>
              <w:right w:val="nil"/>
            </w:tcBorders>
            <w:shd w:val="clear" w:color="auto" w:fill="auto"/>
            <w:noWrap/>
            <w:vAlign w:val="center"/>
          </w:tcPr>
          <w:p w14:paraId="1D6FB9F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37.5</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623F213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43.0</w:t>
            </w:r>
            <w:r w:rsidRPr="00D0415B">
              <w:rPr>
                <w:rFonts w:ascii="Times New Roman" w:eastAsia="Times New Roman" w:hAnsi="Times New Roman" w:cs="Times New Roman"/>
                <w:color w:val="000000"/>
                <w:sz w:val="16"/>
                <w:szCs w:val="16"/>
                <w:vertAlign w:val="superscript"/>
              </w:rPr>
              <w:t>b</w:t>
            </w:r>
          </w:p>
        </w:tc>
      </w:tr>
      <w:tr w:rsidR="00873563" w:rsidRPr="00D0415B" w14:paraId="3513F284" w14:textId="77777777" w:rsidTr="000A0088">
        <w:trPr>
          <w:trHeight w:val="214"/>
        </w:trPr>
        <w:tc>
          <w:tcPr>
            <w:tcW w:w="951" w:type="dxa"/>
            <w:tcBorders>
              <w:top w:val="nil"/>
              <w:left w:val="nil"/>
              <w:bottom w:val="nil"/>
              <w:right w:val="nil"/>
            </w:tcBorders>
            <w:shd w:val="clear" w:color="auto" w:fill="auto"/>
            <w:noWrap/>
            <w:vAlign w:val="center"/>
          </w:tcPr>
          <w:p w14:paraId="6AB2F89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6EF744D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1F18EEB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870" w:type="dxa"/>
            <w:tcBorders>
              <w:top w:val="nil"/>
              <w:left w:val="nil"/>
              <w:bottom w:val="nil"/>
              <w:right w:val="nil"/>
            </w:tcBorders>
            <w:shd w:val="clear" w:color="auto" w:fill="auto"/>
            <w:noWrap/>
            <w:vAlign w:val="center"/>
          </w:tcPr>
          <w:p w14:paraId="1A8A604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12.7</w:t>
            </w:r>
            <w:r w:rsidRPr="00D0415B">
              <w:rPr>
                <w:rFonts w:ascii="Times New Roman" w:eastAsia="Times New Roman" w:hAnsi="Times New Roman" w:cs="Times New Roman"/>
                <w:color w:val="000000"/>
                <w:sz w:val="16"/>
                <w:szCs w:val="16"/>
                <w:vertAlign w:val="superscript"/>
              </w:rPr>
              <w:t>ab</w:t>
            </w:r>
          </w:p>
        </w:tc>
        <w:tc>
          <w:tcPr>
            <w:tcW w:w="1567" w:type="dxa"/>
            <w:tcBorders>
              <w:top w:val="nil"/>
              <w:left w:val="nil"/>
              <w:bottom w:val="nil"/>
              <w:right w:val="nil"/>
            </w:tcBorders>
            <w:shd w:val="clear" w:color="auto" w:fill="auto"/>
            <w:noWrap/>
            <w:vAlign w:val="center"/>
          </w:tcPr>
          <w:p w14:paraId="499D864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10.8</w:t>
            </w:r>
            <w:r w:rsidRPr="00D0415B">
              <w:rPr>
                <w:rFonts w:ascii="Times New Roman" w:eastAsia="Times New Roman" w:hAnsi="Times New Roman" w:cs="Times New Roman"/>
                <w:color w:val="000000"/>
                <w:sz w:val="16"/>
                <w:szCs w:val="16"/>
                <w:vertAlign w:val="superscript"/>
              </w:rPr>
              <w:t>ab</w:t>
            </w:r>
          </w:p>
        </w:tc>
        <w:tc>
          <w:tcPr>
            <w:tcW w:w="1642" w:type="dxa"/>
            <w:tcBorders>
              <w:top w:val="nil"/>
              <w:left w:val="nil"/>
              <w:bottom w:val="nil"/>
              <w:right w:val="nil"/>
            </w:tcBorders>
            <w:shd w:val="clear" w:color="auto" w:fill="auto"/>
            <w:noWrap/>
            <w:vAlign w:val="center"/>
          </w:tcPr>
          <w:p w14:paraId="3B35018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39.1</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7B88403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40.4</w:t>
            </w:r>
            <w:r w:rsidRPr="00D0415B">
              <w:rPr>
                <w:rFonts w:ascii="Times New Roman" w:eastAsia="Times New Roman" w:hAnsi="Times New Roman" w:cs="Times New Roman"/>
                <w:color w:val="000000"/>
                <w:sz w:val="16"/>
                <w:szCs w:val="16"/>
                <w:vertAlign w:val="superscript"/>
              </w:rPr>
              <w:t>b</w:t>
            </w:r>
          </w:p>
        </w:tc>
      </w:tr>
      <w:tr w:rsidR="00873563" w:rsidRPr="00D0415B" w14:paraId="78788706" w14:textId="77777777" w:rsidTr="000A0088">
        <w:trPr>
          <w:trHeight w:val="214"/>
        </w:trPr>
        <w:tc>
          <w:tcPr>
            <w:tcW w:w="951" w:type="dxa"/>
            <w:tcBorders>
              <w:top w:val="nil"/>
              <w:left w:val="nil"/>
              <w:bottom w:val="nil"/>
              <w:right w:val="nil"/>
            </w:tcBorders>
            <w:shd w:val="clear" w:color="auto" w:fill="auto"/>
            <w:noWrap/>
            <w:vAlign w:val="center"/>
          </w:tcPr>
          <w:p w14:paraId="594B93E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tcPr>
          <w:p w14:paraId="43752E7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nil"/>
              <w:right w:val="nil"/>
            </w:tcBorders>
            <w:shd w:val="clear" w:color="auto" w:fill="auto"/>
            <w:noWrap/>
            <w:vAlign w:val="center"/>
          </w:tcPr>
          <w:p w14:paraId="0183DA7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870" w:type="dxa"/>
            <w:tcBorders>
              <w:top w:val="nil"/>
              <w:left w:val="nil"/>
              <w:bottom w:val="nil"/>
              <w:right w:val="nil"/>
            </w:tcBorders>
            <w:shd w:val="clear" w:color="auto" w:fill="auto"/>
            <w:noWrap/>
            <w:vAlign w:val="center"/>
          </w:tcPr>
          <w:p w14:paraId="3A60647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14.2</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nil"/>
              <w:right w:val="nil"/>
            </w:tcBorders>
            <w:shd w:val="clear" w:color="auto" w:fill="auto"/>
            <w:noWrap/>
            <w:vAlign w:val="center"/>
          </w:tcPr>
          <w:p w14:paraId="1EFAF84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11.4</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1D13B94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33.7</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nil"/>
              <w:right w:val="nil"/>
            </w:tcBorders>
            <w:shd w:val="clear" w:color="auto" w:fill="auto"/>
            <w:noWrap/>
            <w:vAlign w:val="center"/>
          </w:tcPr>
          <w:p w14:paraId="18B87BF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45.2</w:t>
            </w:r>
            <w:r w:rsidRPr="00D0415B">
              <w:rPr>
                <w:rFonts w:ascii="Times New Roman" w:eastAsia="Times New Roman" w:hAnsi="Times New Roman" w:cs="Times New Roman"/>
                <w:b/>
                <w:bCs/>
                <w:color w:val="000000"/>
                <w:sz w:val="16"/>
                <w:szCs w:val="16"/>
                <w:vertAlign w:val="superscript"/>
              </w:rPr>
              <w:t>a</w:t>
            </w:r>
          </w:p>
        </w:tc>
      </w:tr>
      <w:tr w:rsidR="00873563" w:rsidRPr="00D0415B" w14:paraId="6A5DEF34" w14:textId="77777777" w:rsidTr="000A0088">
        <w:trPr>
          <w:trHeight w:val="214"/>
        </w:trPr>
        <w:tc>
          <w:tcPr>
            <w:tcW w:w="951" w:type="dxa"/>
            <w:tcBorders>
              <w:top w:val="nil"/>
              <w:left w:val="nil"/>
              <w:bottom w:val="single" w:sz="4" w:space="0" w:color="FFFFFF" w:themeColor="background1"/>
              <w:right w:val="nil"/>
            </w:tcBorders>
            <w:shd w:val="clear" w:color="auto" w:fill="auto"/>
            <w:noWrap/>
            <w:vAlign w:val="center"/>
          </w:tcPr>
          <w:p w14:paraId="42E0D84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single" w:sz="4" w:space="0" w:color="000000"/>
              <w:right w:val="nil"/>
            </w:tcBorders>
          </w:tcPr>
          <w:p w14:paraId="46D6199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640" w:type="dxa"/>
            <w:tcBorders>
              <w:top w:val="nil"/>
              <w:left w:val="nil"/>
              <w:bottom w:val="single" w:sz="4" w:space="0" w:color="000000"/>
              <w:right w:val="nil"/>
            </w:tcBorders>
            <w:shd w:val="clear" w:color="auto" w:fill="auto"/>
            <w:noWrap/>
            <w:vAlign w:val="center"/>
          </w:tcPr>
          <w:p w14:paraId="1EA0DB7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870" w:type="dxa"/>
            <w:tcBorders>
              <w:top w:val="nil"/>
              <w:left w:val="nil"/>
              <w:bottom w:val="single" w:sz="4" w:space="0" w:color="000000"/>
              <w:right w:val="nil"/>
            </w:tcBorders>
            <w:shd w:val="clear" w:color="auto" w:fill="auto"/>
            <w:noWrap/>
            <w:vAlign w:val="center"/>
          </w:tcPr>
          <w:p w14:paraId="1C0F8E9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14.5</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single" w:sz="4" w:space="0" w:color="000000"/>
              <w:right w:val="nil"/>
            </w:tcBorders>
            <w:shd w:val="clear" w:color="auto" w:fill="auto"/>
            <w:noWrap/>
            <w:vAlign w:val="center"/>
          </w:tcPr>
          <w:p w14:paraId="1BDDF91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11.5</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single" w:sz="4" w:space="0" w:color="000000"/>
              <w:right w:val="nil"/>
            </w:tcBorders>
            <w:shd w:val="clear" w:color="auto" w:fill="auto"/>
            <w:noWrap/>
            <w:vAlign w:val="center"/>
          </w:tcPr>
          <w:p w14:paraId="2DA9D71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35.1</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single" w:sz="4" w:space="0" w:color="000000"/>
              <w:right w:val="nil"/>
            </w:tcBorders>
            <w:shd w:val="clear" w:color="auto" w:fill="auto"/>
            <w:noWrap/>
            <w:vAlign w:val="center"/>
          </w:tcPr>
          <w:p w14:paraId="67ACC71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45.3</w:t>
            </w:r>
            <w:r w:rsidRPr="00D0415B">
              <w:rPr>
                <w:rFonts w:ascii="Times New Roman" w:eastAsia="Times New Roman" w:hAnsi="Times New Roman" w:cs="Times New Roman"/>
                <w:b/>
                <w:bCs/>
                <w:color w:val="000000"/>
                <w:sz w:val="16"/>
                <w:szCs w:val="16"/>
                <w:vertAlign w:val="superscript"/>
              </w:rPr>
              <w:t>a</w:t>
            </w:r>
          </w:p>
        </w:tc>
      </w:tr>
      <w:tr w:rsidR="00873563" w:rsidRPr="00D0415B" w14:paraId="63E78423" w14:textId="77777777" w:rsidTr="000A0088">
        <w:trPr>
          <w:trHeight w:val="214"/>
        </w:trPr>
        <w:tc>
          <w:tcPr>
            <w:tcW w:w="951" w:type="dxa"/>
            <w:tcBorders>
              <w:top w:val="single" w:sz="4" w:space="0" w:color="FFFFFF" w:themeColor="background1"/>
              <w:left w:val="nil"/>
              <w:bottom w:val="nil"/>
              <w:right w:val="nil"/>
            </w:tcBorders>
            <w:shd w:val="clear" w:color="auto" w:fill="auto"/>
            <w:noWrap/>
            <w:vAlign w:val="center"/>
          </w:tcPr>
          <w:p w14:paraId="30AE8CC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single" w:sz="4" w:space="0" w:color="000000"/>
              <w:left w:val="nil"/>
              <w:bottom w:val="nil"/>
              <w:right w:val="nil"/>
            </w:tcBorders>
            <w:vAlign w:val="center"/>
          </w:tcPr>
          <w:p w14:paraId="335BCE4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single" w:sz="4" w:space="0" w:color="000000"/>
              <w:left w:val="nil"/>
              <w:bottom w:val="nil"/>
              <w:right w:val="nil"/>
            </w:tcBorders>
            <w:shd w:val="clear" w:color="auto" w:fill="auto"/>
            <w:noWrap/>
            <w:vAlign w:val="center"/>
          </w:tcPr>
          <w:p w14:paraId="6404D8F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870" w:type="dxa"/>
            <w:tcBorders>
              <w:top w:val="single" w:sz="4" w:space="0" w:color="000000"/>
              <w:left w:val="nil"/>
              <w:bottom w:val="nil"/>
              <w:right w:val="nil"/>
            </w:tcBorders>
            <w:shd w:val="clear" w:color="auto" w:fill="auto"/>
            <w:noWrap/>
            <w:vAlign w:val="center"/>
          </w:tcPr>
          <w:p w14:paraId="2904B33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10.9</w:t>
            </w:r>
            <w:r w:rsidRPr="00D0415B">
              <w:rPr>
                <w:rFonts w:ascii="Times New Roman" w:eastAsia="Times New Roman" w:hAnsi="Times New Roman" w:cs="Times New Roman"/>
                <w:color w:val="000000"/>
                <w:sz w:val="16"/>
                <w:szCs w:val="16"/>
                <w:vertAlign w:val="superscript"/>
              </w:rPr>
              <w:t>c</w:t>
            </w:r>
          </w:p>
        </w:tc>
        <w:tc>
          <w:tcPr>
            <w:tcW w:w="1567" w:type="dxa"/>
            <w:tcBorders>
              <w:top w:val="single" w:sz="4" w:space="0" w:color="000000"/>
              <w:left w:val="nil"/>
              <w:bottom w:val="nil"/>
              <w:right w:val="nil"/>
            </w:tcBorders>
            <w:shd w:val="clear" w:color="auto" w:fill="auto"/>
            <w:noWrap/>
            <w:vAlign w:val="center"/>
          </w:tcPr>
          <w:p w14:paraId="345CB20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7.2</w:t>
            </w:r>
            <w:r w:rsidRPr="00D0415B">
              <w:rPr>
                <w:rFonts w:ascii="Times New Roman" w:eastAsia="Times New Roman" w:hAnsi="Times New Roman" w:cs="Times New Roman"/>
                <w:color w:val="000000"/>
                <w:sz w:val="16"/>
                <w:szCs w:val="16"/>
                <w:vertAlign w:val="superscript"/>
              </w:rPr>
              <w:t>b</w:t>
            </w:r>
          </w:p>
        </w:tc>
        <w:tc>
          <w:tcPr>
            <w:tcW w:w="1642" w:type="dxa"/>
            <w:tcBorders>
              <w:top w:val="single" w:sz="4" w:space="0" w:color="000000"/>
              <w:left w:val="nil"/>
              <w:bottom w:val="nil"/>
              <w:right w:val="nil"/>
            </w:tcBorders>
            <w:shd w:val="clear" w:color="auto" w:fill="auto"/>
            <w:noWrap/>
            <w:vAlign w:val="center"/>
          </w:tcPr>
          <w:p w14:paraId="632791D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47.5</w:t>
            </w:r>
            <w:r w:rsidRPr="00D0415B">
              <w:rPr>
                <w:rFonts w:ascii="Times New Roman" w:eastAsia="Times New Roman" w:hAnsi="Times New Roman" w:cs="Times New Roman"/>
                <w:color w:val="000000"/>
                <w:sz w:val="16"/>
                <w:szCs w:val="16"/>
                <w:vertAlign w:val="superscript"/>
              </w:rPr>
              <w:t>c</w:t>
            </w:r>
          </w:p>
        </w:tc>
        <w:tc>
          <w:tcPr>
            <w:tcW w:w="1551" w:type="dxa"/>
            <w:tcBorders>
              <w:top w:val="single" w:sz="4" w:space="0" w:color="000000"/>
              <w:left w:val="nil"/>
              <w:bottom w:val="nil"/>
              <w:right w:val="nil"/>
            </w:tcBorders>
            <w:shd w:val="clear" w:color="auto" w:fill="auto"/>
            <w:noWrap/>
            <w:vAlign w:val="center"/>
          </w:tcPr>
          <w:p w14:paraId="001294E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30.2</w:t>
            </w:r>
            <w:r w:rsidRPr="00D0415B">
              <w:rPr>
                <w:rFonts w:ascii="Times New Roman" w:eastAsia="Times New Roman" w:hAnsi="Times New Roman" w:cs="Times New Roman"/>
                <w:color w:val="000000"/>
                <w:sz w:val="16"/>
                <w:szCs w:val="16"/>
                <w:vertAlign w:val="superscript"/>
              </w:rPr>
              <w:t>d</w:t>
            </w:r>
          </w:p>
        </w:tc>
      </w:tr>
      <w:tr w:rsidR="00873563" w:rsidRPr="00D0415B" w14:paraId="10A0C640" w14:textId="77777777" w:rsidTr="000A0088">
        <w:trPr>
          <w:trHeight w:val="214"/>
        </w:trPr>
        <w:tc>
          <w:tcPr>
            <w:tcW w:w="951" w:type="dxa"/>
            <w:tcBorders>
              <w:top w:val="nil"/>
              <w:left w:val="nil"/>
              <w:bottom w:val="nil"/>
              <w:right w:val="nil"/>
            </w:tcBorders>
            <w:shd w:val="clear" w:color="auto" w:fill="auto"/>
            <w:noWrap/>
            <w:vAlign w:val="center"/>
            <w:hideMark/>
          </w:tcPr>
          <w:p w14:paraId="43C5163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7AF2523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3D48C2B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870" w:type="dxa"/>
            <w:tcBorders>
              <w:top w:val="nil"/>
              <w:left w:val="nil"/>
              <w:bottom w:val="nil"/>
              <w:right w:val="nil"/>
            </w:tcBorders>
            <w:shd w:val="clear" w:color="auto" w:fill="auto"/>
            <w:noWrap/>
            <w:vAlign w:val="center"/>
            <w:hideMark/>
          </w:tcPr>
          <w:p w14:paraId="2B631CA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9.1</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144E3C2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5.5</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1865B08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55.1</w:t>
            </w:r>
            <w:r w:rsidRPr="00D0415B">
              <w:rPr>
                <w:rFonts w:ascii="Times New Roman" w:eastAsia="Times New Roman" w:hAnsi="Times New Roman" w:cs="Times New Roman"/>
                <w:color w:val="000000"/>
                <w:sz w:val="16"/>
                <w:szCs w:val="16"/>
                <w:vertAlign w:val="superscript"/>
              </w:rPr>
              <w:t>d</w:t>
            </w:r>
          </w:p>
        </w:tc>
        <w:tc>
          <w:tcPr>
            <w:tcW w:w="1551" w:type="dxa"/>
            <w:tcBorders>
              <w:top w:val="nil"/>
              <w:left w:val="nil"/>
              <w:bottom w:val="nil"/>
              <w:right w:val="nil"/>
            </w:tcBorders>
            <w:shd w:val="clear" w:color="auto" w:fill="auto"/>
            <w:noWrap/>
            <w:vAlign w:val="center"/>
            <w:hideMark/>
          </w:tcPr>
          <w:p w14:paraId="1033070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24.9</w:t>
            </w:r>
            <w:r w:rsidRPr="00D0415B">
              <w:rPr>
                <w:rFonts w:ascii="Times New Roman" w:eastAsia="Times New Roman" w:hAnsi="Times New Roman" w:cs="Times New Roman"/>
                <w:color w:val="000000"/>
                <w:sz w:val="16"/>
                <w:szCs w:val="16"/>
                <w:vertAlign w:val="superscript"/>
              </w:rPr>
              <w:t>e</w:t>
            </w:r>
          </w:p>
        </w:tc>
      </w:tr>
      <w:tr w:rsidR="00873563" w:rsidRPr="00D0415B" w14:paraId="7A5FCF18" w14:textId="77777777" w:rsidTr="000A0088">
        <w:trPr>
          <w:trHeight w:val="51"/>
        </w:trPr>
        <w:tc>
          <w:tcPr>
            <w:tcW w:w="951" w:type="dxa"/>
            <w:tcBorders>
              <w:top w:val="nil"/>
              <w:left w:val="nil"/>
              <w:bottom w:val="nil"/>
              <w:right w:val="nil"/>
            </w:tcBorders>
            <w:shd w:val="clear" w:color="auto" w:fill="auto"/>
            <w:noWrap/>
            <w:vAlign w:val="center"/>
            <w:hideMark/>
          </w:tcPr>
          <w:p w14:paraId="02E235A8"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3B312E8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68D3736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870" w:type="dxa"/>
            <w:tcBorders>
              <w:top w:val="nil"/>
              <w:left w:val="nil"/>
              <w:bottom w:val="nil"/>
              <w:right w:val="nil"/>
            </w:tcBorders>
            <w:shd w:val="clear" w:color="auto" w:fill="auto"/>
            <w:noWrap/>
            <w:vAlign w:val="center"/>
            <w:hideMark/>
          </w:tcPr>
          <w:p w14:paraId="12FEE5E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9.0</w:t>
            </w:r>
            <w:r w:rsidRPr="00D0415B">
              <w:rPr>
                <w:rFonts w:ascii="Times New Roman" w:eastAsia="Times New Roman" w:hAnsi="Times New Roman" w:cs="Times New Roman"/>
                <w:color w:val="000000"/>
                <w:sz w:val="16"/>
                <w:szCs w:val="16"/>
                <w:vertAlign w:val="superscript"/>
              </w:rPr>
              <w:t>d</w:t>
            </w:r>
          </w:p>
        </w:tc>
        <w:tc>
          <w:tcPr>
            <w:tcW w:w="1567" w:type="dxa"/>
            <w:tcBorders>
              <w:top w:val="nil"/>
              <w:left w:val="nil"/>
              <w:bottom w:val="nil"/>
              <w:right w:val="nil"/>
            </w:tcBorders>
            <w:shd w:val="clear" w:color="auto" w:fill="auto"/>
            <w:noWrap/>
            <w:vAlign w:val="center"/>
            <w:hideMark/>
          </w:tcPr>
          <w:p w14:paraId="57C76EB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5.1</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18EF567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59.2</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30D51A5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24.0</w:t>
            </w:r>
            <w:r w:rsidRPr="00D0415B">
              <w:rPr>
                <w:rFonts w:ascii="Times New Roman" w:eastAsia="Times New Roman" w:hAnsi="Times New Roman" w:cs="Times New Roman"/>
                <w:color w:val="000000"/>
                <w:sz w:val="16"/>
                <w:szCs w:val="16"/>
                <w:vertAlign w:val="superscript"/>
              </w:rPr>
              <w:t>e</w:t>
            </w:r>
          </w:p>
        </w:tc>
      </w:tr>
      <w:tr w:rsidR="00873563" w:rsidRPr="00D0415B" w14:paraId="07C9F5C5" w14:textId="77777777" w:rsidTr="000A0088">
        <w:trPr>
          <w:trHeight w:val="236"/>
        </w:trPr>
        <w:tc>
          <w:tcPr>
            <w:tcW w:w="951" w:type="dxa"/>
            <w:tcBorders>
              <w:top w:val="nil"/>
              <w:left w:val="nil"/>
              <w:bottom w:val="nil"/>
              <w:right w:val="nil"/>
            </w:tcBorders>
            <w:shd w:val="clear" w:color="auto" w:fill="auto"/>
            <w:noWrap/>
            <w:vAlign w:val="center"/>
            <w:hideMark/>
          </w:tcPr>
          <w:p w14:paraId="4898CFF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296F278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284B1B2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870" w:type="dxa"/>
            <w:tcBorders>
              <w:top w:val="nil"/>
              <w:left w:val="nil"/>
              <w:bottom w:val="nil"/>
              <w:right w:val="nil"/>
            </w:tcBorders>
            <w:shd w:val="clear" w:color="auto" w:fill="auto"/>
            <w:noWrap/>
            <w:vAlign w:val="center"/>
            <w:hideMark/>
          </w:tcPr>
          <w:p w14:paraId="645CEC0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7.8</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hideMark/>
          </w:tcPr>
          <w:p w14:paraId="5BD87C7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4.9</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1B2D02C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62.6</w:t>
            </w:r>
            <w:r w:rsidRPr="00D0415B">
              <w:rPr>
                <w:rFonts w:ascii="Times New Roman" w:eastAsia="Times New Roman" w:hAnsi="Times New Roman" w:cs="Times New Roman"/>
                <w:color w:val="000000"/>
                <w:sz w:val="16"/>
                <w:szCs w:val="16"/>
                <w:vertAlign w:val="superscript"/>
              </w:rPr>
              <w:t>e</w:t>
            </w:r>
          </w:p>
        </w:tc>
        <w:tc>
          <w:tcPr>
            <w:tcW w:w="1551" w:type="dxa"/>
            <w:tcBorders>
              <w:top w:val="nil"/>
              <w:left w:val="nil"/>
              <w:bottom w:val="nil"/>
              <w:right w:val="nil"/>
            </w:tcBorders>
            <w:shd w:val="clear" w:color="auto" w:fill="auto"/>
            <w:noWrap/>
            <w:vAlign w:val="center"/>
            <w:hideMark/>
          </w:tcPr>
          <w:p w14:paraId="28D17D8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21.0</w:t>
            </w:r>
            <w:r w:rsidRPr="00D0415B">
              <w:rPr>
                <w:rFonts w:ascii="Times New Roman" w:eastAsia="Times New Roman" w:hAnsi="Times New Roman" w:cs="Times New Roman"/>
                <w:color w:val="000000"/>
                <w:sz w:val="16"/>
                <w:szCs w:val="16"/>
                <w:vertAlign w:val="superscript"/>
              </w:rPr>
              <w:t>e</w:t>
            </w:r>
          </w:p>
        </w:tc>
      </w:tr>
      <w:tr w:rsidR="00873563" w:rsidRPr="00D0415B" w14:paraId="3C2ABBF4" w14:textId="77777777" w:rsidTr="000A0088">
        <w:trPr>
          <w:trHeight w:val="214"/>
        </w:trPr>
        <w:tc>
          <w:tcPr>
            <w:tcW w:w="951" w:type="dxa"/>
            <w:tcBorders>
              <w:top w:val="nil"/>
              <w:left w:val="nil"/>
              <w:bottom w:val="nil"/>
              <w:right w:val="nil"/>
            </w:tcBorders>
            <w:shd w:val="clear" w:color="auto" w:fill="auto"/>
            <w:noWrap/>
            <w:vAlign w:val="center"/>
            <w:hideMark/>
          </w:tcPr>
          <w:p w14:paraId="69E649D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42AC0E6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5DB0857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870" w:type="dxa"/>
            <w:tcBorders>
              <w:top w:val="nil"/>
              <w:left w:val="nil"/>
              <w:bottom w:val="nil"/>
              <w:right w:val="nil"/>
            </w:tcBorders>
            <w:shd w:val="clear" w:color="auto" w:fill="auto"/>
            <w:noWrap/>
            <w:vAlign w:val="center"/>
            <w:hideMark/>
          </w:tcPr>
          <w:p w14:paraId="57FC109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7.0</w:t>
            </w:r>
            <w:r w:rsidRPr="00D0415B">
              <w:rPr>
                <w:rFonts w:ascii="Times New Roman" w:eastAsia="Times New Roman" w:hAnsi="Times New Roman" w:cs="Times New Roman"/>
                <w:color w:val="000000"/>
                <w:sz w:val="16"/>
                <w:szCs w:val="16"/>
                <w:vertAlign w:val="superscript"/>
              </w:rPr>
              <w:t>e</w:t>
            </w:r>
          </w:p>
        </w:tc>
        <w:tc>
          <w:tcPr>
            <w:tcW w:w="1567" w:type="dxa"/>
            <w:tcBorders>
              <w:top w:val="nil"/>
              <w:left w:val="nil"/>
              <w:bottom w:val="nil"/>
              <w:right w:val="nil"/>
            </w:tcBorders>
            <w:shd w:val="clear" w:color="auto" w:fill="auto"/>
            <w:noWrap/>
            <w:vAlign w:val="center"/>
            <w:hideMark/>
          </w:tcPr>
          <w:p w14:paraId="7C15A18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3.7</w:t>
            </w:r>
            <w:r w:rsidRPr="00D0415B">
              <w:rPr>
                <w:rFonts w:ascii="Times New Roman" w:eastAsia="Times New Roman" w:hAnsi="Times New Roman" w:cs="Times New Roman"/>
                <w:color w:val="000000"/>
                <w:sz w:val="16"/>
                <w:szCs w:val="16"/>
                <w:vertAlign w:val="superscript"/>
              </w:rPr>
              <w:t>c</w:t>
            </w:r>
          </w:p>
        </w:tc>
        <w:tc>
          <w:tcPr>
            <w:tcW w:w="1642" w:type="dxa"/>
            <w:tcBorders>
              <w:top w:val="nil"/>
              <w:left w:val="nil"/>
              <w:bottom w:val="nil"/>
              <w:right w:val="nil"/>
            </w:tcBorders>
            <w:shd w:val="clear" w:color="auto" w:fill="auto"/>
            <w:noWrap/>
            <w:vAlign w:val="center"/>
            <w:hideMark/>
          </w:tcPr>
          <w:p w14:paraId="64E2EA7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74.1</w:t>
            </w:r>
            <w:r w:rsidRPr="00D0415B">
              <w:rPr>
                <w:rFonts w:ascii="Times New Roman" w:eastAsia="Times New Roman" w:hAnsi="Times New Roman" w:cs="Times New Roman"/>
                <w:color w:val="000000"/>
                <w:sz w:val="16"/>
                <w:szCs w:val="16"/>
                <w:vertAlign w:val="superscript"/>
              </w:rPr>
              <w:t>f</w:t>
            </w:r>
          </w:p>
        </w:tc>
        <w:tc>
          <w:tcPr>
            <w:tcW w:w="1551" w:type="dxa"/>
            <w:tcBorders>
              <w:top w:val="nil"/>
              <w:left w:val="nil"/>
              <w:bottom w:val="nil"/>
              <w:right w:val="nil"/>
            </w:tcBorders>
            <w:shd w:val="clear" w:color="auto" w:fill="auto"/>
            <w:noWrap/>
            <w:vAlign w:val="center"/>
            <w:hideMark/>
          </w:tcPr>
          <w:p w14:paraId="704903F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17.1</w:t>
            </w:r>
            <w:r w:rsidRPr="00D0415B">
              <w:rPr>
                <w:rFonts w:ascii="Times New Roman" w:eastAsia="Times New Roman" w:hAnsi="Times New Roman" w:cs="Times New Roman"/>
                <w:color w:val="000000"/>
                <w:sz w:val="16"/>
                <w:szCs w:val="16"/>
                <w:vertAlign w:val="superscript"/>
              </w:rPr>
              <w:t>f</w:t>
            </w:r>
          </w:p>
        </w:tc>
      </w:tr>
      <w:tr w:rsidR="00873563" w:rsidRPr="00D0415B" w14:paraId="1D2B6845" w14:textId="77777777" w:rsidTr="000A0088">
        <w:trPr>
          <w:trHeight w:val="214"/>
        </w:trPr>
        <w:tc>
          <w:tcPr>
            <w:tcW w:w="951" w:type="dxa"/>
            <w:tcBorders>
              <w:top w:val="nil"/>
              <w:left w:val="nil"/>
              <w:bottom w:val="nil"/>
              <w:right w:val="nil"/>
            </w:tcBorders>
            <w:shd w:val="clear" w:color="auto" w:fill="auto"/>
            <w:noWrap/>
            <w:vAlign w:val="center"/>
            <w:hideMark/>
          </w:tcPr>
          <w:p w14:paraId="4E795E9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212E0C9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7EA4BE0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870" w:type="dxa"/>
            <w:tcBorders>
              <w:top w:val="nil"/>
              <w:left w:val="nil"/>
              <w:bottom w:val="nil"/>
              <w:right w:val="nil"/>
            </w:tcBorders>
            <w:shd w:val="clear" w:color="auto" w:fill="auto"/>
            <w:noWrap/>
            <w:vAlign w:val="center"/>
            <w:hideMark/>
          </w:tcPr>
          <w:p w14:paraId="111A60C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13.3</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3C000E3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9.0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692DE58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42.7</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hideMark/>
          </w:tcPr>
          <w:p w14:paraId="20CABFC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35.2</w:t>
            </w:r>
            <w:r w:rsidRPr="00D0415B">
              <w:rPr>
                <w:rFonts w:ascii="Times New Roman" w:eastAsia="Times New Roman" w:hAnsi="Times New Roman" w:cs="Times New Roman"/>
                <w:color w:val="000000"/>
                <w:sz w:val="16"/>
                <w:szCs w:val="16"/>
                <w:vertAlign w:val="superscript"/>
              </w:rPr>
              <w:t>cd</w:t>
            </w:r>
          </w:p>
        </w:tc>
      </w:tr>
      <w:tr w:rsidR="00873563" w:rsidRPr="00D0415B" w14:paraId="6433E90A" w14:textId="77777777" w:rsidTr="000A0088">
        <w:trPr>
          <w:trHeight w:val="214"/>
        </w:trPr>
        <w:tc>
          <w:tcPr>
            <w:tcW w:w="951" w:type="dxa"/>
            <w:tcBorders>
              <w:top w:val="nil"/>
              <w:left w:val="nil"/>
              <w:bottom w:val="nil"/>
              <w:right w:val="nil"/>
            </w:tcBorders>
            <w:shd w:val="clear" w:color="auto" w:fill="auto"/>
            <w:noWrap/>
            <w:vAlign w:val="center"/>
          </w:tcPr>
          <w:p w14:paraId="254BDD0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6A6B5E0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tcPr>
          <w:p w14:paraId="340463B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870" w:type="dxa"/>
            <w:tcBorders>
              <w:top w:val="nil"/>
              <w:left w:val="nil"/>
              <w:bottom w:val="nil"/>
              <w:right w:val="nil"/>
            </w:tcBorders>
            <w:shd w:val="clear" w:color="auto" w:fill="auto"/>
            <w:noWrap/>
            <w:vAlign w:val="center"/>
          </w:tcPr>
          <w:p w14:paraId="2771CCB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14.4</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tcPr>
          <w:p w14:paraId="53C6E6D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9.0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tcPr>
          <w:p w14:paraId="10928A9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38.7</w:t>
            </w:r>
            <w:r w:rsidRPr="00D0415B">
              <w:rPr>
                <w:rFonts w:ascii="Times New Roman" w:eastAsia="Times New Roman" w:hAnsi="Times New Roman" w:cs="Times New Roman"/>
                <w:color w:val="000000"/>
                <w:sz w:val="16"/>
                <w:szCs w:val="16"/>
                <w:vertAlign w:val="superscript"/>
              </w:rPr>
              <w:t>b</w:t>
            </w:r>
          </w:p>
        </w:tc>
        <w:tc>
          <w:tcPr>
            <w:tcW w:w="1551" w:type="dxa"/>
            <w:tcBorders>
              <w:top w:val="nil"/>
              <w:left w:val="nil"/>
              <w:bottom w:val="nil"/>
              <w:right w:val="nil"/>
            </w:tcBorders>
            <w:shd w:val="clear" w:color="auto" w:fill="auto"/>
            <w:noWrap/>
            <w:vAlign w:val="center"/>
          </w:tcPr>
          <w:p w14:paraId="60DB9D7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39.0</w:t>
            </w:r>
            <w:r w:rsidRPr="00D0415B">
              <w:rPr>
                <w:rFonts w:ascii="Times New Roman" w:eastAsia="Times New Roman" w:hAnsi="Times New Roman" w:cs="Times New Roman"/>
                <w:color w:val="000000"/>
                <w:sz w:val="16"/>
                <w:szCs w:val="16"/>
                <w:vertAlign w:val="superscript"/>
              </w:rPr>
              <w:t>c</w:t>
            </w:r>
          </w:p>
        </w:tc>
      </w:tr>
      <w:tr w:rsidR="00873563" w:rsidRPr="00D0415B" w14:paraId="320CABEB" w14:textId="77777777" w:rsidTr="000A0088">
        <w:trPr>
          <w:trHeight w:val="214"/>
        </w:trPr>
        <w:tc>
          <w:tcPr>
            <w:tcW w:w="951" w:type="dxa"/>
            <w:tcBorders>
              <w:top w:val="nil"/>
              <w:left w:val="nil"/>
              <w:bottom w:val="nil"/>
              <w:right w:val="nil"/>
            </w:tcBorders>
            <w:shd w:val="clear" w:color="auto" w:fill="auto"/>
            <w:noWrap/>
            <w:vAlign w:val="center"/>
            <w:hideMark/>
          </w:tcPr>
          <w:p w14:paraId="3680218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6C937D1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713343B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870" w:type="dxa"/>
            <w:tcBorders>
              <w:top w:val="nil"/>
              <w:left w:val="nil"/>
              <w:bottom w:val="nil"/>
              <w:right w:val="nil"/>
            </w:tcBorders>
            <w:shd w:val="clear" w:color="auto" w:fill="auto"/>
            <w:noWrap/>
            <w:vAlign w:val="center"/>
            <w:hideMark/>
          </w:tcPr>
          <w:p w14:paraId="56B95AE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14.8</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1FE2571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4935010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35.7</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1174347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43.7</w:t>
            </w:r>
            <w:r w:rsidRPr="00D0415B">
              <w:rPr>
                <w:rFonts w:ascii="Times New Roman" w:eastAsia="Times New Roman" w:hAnsi="Times New Roman" w:cs="Times New Roman"/>
                <w:color w:val="000000"/>
                <w:sz w:val="16"/>
                <w:szCs w:val="16"/>
                <w:vertAlign w:val="superscript"/>
              </w:rPr>
              <w:t>b</w:t>
            </w:r>
          </w:p>
        </w:tc>
      </w:tr>
      <w:tr w:rsidR="00873563" w:rsidRPr="00D0415B" w14:paraId="14703472" w14:textId="77777777" w:rsidTr="000A0088">
        <w:trPr>
          <w:trHeight w:val="214"/>
        </w:trPr>
        <w:tc>
          <w:tcPr>
            <w:tcW w:w="951" w:type="dxa"/>
            <w:tcBorders>
              <w:top w:val="nil"/>
              <w:left w:val="nil"/>
              <w:bottom w:val="nil"/>
              <w:right w:val="nil"/>
            </w:tcBorders>
            <w:shd w:val="clear" w:color="auto" w:fill="auto"/>
            <w:noWrap/>
            <w:vAlign w:val="center"/>
            <w:hideMark/>
          </w:tcPr>
          <w:p w14:paraId="2B2C1A2F"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55F53F4F"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3C8AA96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870" w:type="dxa"/>
            <w:tcBorders>
              <w:top w:val="nil"/>
              <w:left w:val="nil"/>
              <w:bottom w:val="nil"/>
              <w:right w:val="nil"/>
            </w:tcBorders>
            <w:shd w:val="clear" w:color="auto" w:fill="auto"/>
            <w:noWrap/>
            <w:vAlign w:val="center"/>
            <w:hideMark/>
          </w:tcPr>
          <w:p w14:paraId="2E92410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15.1</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3BD60E4D" w14:textId="77777777" w:rsidR="00873563" w:rsidRPr="00D0415B" w:rsidRDefault="00873563" w:rsidP="000A0088">
            <w:pPr>
              <w:spacing w:after="0" w:line="36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1DEF6881"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36.2</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0488F01D"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44.1</w:t>
            </w:r>
            <w:r w:rsidRPr="00D0415B">
              <w:rPr>
                <w:rFonts w:ascii="Times New Roman" w:eastAsia="Times New Roman" w:hAnsi="Times New Roman" w:cs="Times New Roman"/>
                <w:color w:val="000000"/>
                <w:sz w:val="16"/>
                <w:szCs w:val="16"/>
                <w:vertAlign w:val="superscript"/>
              </w:rPr>
              <w:t>b</w:t>
            </w:r>
          </w:p>
        </w:tc>
      </w:tr>
      <w:tr w:rsidR="00873563" w:rsidRPr="00D0415B" w14:paraId="18A760BC" w14:textId="77777777" w:rsidTr="000A0088">
        <w:trPr>
          <w:trHeight w:val="125"/>
        </w:trPr>
        <w:tc>
          <w:tcPr>
            <w:tcW w:w="951" w:type="dxa"/>
            <w:tcBorders>
              <w:top w:val="nil"/>
              <w:left w:val="nil"/>
              <w:bottom w:val="nil"/>
              <w:right w:val="nil"/>
            </w:tcBorders>
            <w:shd w:val="clear" w:color="auto" w:fill="auto"/>
            <w:noWrap/>
            <w:vAlign w:val="center"/>
            <w:hideMark/>
          </w:tcPr>
          <w:p w14:paraId="2F98BDD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11B71B4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389E1B2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870" w:type="dxa"/>
            <w:tcBorders>
              <w:top w:val="nil"/>
              <w:left w:val="nil"/>
              <w:bottom w:val="nil"/>
              <w:right w:val="nil"/>
            </w:tcBorders>
            <w:shd w:val="clear" w:color="auto" w:fill="auto"/>
            <w:noWrap/>
            <w:vAlign w:val="center"/>
            <w:hideMark/>
          </w:tcPr>
          <w:p w14:paraId="248589E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15.1</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3207523C"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9.6</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5DEA84F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36.1</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08FACD6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43.9</w:t>
            </w:r>
            <w:r w:rsidRPr="00D0415B">
              <w:rPr>
                <w:rFonts w:ascii="Times New Roman" w:eastAsia="Times New Roman" w:hAnsi="Times New Roman" w:cs="Times New Roman"/>
                <w:color w:val="000000"/>
                <w:sz w:val="16"/>
                <w:szCs w:val="16"/>
                <w:vertAlign w:val="superscript"/>
              </w:rPr>
              <w:t>b</w:t>
            </w:r>
          </w:p>
        </w:tc>
      </w:tr>
      <w:tr w:rsidR="00873563" w:rsidRPr="00D0415B" w14:paraId="71432669" w14:textId="77777777" w:rsidTr="000A0088">
        <w:trPr>
          <w:trHeight w:val="214"/>
        </w:trPr>
        <w:tc>
          <w:tcPr>
            <w:tcW w:w="951" w:type="dxa"/>
            <w:tcBorders>
              <w:top w:val="nil"/>
              <w:left w:val="nil"/>
              <w:bottom w:val="nil"/>
              <w:right w:val="nil"/>
            </w:tcBorders>
            <w:shd w:val="clear" w:color="auto" w:fill="auto"/>
            <w:noWrap/>
            <w:vAlign w:val="center"/>
            <w:hideMark/>
          </w:tcPr>
          <w:p w14:paraId="6836BE1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nil"/>
              <w:right w:val="nil"/>
            </w:tcBorders>
            <w:vAlign w:val="center"/>
          </w:tcPr>
          <w:p w14:paraId="1728A37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0D1333B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870" w:type="dxa"/>
            <w:tcBorders>
              <w:top w:val="nil"/>
              <w:left w:val="nil"/>
              <w:bottom w:val="nil"/>
              <w:right w:val="nil"/>
            </w:tcBorders>
            <w:shd w:val="clear" w:color="auto" w:fill="auto"/>
            <w:noWrap/>
            <w:vAlign w:val="center"/>
            <w:hideMark/>
          </w:tcPr>
          <w:p w14:paraId="34B4C60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14.9</w:t>
            </w:r>
            <w:r w:rsidRPr="00D0415B">
              <w:rPr>
                <w:rFonts w:ascii="Times New Roman" w:eastAsia="Times New Roman" w:hAnsi="Times New Roman" w:cs="Times New Roman"/>
                <w:color w:val="000000"/>
                <w:sz w:val="16"/>
                <w:szCs w:val="16"/>
                <w:vertAlign w:val="superscript"/>
              </w:rPr>
              <w:t>b</w:t>
            </w:r>
          </w:p>
        </w:tc>
        <w:tc>
          <w:tcPr>
            <w:tcW w:w="1567" w:type="dxa"/>
            <w:tcBorders>
              <w:top w:val="nil"/>
              <w:left w:val="nil"/>
              <w:bottom w:val="nil"/>
              <w:right w:val="nil"/>
            </w:tcBorders>
            <w:shd w:val="clear" w:color="auto" w:fill="auto"/>
            <w:noWrap/>
            <w:vAlign w:val="center"/>
            <w:hideMark/>
          </w:tcPr>
          <w:p w14:paraId="161D073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9.6</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72AB275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37.0</w:t>
            </w:r>
            <w:r w:rsidRPr="00D0415B">
              <w:rPr>
                <w:rFonts w:ascii="Times New Roman" w:eastAsia="Times New Roman" w:hAnsi="Times New Roman" w:cs="Times New Roman"/>
                <w:color w:val="000000"/>
                <w:sz w:val="16"/>
                <w:szCs w:val="16"/>
                <w:vertAlign w:val="superscript"/>
              </w:rPr>
              <w:t>ab</w:t>
            </w:r>
          </w:p>
        </w:tc>
        <w:tc>
          <w:tcPr>
            <w:tcW w:w="1551" w:type="dxa"/>
            <w:tcBorders>
              <w:top w:val="nil"/>
              <w:left w:val="nil"/>
              <w:bottom w:val="nil"/>
              <w:right w:val="nil"/>
            </w:tcBorders>
            <w:shd w:val="clear" w:color="auto" w:fill="auto"/>
            <w:noWrap/>
            <w:vAlign w:val="center"/>
            <w:hideMark/>
          </w:tcPr>
          <w:p w14:paraId="2B121F2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43.7</w:t>
            </w:r>
            <w:r w:rsidRPr="00D0415B">
              <w:rPr>
                <w:rFonts w:ascii="Times New Roman" w:eastAsia="Times New Roman" w:hAnsi="Times New Roman" w:cs="Times New Roman"/>
                <w:color w:val="000000"/>
                <w:sz w:val="16"/>
                <w:szCs w:val="16"/>
                <w:vertAlign w:val="superscript"/>
              </w:rPr>
              <w:t>b</w:t>
            </w:r>
          </w:p>
        </w:tc>
      </w:tr>
      <w:tr w:rsidR="00873563" w:rsidRPr="00D0415B" w14:paraId="1838BAE4" w14:textId="77777777" w:rsidTr="000A0088">
        <w:trPr>
          <w:trHeight w:val="214"/>
        </w:trPr>
        <w:tc>
          <w:tcPr>
            <w:tcW w:w="951" w:type="dxa"/>
            <w:tcBorders>
              <w:top w:val="nil"/>
              <w:left w:val="nil"/>
              <w:bottom w:val="nil"/>
              <w:right w:val="nil"/>
            </w:tcBorders>
            <w:shd w:val="clear" w:color="auto" w:fill="auto"/>
            <w:noWrap/>
            <w:vAlign w:val="center"/>
            <w:hideMark/>
          </w:tcPr>
          <w:p w14:paraId="3825904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lastRenderedPageBreak/>
              <w:t>BT</w:t>
            </w:r>
          </w:p>
        </w:tc>
        <w:tc>
          <w:tcPr>
            <w:tcW w:w="1359" w:type="dxa"/>
            <w:tcBorders>
              <w:top w:val="nil"/>
              <w:left w:val="nil"/>
              <w:bottom w:val="nil"/>
              <w:right w:val="nil"/>
            </w:tcBorders>
            <w:vAlign w:val="center"/>
          </w:tcPr>
          <w:p w14:paraId="141C5FF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nil"/>
              <w:right w:val="nil"/>
            </w:tcBorders>
            <w:shd w:val="clear" w:color="auto" w:fill="auto"/>
            <w:noWrap/>
            <w:vAlign w:val="center"/>
            <w:hideMark/>
          </w:tcPr>
          <w:p w14:paraId="1F994ED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870" w:type="dxa"/>
            <w:tcBorders>
              <w:top w:val="nil"/>
              <w:left w:val="nil"/>
              <w:bottom w:val="nil"/>
              <w:right w:val="nil"/>
            </w:tcBorders>
            <w:shd w:val="clear" w:color="auto" w:fill="auto"/>
            <w:noWrap/>
            <w:vAlign w:val="center"/>
            <w:hideMark/>
          </w:tcPr>
          <w:p w14:paraId="57730B2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16.1</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nil"/>
              <w:right w:val="nil"/>
            </w:tcBorders>
            <w:shd w:val="clear" w:color="auto" w:fill="auto"/>
            <w:noWrap/>
            <w:vAlign w:val="center"/>
            <w:hideMark/>
          </w:tcPr>
          <w:p w14:paraId="737F26E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10.1</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nil"/>
              <w:right w:val="nil"/>
            </w:tcBorders>
            <w:shd w:val="clear" w:color="auto" w:fill="auto"/>
            <w:noWrap/>
            <w:vAlign w:val="center"/>
            <w:hideMark/>
          </w:tcPr>
          <w:p w14:paraId="7004B9BE"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33.1</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nil"/>
              <w:right w:val="nil"/>
            </w:tcBorders>
            <w:shd w:val="clear" w:color="auto" w:fill="auto"/>
            <w:noWrap/>
            <w:vAlign w:val="center"/>
            <w:hideMark/>
          </w:tcPr>
          <w:p w14:paraId="0056AD0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50.4</w:t>
            </w:r>
            <w:r w:rsidRPr="00D0415B">
              <w:rPr>
                <w:rFonts w:ascii="Times New Roman" w:eastAsia="Times New Roman" w:hAnsi="Times New Roman" w:cs="Times New Roman"/>
                <w:b/>
                <w:bCs/>
                <w:color w:val="000000"/>
                <w:sz w:val="16"/>
                <w:szCs w:val="16"/>
                <w:vertAlign w:val="superscript"/>
              </w:rPr>
              <w:t>a</w:t>
            </w:r>
          </w:p>
        </w:tc>
      </w:tr>
      <w:tr w:rsidR="00873563" w:rsidRPr="00D0415B" w14:paraId="3F667388" w14:textId="77777777" w:rsidTr="000A0088">
        <w:trPr>
          <w:trHeight w:val="214"/>
        </w:trPr>
        <w:tc>
          <w:tcPr>
            <w:tcW w:w="951" w:type="dxa"/>
            <w:tcBorders>
              <w:top w:val="nil"/>
              <w:left w:val="nil"/>
              <w:bottom w:val="single" w:sz="4" w:space="0" w:color="000000"/>
              <w:right w:val="nil"/>
            </w:tcBorders>
            <w:shd w:val="clear" w:color="auto" w:fill="auto"/>
            <w:noWrap/>
            <w:vAlign w:val="center"/>
          </w:tcPr>
          <w:p w14:paraId="53666C0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BT</w:t>
            </w:r>
          </w:p>
        </w:tc>
        <w:tc>
          <w:tcPr>
            <w:tcW w:w="1359" w:type="dxa"/>
            <w:tcBorders>
              <w:top w:val="nil"/>
              <w:left w:val="nil"/>
              <w:bottom w:val="single" w:sz="4" w:space="0" w:color="000000"/>
              <w:right w:val="nil"/>
            </w:tcBorders>
            <w:vAlign w:val="center"/>
          </w:tcPr>
          <w:p w14:paraId="1B4B67C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640" w:type="dxa"/>
            <w:tcBorders>
              <w:top w:val="nil"/>
              <w:left w:val="nil"/>
              <w:bottom w:val="single" w:sz="4" w:space="0" w:color="000000"/>
              <w:right w:val="nil"/>
            </w:tcBorders>
            <w:shd w:val="clear" w:color="auto" w:fill="auto"/>
            <w:noWrap/>
            <w:vAlign w:val="center"/>
          </w:tcPr>
          <w:p w14:paraId="36D7EB9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870" w:type="dxa"/>
            <w:tcBorders>
              <w:top w:val="nil"/>
              <w:left w:val="nil"/>
              <w:bottom w:val="single" w:sz="4" w:space="0" w:color="000000"/>
              <w:right w:val="nil"/>
            </w:tcBorders>
            <w:shd w:val="clear" w:color="auto" w:fill="auto"/>
            <w:noWrap/>
            <w:vAlign w:val="center"/>
          </w:tcPr>
          <w:p w14:paraId="14750A1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17.0</w:t>
            </w:r>
            <w:r w:rsidRPr="00D0415B">
              <w:rPr>
                <w:rFonts w:ascii="Times New Roman" w:eastAsia="Times New Roman" w:hAnsi="Times New Roman" w:cs="Times New Roman"/>
                <w:b/>
                <w:bCs/>
                <w:color w:val="000000"/>
                <w:sz w:val="16"/>
                <w:szCs w:val="16"/>
                <w:vertAlign w:val="superscript"/>
              </w:rPr>
              <w:t>a</w:t>
            </w:r>
          </w:p>
        </w:tc>
        <w:tc>
          <w:tcPr>
            <w:tcW w:w="1567" w:type="dxa"/>
            <w:tcBorders>
              <w:top w:val="nil"/>
              <w:left w:val="nil"/>
              <w:bottom w:val="single" w:sz="4" w:space="0" w:color="000000"/>
              <w:right w:val="nil"/>
            </w:tcBorders>
            <w:shd w:val="clear" w:color="auto" w:fill="auto"/>
            <w:noWrap/>
            <w:vAlign w:val="center"/>
          </w:tcPr>
          <w:p w14:paraId="691019B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10.2</w:t>
            </w:r>
            <w:r w:rsidRPr="00D0415B">
              <w:rPr>
                <w:rFonts w:ascii="Times New Roman" w:eastAsia="Times New Roman" w:hAnsi="Times New Roman" w:cs="Times New Roman"/>
                <w:b/>
                <w:bCs/>
                <w:color w:val="000000"/>
                <w:sz w:val="16"/>
                <w:szCs w:val="16"/>
                <w:vertAlign w:val="superscript"/>
              </w:rPr>
              <w:t>a</w:t>
            </w:r>
          </w:p>
        </w:tc>
        <w:tc>
          <w:tcPr>
            <w:tcW w:w="1642" w:type="dxa"/>
            <w:tcBorders>
              <w:top w:val="nil"/>
              <w:left w:val="nil"/>
              <w:bottom w:val="single" w:sz="4" w:space="0" w:color="000000"/>
              <w:right w:val="nil"/>
            </w:tcBorders>
            <w:shd w:val="clear" w:color="auto" w:fill="auto"/>
            <w:noWrap/>
            <w:vAlign w:val="center"/>
          </w:tcPr>
          <w:p w14:paraId="29B6B49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32.2</w:t>
            </w:r>
            <w:r w:rsidRPr="00D0415B">
              <w:rPr>
                <w:rFonts w:ascii="Times New Roman" w:eastAsia="Times New Roman" w:hAnsi="Times New Roman" w:cs="Times New Roman"/>
                <w:b/>
                <w:bCs/>
                <w:color w:val="000000"/>
                <w:sz w:val="16"/>
                <w:szCs w:val="16"/>
                <w:vertAlign w:val="superscript"/>
              </w:rPr>
              <w:t>a</w:t>
            </w:r>
          </w:p>
        </w:tc>
        <w:tc>
          <w:tcPr>
            <w:tcW w:w="1551" w:type="dxa"/>
            <w:tcBorders>
              <w:top w:val="nil"/>
              <w:left w:val="nil"/>
              <w:bottom w:val="single" w:sz="4" w:space="0" w:color="000000"/>
              <w:right w:val="nil"/>
            </w:tcBorders>
            <w:shd w:val="clear" w:color="auto" w:fill="auto"/>
            <w:noWrap/>
            <w:vAlign w:val="center"/>
          </w:tcPr>
          <w:p w14:paraId="613B6A3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50.2</w:t>
            </w:r>
            <w:r w:rsidRPr="00D0415B">
              <w:rPr>
                <w:rFonts w:ascii="Times New Roman" w:eastAsia="Times New Roman" w:hAnsi="Times New Roman" w:cs="Times New Roman"/>
                <w:b/>
                <w:bCs/>
                <w:color w:val="000000"/>
                <w:sz w:val="16"/>
                <w:szCs w:val="16"/>
                <w:vertAlign w:val="superscript"/>
              </w:rPr>
              <w:t>a</w:t>
            </w:r>
          </w:p>
        </w:tc>
      </w:tr>
    </w:tbl>
    <w:p w14:paraId="586B010C" w14:textId="77777777" w:rsidR="00873563" w:rsidRPr="00D0415B" w:rsidRDefault="00873563" w:rsidP="00873563">
      <w:pPr>
        <w:autoSpaceDE w:val="0"/>
        <w:autoSpaceDN w:val="0"/>
        <w:adjustRightInd w:val="0"/>
        <w:spacing w:after="0" w:line="276" w:lineRule="auto"/>
        <w:rPr>
          <w:rFonts w:ascii="Times New Roman" w:hAnsi="Times New Roman" w:cs="Times New Roman"/>
          <w:b/>
          <w:bCs/>
        </w:rPr>
      </w:pPr>
      <w:r w:rsidRPr="00D0415B">
        <w:rPr>
          <w:rFonts w:ascii="Times New Roman" w:hAnsi="Times New Roman" w:cs="Times New Roman"/>
          <w:sz w:val="16"/>
          <w:szCs w:val="16"/>
        </w:rPr>
        <w:t>Significant differences at P &lt; 0.05 have been indicated with different letters.</w:t>
      </w:r>
    </w:p>
    <w:p w14:paraId="1C13FEA1" w14:textId="77777777" w:rsidR="00873563" w:rsidRPr="00D0415B" w:rsidRDefault="00873563" w:rsidP="00873563">
      <w:pPr>
        <w:spacing w:after="0"/>
        <w:jc w:val="center"/>
        <w:rPr>
          <w:rFonts w:asciiTheme="minorBidi" w:hAnsiTheme="minorBidi"/>
          <w:sz w:val="16"/>
          <w:szCs w:val="16"/>
        </w:rPr>
      </w:pPr>
    </w:p>
    <w:p w14:paraId="461C3517" w14:textId="77777777" w:rsidR="00873563" w:rsidRPr="00D0415B" w:rsidRDefault="00873563" w:rsidP="00873563">
      <w:pPr>
        <w:spacing w:before="240" w:after="0" w:line="276" w:lineRule="auto"/>
        <w:rPr>
          <w:rFonts w:asciiTheme="majorBidi" w:eastAsia="Times New Roman" w:hAnsiTheme="majorBidi" w:cstheme="majorBidi"/>
          <w:sz w:val="20"/>
          <w:szCs w:val="20"/>
          <w:lang w:bidi="fa-IR"/>
        </w:rPr>
      </w:pPr>
      <w:r w:rsidRPr="00D0415B">
        <w:rPr>
          <w:rFonts w:asciiTheme="majorBidi" w:eastAsia="Times New Roman" w:hAnsiTheme="majorBidi" w:cstheme="majorBidi"/>
          <w:b/>
          <w:bCs/>
          <w:sz w:val="20"/>
          <w:szCs w:val="20"/>
          <w:lang w:bidi="fa-IR"/>
        </w:rPr>
        <w:t>Table 4.</w:t>
      </w:r>
      <w:r w:rsidRPr="00D0415B">
        <w:rPr>
          <w:rFonts w:asciiTheme="majorBidi" w:eastAsia="Times New Roman" w:hAnsiTheme="majorBidi" w:cstheme="majorBidi"/>
          <w:sz w:val="20"/>
          <w:szCs w:val="20"/>
          <w:lang w:bidi="fa-IR"/>
        </w:rPr>
        <w:t xml:space="preserve"> Effect of foliar application of different concentrations of nitrogen and various amino acids includes Arginine, Ornithine and Aspartic acid and an equal concentration of combination of amino acids on total phenolic content (TPC), flavonoid (TFC) and antioxidant activity (DPPH and FRAP) of Virginia variety of </w:t>
      </w:r>
      <w:r w:rsidRPr="00D0415B">
        <w:rPr>
          <w:rFonts w:asciiTheme="majorBidi" w:eastAsia="Times New Roman" w:hAnsiTheme="majorBidi" w:cstheme="majorBidi"/>
          <w:i/>
          <w:iCs/>
          <w:sz w:val="20"/>
          <w:szCs w:val="20"/>
          <w:lang w:bidi="fa-IR"/>
        </w:rPr>
        <w:t xml:space="preserve">N. </w:t>
      </w:r>
      <w:proofErr w:type="spellStart"/>
      <w:r w:rsidRPr="00D0415B">
        <w:rPr>
          <w:rFonts w:asciiTheme="majorBidi" w:eastAsia="Times New Roman" w:hAnsiTheme="majorBidi" w:cstheme="majorBidi"/>
          <w:i/>
          <w:iCs/>
          <w:sz w:val="20"/>
          <w:szCs w:val="20"/>
          <w:lang w:bidi="fa-IR"/>
        </w:rPr>
        <w:t>tabacum</w:t>
      </w:r>
      <w:proofErr w:type="spellEnd"/>
      <w:r w:rsidRPr="00D0415B">
        <w:rPr>
          <w:rFonts w:asciiTheme="majorBidi" w:eastAsia="Times New Roman" w:hAnsiTheme="majorBidi" w:cstheme="majorBidi"/>
          <w:sz w:val="20"/>
          <w:szCs w:val="20"/>
          <w:lang w:bidi="fa-IR"/>
        </w:rPr>
        <w:t xml:space="preserve">. </w:t>
      </w:r>
    </w:p>
    <w:tbl>
      <w:tblPr>
        <w:tblW w:w="10129" w:type="dxa"/>
        <w:tblInd w:w="-426" w:type="dxa"/>
        <w:tblLook w:val="04A0" w:firstRow="1" w:lastRow="0" w:firstColumn="1" w:lastColumn="0" w:noHBand="0" w:noVBand="1"/>
      </w:tblPr>
      <w:tblGrid>
        <w:gridCol w:w="910"/>
        <w:gridCol w:w="1301"/>
        <w:gridCol w:w="1705"/>
        <w:gridCol w:w="1655"/>
        <w:gridCol w:w="1500"/>
        <w:gridCol w:w="1572"/>
        <w:gridCol w:w="1486"/>
      </w:tblGrid>
      <w:tr w:rsidR="00873563" w:rsidRPr="00D0415B" w14:paraId="1A63BC39" w14:textId="77777777" w:rsidTr="000A0088">
        <w:trPr>
          <w:trHeight w:val="268"/>
        </w:trPr>
        <w:tc>
          <w:tcPr>
            <w:tcW w:w="910" w:type="dxa"/>
            <w:tcBorders>
              <w:top w:val="single" w:sz="4" w:space="0" w:color="auto"/>
              <w:left w:val="nil"/>
              <w:bottom w:val="single" w:sz="4" w:space="0" w:color="auto"/>
              <w:right w:val="nil"/>
            </w:tcBorders>
            <w:shd w:val="clear" w:color="auto" w:fill="auto"/>
            <w:noWrap/>
            <w:vAlign w:val="center"/>
            <w:hideMark/>
          </w:tcPr>
          <w:p w14:paraId="432D7B96"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Variety</w:t>
            </w:r>
          </w:p>
        </w:tc>
        <w:tc>
          <w:tcPr>
            <w:tcW w:w="1301" w:type="dxa"/>
            <w:tcBorders>
              <w:top w:val="single" w:sz="4" w:space="0" w:color="auto"/>
              <w:left w:val="nil"/>
              <w:bottom w:val="single" w:sz="4" w:space="0" w:color="auto"/>
              <w:right w:val="nil"/>
            </w:tcBorders>
            <w:vAlign w:val="center"/>
          </w:tcPr>
          <w:p w14:paraId="42EB073A"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Year</w:t>
            </w:r>
          </w:p>
        </w:tc>
        <w:tc>
          <w:tcPr>
            <w:tcW w:w="1705" w:type="dxa"/>
            <w:tcBorders>
              <w:top w:val="single" w:sz="4" w:space="0" w:color="auto"/>
              <w:left w:val="nil"/>
              <w:bottom w:val="single" w:sz="4" w:space="0" w:color="auto"/>
              <w:right w:val="nil"/>
            </w:tcBorders>
            <w:shd w:val="clear" w:color="auto" w:fill="auto"/>
            <w:noWrap/>
            <w:vAlign w:val="center"/>
            <w:hideMark/>
          </w:tcPr>
          <w:p w14:paraId="4D811ED3" w14:textId="77777777" w:rsidR="00873563" w:rsidRPr="00D0415B" w:rsidRDefault="00873563" w:rsidP="000A0088">
            <w:pPr>
              <w:spacing w:after="0" w:line="240" w:lineRule="auto"/>
              <w:jc w:val="center"/>
              <w:rPr>
                <w:rFonts w:ascii="Times New Roman" w:eastAsia="Times New Roman" w:hAnsi="Times New Roman" w:cs="Times New Roman"/>
                <w:b/>
                <w:bCs/>
                <w:sz w:val="16"/>
                <w:szCs w:val="16"/>
              </w:rPr>
            </w:pPr>
            <w:r w:rsidRPr="00D0415B">
              <w:rPr>
                <w:rFonts w:ascii="Times New Roman" w:eastAsia="Times New Roman" w:hAnsi="Times New Roman" w:cs="Times New Roman"/>
                <w:b/>
                <w:bCs/>
                <w:sz w:val="16"/>
                <w:szCs w:val="16"/>
              </w:rPr>
              <w:t>Treatments</w:t>
            </w:r>
          </w:p>
        </w:tc>
        <w:tc>
          <w:tcPr>
            <w:tcW w:w="1655" w:type="dxa"/>
            <w:tcBorders>
              <w:top w:val="single" w:sz="4" w:space="0" w:color="auto"/>
              <w:left w:val="nil"/>
              <w:bottom w:val="single" w:sz="4" w:space="0" w:color="auto"/>
              <w:right w:val="nil"/>
            </w:tcBorders>
            <w:shd w:val="clear" w:color="auto" w:fill="auto"/>
            <w:noWrap/>
            <w:vAlign w:val="center"/>
            <w:hideMark/>
          </w:tcPr>
          <w:p w14:paraId="6D886DE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TPC</w:t>
            </w:r>
          </w:p>
          <w:p w14:paraId="25EDFEC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GAE/g DW)</w:t>
            </w:r>
          </w:p>
        </w:tc>
        <w:tc>
          <w:tcPr>
            <w:tcW w:w="1500" w:type="dxa"/>
            <w:tcBorders>
              <w:top w:val="single" w:sz="4" w:space="0" w:color="auto"/>
              <w:left w:val="nil"/>
              <w:bottom w:val="single" w:sz="4" w:space="0" w:color="auto"/>
              <w:right w:val="nil"/>
            </w:tcBorders>
            <w:shd w:val="clear" w:color="auto" w:fill="auto"/>
            <w:noWrap/>
            <w:vAlign w:val="center"/>
            <w:hideMark/>
          </w:tcPr>
          <w:p w14:paraId="3654F94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TFC</w:t>
            </w:r>
          </w:p>
          <w:p w14:paraId="74EC0DD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QE/g DW)</w:t>
            </w:r>
          </w:p>
        </w:tc>
        <w:tc>
          <w:tcPr>
            <w:tcW w:w="1572" w:type="dxa"/>
            <w:tcBorders>
              <w:top w:val="single" w:sz="4" w:space="0" w:color="auto"/>
              <w:left w:val="nil"/>
              <w:bottom w:val="single" w:sz="4" w:space="0" w:color="auto"/>
              <w:right w:val="nil"/>
            </w:tcBorders>
            <w:shd w:val="clear" w:color="auto" w:fill="auto"/>
            <w:noWrap/>
            <w:vAlign w:val="center"/>
            <w:hideMark/>
          </w:tcPr>
          <w:p w14:paraId="1EDB739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DPPH</w:t>
            </w:r>
          </w:p>
          <w:p w14:paraId="63EDCE7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(IC</w:t>
            </w:r>
            <w:r w:rsidRPr="00D0415B">
              <w:rPr>
                <w:rFonts w:ascii="Times New Roman" w:eastAsia="Times New Roman" w:hAnsi="Times New Roman" w:cs="Times New Roman"/>
                <w:color w:val="000000"/>
                <w:sz w:val="16"/>
                <w:szCs w:val="16"/>
                <w:vertAlign w:val="subscript"/>
              </w:rPr>
              <w:t xml:space="preserve">50 </w:t>
            </w:r>
            <w:proofErr w:type="spellStart"/>
            <w:r w:rsidRPr="00D0415B">
              <w:rPr>
                <w:rFonts w:ascii="Times New Roman" w:eastAsia="Times New Roman" w:hAnsi="Times New Roman" w:cs="Times New Roman"/>
                <w:color w:val="000000"/>
                <w:sz w:val="16"/>
                <w:szCs w:val="16"/>
              </w:rPr>
              <w:t>μg</w:t>
            </w:r>
            <w:proofErr w:type="spellEnd"/>
            <w:r w:rsidRPr="00D0415B">
              <w:rPr>
                <w:rFonts w:ascii="Times New Roman" w:eastAsia="Times New Roman" w:hAnsi="Times New Roman" w:cs="Times New Roman"/>
                <w:color w:val="000000"/>
                <w:sz w:val="16"/>
                <w:szCs w:val="16"/>
              </w:rPr>
              <w:t>/ml)</w:t>
            </w:r>
          </w:p>
        </w:tc>
        <w:tc>
          <w:tcPr>
            <w:tcW w:w="1486" w:type="dxa"/>
            <w:tcBorders>
              <w:top w:val="single" w:sz="4" w:space="0" w:color="auto"/>
              <w:left w:val="nil"/>
              <w:bottom w:val="single" w:sz="4" w:space="0" w:color="auto"/>
              <w:right w:val="nil"/>
            </w:tcBorders>
            <w:shd w:val="clear" w:color="auto" w:fill="auto"/>
            <w:noWrap/>
            <w:vAlign w:val="center"/>
            <w:hideMark/>
          </w:tcPr>
          <w:p w14:paraId="3516223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FRAP</w:t>
            </w:r>
          </w:p>
          <w:p w14:paraId="2D2C5FC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(mg Fe</w:t>
            </w:r>
            <w:r w:rsidRPr="00D0415B">
              <w:rPr>
                <w:rFonts w:ascii="Times New Roman" w:eastAsia="Times New Roman" w:hAnsi="Times New Roman" w:cs="Times New Roman"/>
                <w:color w:val="000000"/>
                <w:sz w:val="16"/>
                <w:szCs w:val="16"/>
                <w:vertAlign w:val="superscript"/>
              </w:rPr>
              <w:t>2⁺</w:t>
            </w:r>
            <w:r w:rsidRPr="00D0415B">
              <w:rPr>
                <w:rFonts w:ascii="Times New Roman" w:eastAsia="Times New Roman" w:hAnsi="Times New Roman" w:cs="Times New Roman"/>
                <w:color w:val="000000"/>
                <w:sz w:val="16"/>
                <w:szCs w:val="16"/>
              </w:rPr>
              <w:t>/g DW)</w:t>
            </w:r>
          </w:p>
        </w:tc>
      </w:tr>
      <w:tr w:rsidR="00873563" w:rsidRPr="00D0415B" w14:paraId="5896C802" w14:textId="77777777" w:rsidTr="000A0088">
        <w:trPr>
          <w:trHeight w:val="268"/>
        </w:trPr>
        <w:tc>
          <w:tcPr>
            <w:tcW w:w="910" w:type="dxa"/>
            <w:tcBorders>
              <w:top w:val="single" w:sz="4" w:space="0" w:color="auto"/>
              <w:left w:val="nil"/>
              <w:bottom w:val="nil"/>
              <w:right w:val="nil"/>
            </w:tcBorders>
            <w:shd w:val="clear" w:color="auto" w:fill="auto"/>
            <w:noWrap/>
            <w:vAlign w:val="center"/>
            <w:hideMark/>
          </w:tcPr>
          <w:p w14:paraId="7F38A98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single" w:sz="4" w:space="0" w:color="auto"/>
              <w:left w:val="nil"/>
              <w:bottom w:val="nil"/>
              <w:right w:val="nil"/>
            </w:tcBorders>
            <w:vAlign w:val="center"/>
          </w:tcPr>
          <w:p w14:paraId="3BCB88B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single" w:sz="4" w:space="0" w:color="auto"/>
              <w:left w:val="nil"/>
              <w:bottom w:val="nil"/>
              <w:right w:val="nil"/>
            </w:tcBorders>
            <w:shd w:val="clear" w:color="auto" w:fill="auto"/>
            <w:noWrap/>
            <w:vAlign w:val="center"/>
            <w:hideMark/>
          </w:tcPr>
          <w:p w14:paraId="0A47A51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655" w:type="dxa"/>
            <w:tcBorders>
              <w:top w:val="single" w:sz="4" w:space="0" w:color="auto"/>
              <w:left w:val="nil"/>
              <w:bottom w:val="nil"/>
              <w:right w:val="nil"/>
            </w:tcBorders>
            <w:shd w:val="clear" w:color="auto" w:fill="auto"/>
            <w:noWrap/>
            <w:vAlign w:val="center"/>
            <w:hideMark/>
          </w:tcPr>
          <w:p w14:paraId="79949B4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9.1</w:t>
            </w:r>
            <w:r w:rsidRPr="00D0415B">
              <w:rPr>
                <w:rFonts w:ascii="Times New Roman" w:eastAsia="Times New Roman" w:hAnsi="Times New Roman" w:cs="Times New Roman"/>
                <w:color w:val="000000"/>
                <w:sz w:val="16"/>
                <w:szCs w:val="16"/>
                <w:vertAlign w:val="superscript"/>
              </w:rPr>
              <w:t>e</w:t>
            </w:r>
          </w:p>
        </w:tc>
        <w:tc>
          <w:tcPr>
            <w:tcW w:w="1500" w:type="dxa"/>
            <w:tcBorders>
              <w:top w:val="single" w:sz="4" w:space="0" w:color="auto"/>
              <w:left w:val="nil"/>
              <w:bottom w:val="nil"/>
              <w:right w:val="nil"/>
            </w:tcBorders>
            <w:shd w:val="clear" w:color="auto" w:fill="auto"/>
            <w:noWrap/>
            <w:vAlign w:val="center"/>
            <w:hideMark/>
          </w:tcPr>
          <w:p w14:paraId="5515B04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8.1</w:t>
            </w:r>
            <w:r w:rsidRPr="00D0415B">
              <w:rPr>
                <w:rFonts w:ascii="Times New Roman" w:eastAsia="Times New Roman" w:hAnsi="Times New Roman" w:cs="Times New Roman"/>
                <w:color w:val="000000"/>
                <w:sz w:val="16"/>
                <w:szCs w:val="16"/>
                <w:vertAlign w:val="superscript"/>
              </w:rPr>
              <w:t>c</w:t>
            </w:r>
          </w:p>
        </w:tc>
        <w:tc>
          <w:tcPr>
            <w:tcW w:w="1572" w:type="dxa"/>
            <w:tcBorders>
              <w:top w:val="single" w:sz="4" w:space="0" w:color="auto"/>
              <w:left w:val="nil"/>
              <w:bottom w:val="nil"/>
              <w:right w:val="nil"/>
            </w:tcBorders>
            <w:shd w:val="clear" w:color="auto" w:fill="auto"/>
            <w:noWrap/>
            <w:vAlign w:val="center"/>
            <w:hideMark/>
          </w:tcPr>
          <w:p w14:paraId="3C19A57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63.5</w:t>
            </w:r>
            <w:r w:rsidRPr="00D0415B">
              <w:rPr>
                <w:rFonts w:ascii="Times New Roman" w:eastAsia="Times New Roman" w:hAnsi="Times New Roman" w:cs="Times New Roman"/>
                <w:color w:val="000000"/>
                <w:sz w:val="16"/>
                <w:szCs w:val="16"/>
                <w:vertAlign w:val="superscript"/>
              </w:rPr>
              <w:t>c</w:t>
            </w:r>
          </w:p>
        </w:tc>
        <w:tc>
          <w:tcPr>
            <w:tcW w:w="1486" w:type="dxa"/>
            <w:tcBorders>
              <w:top w:val="single" w:sz="4" w:space="0" w:color="auto"/>
              <w:left w:val="nil"/>
              <w:bottom w:val="nil"/>
              <w:right w:val="nil"/>
            </w:tcBorders>
            <w:shd w:val="clear" w:color="auto" w:fill="auto"/>
            <w:noWrap/>
            <w:vAlign w:val="center"/>
            <w:hideMark/>
          </w:tcPr>
          <w:p w14:paraId="3EEE574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25.2</w:t>
            </w:r>
            <w:r w:rsidRPr="00D0415B">
              <w:rPr>
                <w:rFonts w:ascii="Times New Roman" w:eastAsia="Times New Roman" w:hAnsi="Times New Roman" w:cs="Times New Roman"/>
                <w:color w:val="000000"/>
                <w:sz w:val="16"/>
                <w:szCs w:val="16"/>
                <w:vertAlign w:val="superscript"/>
              </w:rPr>
              <w:t>d</w:t>
            </w:r>
          </w:p>
        </w:tc>
      </w:tr>
      <w:tr w:rsidR="00873563" w:rsidRPr="00D0415B" w14:paraId="4642E7A0" w14:textId="77777777" w:rsidTr="000A0088">
        <w:trPr>
          <w:trHeight w:val="268"/>
        </w:trPr>
        <w:tc>
          <w:tcPr>
            <w:tcW w:w="910" w:type="dxa"/>
            <w:tcBorders>
              <w:top w:val="nil"/>
              <w:left w:val="nil"/>
              <w:bottom w:val="nil"/>
              <w:right w:val="nil"/>
            </w:tcBorders>
            <w:shd w:val="clear" w:color="auto" w:fill="auto"/>
            <w:noWrap/>
            <w:vAlign w:val="center"/>
            <w:hideMark/>
          </w:tcPr>
          <w:p w14:paraId="2B83DBA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7C8F6BB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hideMark/>
          </w:tcPr>
          <w:p w14:paraId="25242C9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655" w:type="dxa"/>
            <w:tcBorders>
              <w:top w:val="nil"/>
              <w:left w:val="nil"/>
              <w:bottom w:val="nil"/>
              <w:right w:val="nil"/>
            </w:tcBorders>
            <w:shd w:val="clear" w:color="auto" w:fill="auto"/>
            <w:noWrap/>
            <w:vAlign w:val="center"/>
            <w:hideMark/>
          </w:tcPr>
          <w:p w14:paraId="77CF5FE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w:t>
            </w:r>
            <w:r w:rsidRPr="00D0415B">
              <w:rPr>
                <w:rFonts w:ascii="Times New Roman" w:eastAsia="Times New Roman" w:hAnsi="Times New Roman" w:cs="Times New Roman"/>
                <w:color w:val="000000"/>
                <w:sz w:val="16"/>
                <w:szCs w:val="16"/>
                <w:vertAlign w:val="superscript"/>
              </w:rPr>
              <w:t>e</w:t>
            </w:r>
          </w:p>
        </w:tc>
        <w:tc>
          <w:tcPr>
            <w:tcW w:w="1500" w:type="dxa"/>
            <w:tcBorders>
              <w:top w:val="nil"/>
              <w:left w:val="nil"/>
              <w:bottom w:val="nil"/>
              <w:right w:val="nil"/>
            </w:tcBorders>
            <w:shd w:val="clear" w:color="auto" w:fill="auto"/>
            <w:noWrap/>
            <w:vAlign w:val="center"/>
            <w:hideMark/>
          </w:tcPr>
          <w:p w14:paraId="699F83A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hideMark/>
          </w:tcPr>
          <w:p w14:paraId="278A6A0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75.9</w:t>
            </w:r>
            <w:r w:rsidRPr="00D0415B">
              <w:rPr>
                <w:rFonts w:ascii="Times New Roman" w:eastAsia="Times New Roman" w:hAnsi="Times New Roman" w:cs="Times New Roman"/>
                <w:color w:val="000000"/>
                <w:sz w:val="16"/>
                <w:szCs w:val="16"/>
                <w:vertAlign w:val="superscript"/>
              </w:rPr>
              <w:t>d</w:t>
            </w:r>
          </w:p>
        </w:tc>
        <w:tc>
          <w:tcPr>
            <w:tcW w:w="1486" w:type="dxa"/>
            <w:tcBorders>
              <w:top w:val="nil"/>
              <w:left w:val="nil"/>
              <w:bottom w:val="nil"/>
              <w:right w:val="nil"/>
            </w:tcBorders>
            <w:shd w:val="clear" w:color="auto" w:fill="auto"/>
            <w:noWrap/>
            <w:vAlign w:val="center"/>
            <w:hideMark/>
          </w:tcPr>
          <w:p w14:paraId="04121F2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21.0</w:t>
            </w:r>
            <w:r w:rsidRPr="00D0415B">
              <w:rPr>
                <w:rFonts w:ascii="Times New Roman" w:eastAsia="Times New Roman" w:hAnsi="Times New Roman" w:cs="Times New Roman"/>
                <w:color w:val="000000"/>
                <w:sz w:val="16"/>
                <w:szCs w:val="16"/>
                <w:vertAlign w:val="superscript"/>
              </w:rPr>
              <w:t>e</w:t>
            </w:r>
          </w:p>
        </w:tc>
      </w:tr>
      <w:tr w:rsidR="00873563" w:rsidRPr="00D0415B" w14:paraId="5A407041" w14:textId="77777777" w:rsidTr="000A0088">
        <w:trPr>
          <w:trHeight w:val="268"/>
        </w:trPr>
        <w:tc>
          <w:tcPr>
            <w:tcW w:w="910" w:type="dxa"/>
            <w:tcBorders>
              <w:top w:val="nil"/>
              <w:left w:val="nil"/>
              <w:bottom w:val="nil"/>
              <w:right w:val="nil"/>
            </w:tcBorders>
            <w:shd w:val="clear" w:color="auto" w:fill="auto"/>
            <w:noWrap/>
            <w:vAlign w:val="center"/>
            <w:hideMark/>
          </w:tcPr>
          <w:p w14:paraId="0FBCBCA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569DBF6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hideMark/>
          </w:tcPr>
          <w:p w14:paraId="7CC5053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655" w:type="dxa"/>
            <w:tcBorders>
              <w:top w:val="nil"/>
              <w:left w:val="nil"/>
              <w:bottom w:val="nil"/>
              <w:right w:val="nil"/>
            </w:tcBorders>
            <w:shd w:val="clear" w:color="auto" w:fill="auto"/>
            <w:noWrap/>
            <w:vAlign w:val="center"/>
            <w:hideMark/>
          </w:tcPr>
          <w:p w14:paraId="2D65382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8.5</w:t>
            </w:r>
            <w:r w:rsidRPr="00D0415B">
              <w:rPr>
                <w:rFonts w:ascii="Times New Roman" w:eastAsia="Times New Roman" w:hAnsi="Times New Roman" w:cs="Times New Roman"/>
                <w:color w:val="000000"/>
                <w:sz w:val="16"/>
                <w:szCs w:val="16"/>
                <w:vertAlign w:val="superscript"/>
              </w:rPr>
              <w:t>e</w:t>
            </w:r>
          </w:p>
        </w:tc>
        <w:tc>
          <w:tcPr>
            <w:tcW w:w="1500" w:type="dxa"/>
            <w:tcBorders>
              <w:top w:val="nil"/>
              <w:left w:val="nil"/>
              <w:bottom w:val="nil"/>
              <w:right w:val="nil"/>
            </w:tcBorders>
            <w:shd w:val="clear" w:color="auto" w:fill="auto"/>
            <w:noWrap/>
            <w:vAlign w:val="center"/>
            <w:hideMark/>
          </w:tcPr>
          <w:p w14:paraId="1F2782F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hideMark/>
          </w:tcPr>
          <w:p w14:paraId="49D8E97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77.0</w:t>
            </w:r>
            <w:r w:rsidRPr="00D0415B">
              <w:rPr>
                <w:rFonts w:ascii="Times New Roman" w:eastAsia="Times New Roman" w:hAnsi="Times New Roman" w:cs="Times New Roman"/>
                <w:color w:val="000000"/>
                <w:sz w:val="16"/>
                <w:szCs w:val="16"/>
                <w:vertAlign w:val="superscript"/>
              </w:rPr>
              <w:t>d</w:t>
            </w:r>
          </w:p>
        </w:tc>
        <w:tc>
          <w:tcPr>
            <w:tcW w:w="1486" w:type="dxa"/>
            <w:tcBorders>
              <w:top w:val="nil"/>
              <w:left w:val="nil"/>
              <w:bottom w:val="nil"/>
              <w:right w:val="nil"/>
            </w:tcBorders>
            <w:shd w:val="clear" w:color="auto" w:fill="auto"/>
            <w:noWrap/>
            <w:vAlign w:val="center"/>
            <w:hideMark/>
          </w:tcPr>
          <w:p w14:paraId="2180837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20.1</w:t>
            </w:r>
            <w:r w:rsidRPr="00D0415B">
              <w:rPr>
                <w:rFonts w:ascii="Times New Roman" w:eastAsia="Times New Roman" w:hAnsi="Times New Roman" w:cs="Times New Roman"/>
                <w:color w:val="000000"/>
                <w:sz w:val="16"/>
                <w:szCs w:val="16"/>
                <w:vertAlign w:val="superscript"/>
              </w:rPr>
              <w:t>e</w:t>
            </w:r>
          </w:p>
        </w:tc>
      </w:tr>
      <w:tr w:rsidR="00873563" w:rsidRPr="00D0415B" w14:paraId="0A2565ED" w14:textId="77777777" w:rsidTr="000A0088">
        <w:trPr>
          <w:trHeight w:val="268"/>
        </w:trPr>
        <w:tc>
          <w:tcPr>
            <w:tcW w:w="910" w:type="dxa"/>
            <w:tcBorders>
              <w:top w:val="nil"/>
              <w:left w:val="nil"/>
              <w:bottom w:val="nil"/>
              <w:right w:val="nil"/>
            </w:tcBorders>
            <w:shd w:val="clear" w:color="auto" w:fill="auto"/>
            <w:noWrap/>
            <w:vAlign w:val="center"/>
          </w:tcPr>
          <w:p w14:paraId="751F496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4C4FBB7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29D70C1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655" w:type="dxa"/>
            <w:tcBorders>
              <w:top w:val="nil"/>
              <w:left w:val="nil"/>
              <w:bottom w:val="nil"/>
              <w:right w:val="nil"/>
            </w:tcBorders>
            <w:shd w:val="clear" w:color="auto" w:fill="auto"/>
            <w:noWrap/>
            <w:vAlign w:val="center"/>
          </w:tcPr>
          <w:p w14:paraId="39F8662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9.0</w:t>
            </w:r>
            <w:r w:rsidRPr="00D0415B">
              <w:rPr>
                <w:rFonts w:ascii="Times New Roman" w:eastAsia="Times New Roman" w:hAnsi="Times New Roman" w:cs="Times New Roman"/>
                <w:color w:val="000000"/>
                <w:sz w:val="16"/>
                <w:szCs w:val="16"/>
                <w:vertAlign w:val="superscript"/>
              </w:rPr>
              <w:t>e</w:t>
            </w:r>
          </w:p>
        </w:tc>
        <w:tc>
          <w:tcPr>
            <w:tcW w:w="1500" w:type="dxa"/>
            <w:tcBorders>
              <w:top w:val="nil"/>
              <w:left w:val="nil"/>
              <w:bottom w:val="nil"/>
              <w:right w:val="nil"/>
            </w:tcBorders>
            <w:shd w:val="clear" w:color="auto" w:fill="auto"/>
            <w:noWrap/>
            <w:vAlign w:val="center"/>
          </w:tcPr>
          <w:p w14:paraId="0973300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7.4</w:t>
            </w:r>
            <w:r w:rsidRPr="00D0415B">
              <w:rPr>
                <w:rFonts w:ascii="Times New Roman" w:eastAsia="Times New Roman" w:hAnsi="Times New Roman" w:cs="Times New Roman"/>
                <w:color w:val="000000"/>
                <w:sz w:val="16"/>
                <w:szCs w:val="16"/>
                <w:vertAlign w:val="superscript"/>
              </w:rPr>
              <w:t>d</w:t>
            </w:r>
          </w:p>
        </w:tc>
        <w:tc>
          <w:tcPr>
            <w:tcW w:w="1572" w:type="dxa"/>
            <w:tcBorders>
              <w:top w:val="nil"/>
              <w:left w:val="nil"/>
              <w:bottom w:val="nil"/>
              <w:right w:val="nil"/>
            </w:tcBorders>
            <w:shd w:val="clear" w:color="auto" w:fill="auto"/>
            <w:noWrap/>
            <w:vAlign w:val="center"/>
          </w:tcPr>
          <w:p w14:paraId="230516F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91.5</w:t>
            </w:r>
            <w:r w:rsidRPr="00D0415B">
              <w:rPr>
                <w:rFonts w:ascii="Times New Roman" w:eastAsia="Times New Roman" w:hAnsi="Times New Roman" w:cs="Times New Roman"/>
                <w:color w:val="000000"/>
                <w:sz w:val="16"/>
                <w:szCs w:val="16"/>
                <w:vertAlign w:val="superscript"/>
              </w:rPr>
              <w:t>e</w:t>
            </w:r>
          </w:p>
        </w:tc>
        <w:tc>
          <w:tcPr>
            <w:tcW w:w="1486" w:type="dxa"/>
            <w:tcBorders>
              <w:top w:val="nil"/>
              <w:left w:val="nil"/>
              <w:bottom w:val="nil"/>
              <w:right w:val="nil"/>
            </w:tcBorders>
            <w:shd w:val="clear" w:color="auto" w:fill="auto"/>
            <w:noWrap/>
            <w:vAlign w:val="center"/>
          </w:tcPr>
          <w:p w14:paraId="154EC69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16.9</w:t>
            </w:r>
            <w:r w:rsidRPr="00D0415B">
              <w:rPr>
                <w:rFonts w:ascii="Times New Roman" w:eastAsia="Times New Roman" w:hAnsi="Times New Roman" w:cs="Times New Roman"/>
                <w:color w:val="000000"/>
                <w:sz w:val="16"/>
                <w:szCs w:val="16"/>
                <w:vertAlign w:val="superscript"/>
              </w:rPr>
              <w:t>f</w:t>
            </w:r>
          </w:p>
        </w:tc>
      </w:tr>
      <w:tr w:rsidR="00873563" w:rsidRPr="00D0415B" w14:paraId="54F53641" w14:textId="77777777" w:rsidTr="000A0088">
        <w:trPr>
          <w:trHeight w:val="268"/>
        </w:trPr>
        <w:tc>
          <w:tcPr>
            <w:tcW w:w="910" w:type="dxa"/>
            <w:tcBorders>
              <w:top w:val="nil"/>
              <w:left w:val="nil"/>
              <w:bottom w:val="nil"/>
              <w:right w:val="nil"/>
            </w:tcBorders>
            <w:shd w:val="clear" w:color="auto" w:fill="auto"/>
            <w:noWrap/>
            <w:vAlign w:val="center"/>
          </w:tcPr>
          <w:p w14:paraId="57C3EB1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121FDCA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6B61BF9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655" w:type="dxa"/>
            <w:tcBorders>
              <w:top w:val="nil"/>
              <w:left w:val="nil"/>
              <w:bottom w:val="nil"/>
              <w:right w:val="nil"/>
            </w:tcBorders>
            <w:shd w:val="clear" w:color="auto" w:fill="auto"/>
            <w:noWrap/>
            <w:vAlign w:val="center"/>
          </w:tcPr>
          <w:p w14:paraId="1FFF455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10.1</w:t>
            </w:r>
            <w:r w:rsidRPr="00D0415B">
              <w:rPr>
                <w:rFonts w:ascii="Times New Roman" w:eastAsia="Times New Roman" w:hAnsi="Times New Roman" w:cs="Times New Roman"/>
                <w:color w:val="000000"/>
                <w:sz w:val="16"/>
                <w:szCs w:val="16"/>
                <w:vertAlign w:val="superscript"/>
              </w:rPr>
              <w:t>d</w:t>
            </w:r>
          </w:p>
        </w:tc>
        <w:tc>
          <w:tcPr>
            <w:tcW w:w="1500" w:type="dxa"/>
            <w:tcBorders>
              <w:top w:val="nil"/>
              <w:left w:val="nil"/>
              <w:bottom w:val="nil"/>
              <w:right w:val="nil"/>
            </w:tcBorders>
            <w:shd w:val="clear" w:color="auto" w:fill="auto"/>
            <w:noWrap/>
            <w:vAlign w:val="center"/>
          </w:tcPr>
          <w:p w14:paraId="1F14EE6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7.1</w:t>
            </w:r>
            <w:r w:rsidRPr="00D0415B">
              <w:rPr>
                <w:rFonts w:ascii="Times New Roman" w:eastAsia="Times New Roman" w:hAnsi="Times New Roman" w:cs="Times New Roman"/>
                <w:color w:val="000000"/>
                <w:sz w:val="16"/>
                <w:szCs w:val="16"/>
                <w:vertAlign w:val="superscript"/>
              </w:rPr>
              <w:t>d</w:t>
            </w:r>
          </w:p>
        </w:tc>
        <w:tc>
          <w:tcPr>
            <w:tcW w:w="1572" w:type="dxa"/>
            <w:tcBorders>
              <w:top w:val="nil"/>
              <w:left w:val="nil"/>
              <w:bottom w:val="nil"/>
              <w:right w:val="nil"/>
            </w:tcBorders>
            <w:shd w:val="clear" w:color="auto" w:fill="auto"/>
            <w:noWrap/>
            <w:vAlign w:val="center"/>
          </w:tcPr>
          <w:p w14:paraId="010ADBA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98.4</w:t>
            </w:r>
            <w:r w:rsidRPr="00D0415B">
              <w:rPr>
                <w:rFonts w:ascii="Times New Roman" w:eastAsia="Times New Roman" w:hAnsi="Times New Roman" w:cs="Times New Roman"/>
                <w:color w:val="000000"/>
                <w:sz w:val="16"/>
                <w:szCs w:val="16"/>
                <w:vertAlign w:val="superscript"/>
              </w:rPr>
              <w:t>f</w:t>
            </w:r>
          </w:p>
        </w:tc>
        <w:tc>
          <w:tcPr>
            <w:tcW w:w="1486" w:type="dxa"/>
            <w:tcBorders>
              <w:top w:val="nil"/>
              <w:left w:val="nil"/>
              <w:bottom w:val="nil"/>
              <w:right w:val="nil"/>
            </w:tcBorders>
            <w:shd w:val="clear" w:color="auto" w:fill="auto"/>
            <w:noWrap/>
            <w:vAlign w:val="center"/>
          </w:tcPr>
          <w:p w14:paraId="189987A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15.4</w:t>
            </w:r>
            <w:r w:rsidRPr="00D0415B">
              <w:rPr>
                <w:rFonts w:ascii="Times New Roman" w:eastAsia="Times New Roman" w:hAnsi="Times New Roman" w:cs="Times New Roman"/>
                <w:color w:val="000000"/>
                <w:sz w:val="16"/>
                <w:szCs w:val="16"/>
                <w:vertAlign w:val="superscript"/>
              </w:rPr>
              <w:t>f</w:t>
            </w:r>
          </w:p>
        </w:tc>
      </w:tr>
      <w:tr w:rsidR="00873563" w:rsidRPr="00D0415B" w14:paraId="433CB802" w14:textId="77777777" w:rsidTr="000A0088">
        <w:trPr>
          <w:trHeight w:val="268"/>
        </w:trPr>
        <w:tc>
          <w:tcPr>
            <w:tcW w:w="910" w:type="dxa"/>
            <w:tcBorders>
              <w:top w:val="nil"/>
              <w:left w:val="nil"/>
              <w:bottom w:val="nil"/>
              <w:right w:val="nil"/>
            </w:tcBorders>
            <w:shd w:val="clear" w:color="auto" w:fill="auto"/>
            <w:noWrap/>
            <w:vAlign w:val="center"/>
          </w:tcPr>
          <w:p w14:paraId="5E2F503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5826169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483E78C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655" w:type="dxa"/>
            <w:tcBorders>
              <w:top w:val="nil"/>
              <w:left w:val="nil"/>
              <w:bottom w:val="nil"/>
              <w:right w:val="nil"/>
            </w:tcBorders>
            <w:shd w:val="clear" w:color="auto" w:fill="auto"/>
            <w:noWrap/>
            <w:vAlign w:val="center"/>
          </w:tcPr>
          <w:p w14:paraId="1FAD1C4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c</w:t>
            </w:r>
          </w:p>
        </w:tc>
        <w:tc>
          <w:tcPr>
            <w:tcW w:w="1500" w:type="dxa"/>
            <w:tcBorders>
              <w:top w:val="nil"/>
              <w:left w:val="nil"/>
              <w:bottom w:val="nil"/>
              <w:right w:val="nil"/>
            </w:tcBorders>
            <w:shd w:val="clear" w:color="auto" w:fill="auto"/>
            <w:noWrap/>
            <w:vAlign w:val="center"/>
          </w:tcPr>
          <w:p w14:paraId="4F2388E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8.4</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tcPr>
          <w:p w14:paraId="21487C2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48.0</w:t>
            </w:r>
            <w:r w:rsidRPr="00D0415B">
              <w:rPr>
                <w:rFonts w:ascii="Times New Roman" w:eastAsia="Times New Roman" w:hAnsi="Times New Roman" w:cs="Times New Roman"/>
                <w:color w:val="000000"/>
                <w:sz w:val="16"/>
                <w:szCs w:val="16"/>
                <w:vertAlign w:val="superscript"/>
              </w:rPr>
              <w:t>b</w:t>
            </w:r>
          </w:p>
        </w:tc>
        <w:tc>
          <w:tcPr>
            <w:tcW w:w="1486" w:type="dxa"/>
            <w:tcBorders>
              <w:top w:val="nil"/>
              <w:left w:val="nil"/>
              <w:bottom w:val="nil"/>
              <w:right w:val="nil"/>
            </w:tcBorders>
            <w:shd w:val="clear" w:color="auto" w:fill="auto"/>
            <w:noWrap/>
            <w:vAlign w:val="center"/>
          </w:tcPr>
          <w:p w14:paraId="74CEF93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28.6</w:t>
            </w:r>
            <w:r w:rsidRPr="00D0415B">
              <w:rPr>
                <w:rFonts w:ascii="Times New Roman" w:eastAsia="Times New Roman" w:hAnsi="Times New Roman" w:cs="Times New Roman"/>
                <w:color w:val="000000"/>
                <w:sz w:val="16"/>
                <w:szCs w:val="16"/>
                <w:vertAlign w:val="superscript"/>
              </w:rPr>
              <w:t>c</w:t>
            </w:r>
          </w:p>
        </w:tc>
      </w:tr>
      <w:tr w:rsidR="00873563" w:rsidRPr="00D0415B" w14:paraId="594DD339" w14:textId="77777777" w:rsidTr="000A0088">
        <w:trPr>
          <w:trHeight w:val="268"/>
        </w:trPr>
        <w:tc>
          <w:tcPr>
            <w:tcW w:w="910" w:type="dxa"/>
            <w:tcBorders>
              <w:top w:val="nil"/>
              <w:left w:val="nil"/>
              <w:bottom w:val="nil"/>
              <w:right w:val="nil"/>
            </w:tcBorders>
            <w:shd w:val="clear" w:color="auto" w:fill="auto"/>
            <w:noWrap/>
            <w:vAlign w:val="center"/>
          </w:tcPr>
          <w:p w14:paraId="0B6C0191"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4984CD2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06C0055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655" w:type="dxa"/>
            <w:tcBorders>
              <w:top w:val="nil"/>
              <w:left w:val="nil"/>
              <w:bottom w:val="nil"/>
              <w:right w:val="nil"/>
            </w:tcBorders>
            <w:shd w:val="clear" w:color="auto" w:fill="auto"/>
            <w:noWrap/>
            <w:vAlign w:val="center"/>
          </w:tcPr>
          <w:p w14:paraId="0F9A048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10.9</w:t>
            </w:r>
            <w:r w:rsidRPr="00D0415B">
              <w:rPr>
                <w:rFonts w:ascii="Times New Roman" w:eastAsia="Times New Roman" w:hAnsi="Times New Roman" w:cs="Times New Roman"/>
                <w:color w:val="000000"/>
                <w:sz w:val="16"/>
                <w:szCs w:val="16"/>
                <w:vertAlign w:val="superscript"/>
              </w:rPr>
              <w:t>c</w:t>
            </w:r>
          </w:p>
        </w:tc>
        <w:tc>
          <w:tcPr>
            <w:tcW w:w="1500" w:type="dxa"/>
            <w:tcBorders>
              <w:top w:val="nil"/>
              <w:left w:val="nil"/>
              <w:bottom w:val="nil"/>
              <w:right w:val="nil"/>
            </w:tcBorders>
            <w:shd w:val="clear" w:color="auto" w:fill="auto"/>
            <w:noWrap/>
            <w:vAlign w:val="center"/>
          </w:tcPr>
          <w:p w14:paraId="22AD20D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8.5</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tcPr>
          <w:p w14:paraId="66D1918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49.0</w:t>
            </w:r>
            <w:r w:rsidRPr="00D0415B">
              <w:rPr>
                <w:rFonts w:ascii="Times New Roman" w:eastAsia="Times New Roman" w:hAnsi="Times New Roman" w:cs="Times New Roman"/>
                <w:color w:val="000000"/>
                <w:sz w:val="16"/>
                <w:szCs w:val="16"/>
                <w:vertAlign w:val="superscript"/>
              </w:rPr>
              <w:t>b</w:t>
            </w:r>
          </w:p>
        </w:tc>
        <w:tc>
          <w:tcPr>
            <w:tcW w:w="1486" w:type="dxa"/>
            <w:tcBorders>
              <w:top w:val="nil"/>
              <w:left w:val="nil"/>
              <w:bottom w:val="nil"/>
              <w:right w:val="nil"/>
            </w:tcBorders>
            <w:shd w:val="clear" w:color="auto" w:fill="auto"/>
            <w:noWrap/>
            <w:vAlign w:val="center"/>
          </w:tcPr>
          <w:p w14:paraId="10C7BA9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29.1</w:t>
            </w:r>
            <w:r w:rsidRPr="00D0415B">
              <w:rPr>
                <w:rFonts w:ascii="Times New Roman" w:eastAsia="Times New Roman" w:hAnsi="Times New Roman" w:cs="Times New Roman"/>
                <w:color w:val="000000"/>
                <w:sz w:val="16"/>
                <w:szCs w:val="16"/>
                <w:vertAlign w:val="superscript"/>
              </w:rPr>
              <w:t>c</w:t>
            </w:r>
          </w:p>
        </w:tc>
      </w:tr>
      <w:tr w:rsidR="00873563" w:rsidRPr="00D0415B" w14:paraId="6C647182" w14:textId="77777777" w:rsidTr="000A0088">
        <w:trPr>
          <w:trHeight w:val="268"/>
        </w:trPr>
        <w:tc>
          <w:tcPr>
            <w:tcW w:w="910" w:type="dxa"/>
            <w:tcBorders>
              <w:top w:val="nil"/>
              <w:left w:val="nil"/>
              <w:bottom w:val="nil"/>
              <w:right w:val="nil"/>
            </w:tcBorders>
            <w:shd w:val="clear" w:color="auto" w:fill="auto"/>
            <w:noWrap/>
            <w:vAlign w:val="center"/>
          </w:tcPr>
          <w:p w14:paraId="19AD1D8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2152AC7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7BB03F8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655" w:type="dxa"/>
            <w:tcBorders>
              <w:top w:val="nil"/>
              <w:left w:val="nil"/>
              <w:bottom w:val="nil"/>
              <w:right w:val="nil"/>
            </w:tcBorders>
            <w:shd w:val="clear" w:color="auto" w:fill="auto"/>
            <w:noWrap/>
            <w:vAlign w:val="center"/>
          </w:tcPr>
          <w:p w14:paraId="3383060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13.1</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nil"/>
              <w:right w:val="nil"/>
            </w:tcBorders>
            <w:shd w:val="clear" w:color="auto" w:fill="auto"/>
            <w:noWrap/>
            <w:vAlign w:val="center"/>
          </w:tcPr>
          <w:p w14:paraId="4489F88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8.9</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tcPr>
          <w:p w14:paraId="7C112F2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43.0</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nil"/>
              <w:right w:val="nil"/>
            </w:tcBorders>
            <w:shd w:val="clear" w:color="auto" w:fill="auto"/>
            <w:noWrap/>
            <w:vAlign w:val="center"/>
          </w:tcPr>
          <w:p w14:paraId="3A4B0DF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35.0</w:t>
            </w:r>
            <w:r w:rsidRPr="00D0415B">
              <w:rPr>
                <w:rFonts w:ascii="Times New Roman" w:eastAsia="Times New Roman" w:hAnsi="Times New Roman" w:cs="Times New Roman"/>
                <w:color w:val="000000"/>
                <w:sz w:val="16"/>
                <w:szCs w:val="16"/>
                <w:vertAlign w:val="superscript"/>
              </w:rPr>
              <w:t>b</w:t>
            </w:r>
          </w:p>
        </w:tc>
      </w:tr>
      <w:tr w:rsidR="00873563" w:rsidRPr="00D0415B" w14:paraId="3AD09380" w14:textId="77777777" w:rsidTr="000A0088">
        <w:trPr>
          <w:trHeight w:val="268"/>
        </w:trPr>
        <w:tc>
          <w:tcPr>
            <w:tcW w:w="910" w:type="dxa"/>
            <w:tcBorders>
              <w:top w:val="nil"/>
              <w:left w:val="nil"/>
              <w:bottom w:val="nil"/>
              <w:right w:val="nil"/>
            </w:tcBorders>
            <w:shd w:val="clear" w:color="auto" w:fill="auto"/>
            <w:noWrap/>
            <w:vAlign w:val="center"/>
          </w:tcPr>
          <w:p w14:paraId="646376D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56D2340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5922ACE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655" w:type="dxa"/>
            <w:tcBorders>
              <w:top w:val="nil"/>
              <w:left w:val="nil"/>
              <w:bottom w:val="nil"/>
              <w:right w:val="nil"/>
            </w:tcBorders>
            <w:shd w:val="clear" w:color="auto" w:fill="auto"/>
            <w:noWrap/>
            <w:vAlign w:val="center"/>
          </w:tcPr>
          <w:p w14:paraId="2251361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13.5</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nil"/>
              <w:right w:val="nil"/>
            </w:tcBorders>
            <w:shd w:val="clear" w:color="auto" w:fill="auto"/>
            <w:noWrap/>
            <w:vAlign w:val="center"/>
          </w:tcPr>
          <w:p w14:paraId="20953EC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8.4</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tcPr>
          <w:p w14:paraId="18969FD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44.5</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nil"/>
              <w:right w:val="nil"/>
            </w:tcBorders>
            <w:shd w:val="clear" w:color="auto" w:fill="auto"/>
            <w:noWrap/>
            <w:vAlign w:val="center"/>
          </w:tcPr>
          <w:p w14:paraId="657E56B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34.9</w:t>
            </w:r>
            <w:r w:rsidRPr="00D0415B">
              <w:rPr>
                <w:rFonts w:ascii="Times New Roman" w:eastAsia="Times New Roman" w:hAnsi="Times New Roman" w:cs="Times New Roman"/>
                <w:color w:val="000000"/>
                <w:sz w:val="16"/>
                <w:szCs w:val="16"/>
                <w:vertAlign w:val="superscript"/>
              </w:rPr>
              <w:t>b</w:t>
            </w:r>
          </w:p>
        </w:tc>
      </w:tr>
      <w:tr w:rsidR="00873563" w:rsidRPr="00D0415B" w14:paraId="0C0F64AF" w14:textId="77777777" w:rsidTr="000A0088">
        <w:trPr>
          <w:trHeight w:val="268"/>
        </w:trPr>
        <w:tc>
          <w:tcPr>
            <w:tcW w:w="910" w:type="dxa"/>
            <w:tcBorders>
              <w:top w:val="nil"/>
              <w:left w:val="nil"/>
              <w:bottom w:val="nil"/>
              <w:right w:val="nil"/>
            </w:tcBorders>
            <w:shd w:val="clear" w:color="auto" w:fill="auto"/>
            <w:noWrap/>
            <w:vAlign w:val="center"/>
          </w:tcPr>
          <w:p w14:paraId="6EB76F1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0E2E8EA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2B23F59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655" w:type="dxa"/>
            <w:tcBorders>
              <w:top w:val="nil"/>
              <w:left w:val="nil"/>
              <w:bottom w:val="nil"/>
              <w:right w:val="nil"/>
            </w:tcBorders>
            <w:shd w:val="clear" w:color="auto" w:fill="auto"/>
            <w:noWrap/>
            <w:vAlign w:val="center"/>
          </w:tcPr>
          <w:p w14:paraId="1D914F9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12.5</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tcPr>
          <w:p w14:paraId="6AA6198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11.5</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vAlign w:val="center"/>
          </w:tcPr>
          <w:p w14:paraId="012D740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44.1</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nil"/>
              <w:right w:val="nil"/>
            </w:tcBorders>
            <w:shd w:val="clear" w:color="auto" w:fill="auto"/>
            <w:noWrap/>
            <w:vAlign w:val="center"/>
          </w:tcPr>
          <w:p w14:paraId="47C92EA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34.9</w:t>
            </w:r>
            <w:r w:rsidRPr="00D0415B">
              <w:rPr>
                <w:rFonts w:ascii="Times New Roman" w:eastAsia="Times New Roman" w:hAnsi="Times New Roman" w:cs="Times New Roman"/>
                <w:color w:val="000000"/>
                <w:sz w:val="16"/>
                <w:szCs w:val="16"/>
                <w:vertAlign w:val="superscript"/>
              </w:rPr>
              <w:t>b</w:t>
            </w:r>
          </w:p>
        </w:tc>
      </w:tr>
      <w:tr w:rsidR="00873563" w:rsidRPr="00D0415B" w14:paraId="4F1585DC" w14:textId="77777777" w:rsidTr="000A0088">
        <w:trPr>
          <w:trHeight w:val="268"/>
        </w:trPr>
        <w:tc>
          <w:tcPr>
            <w:tcW w:w="910" w:type="dxa"/>
            <w:tcBorders>
              <w:top w:val="nil"/>
              <w:left w:val="nil"/>
              <w:bottom w:val="nil"/>
              <w:right w:val="nil"/>
            </w:tcBorders>
            <w:shd w:val="clear" w:color="auto" w:fill="auto"/>
            <w:noWrap/>
            <w:vAlign w:val="center"/>
          </w:tcPr>
          <w:p w14:paraId="45964C5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31FC6DD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3C0FAE9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655" w:type="dxa"/>
            <w:tcBorders>
              <w:top w:val="nil"/>
              <w:left w:val="nil"/>
              <w:bottom w:val="nil"/>
              <w:right w:val="nil"/>
            </w:tcBorders>
            <w:shd w:val="clear" w:color="auto" w:fill="auto"/>
            <w:noWrap/>
            <w:vAlign w:val="center"/>
          </w:tcPr>
          <w:p w14:paraId="40A8F77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12.5</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tcPr>
          <w:p w14:paraId="2D2AAE0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12.1</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vAlign w:val="center"/>
          </w:tcPr>
          <w:p w14:paraId="596330E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43.9</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nil"/>
              <w:right w:val="nil"/>
            </w:tcBorders>
            <w:shd w:val="clear" w:color="auto" w:fill="auto"/>
            <w:noWrap/>
            <w:vAlign w:val="center"/>
          </w:tcPr>
          <w:p w14:paraId="4D5849D6"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34.8</w:t>
            </w:r>
            <w:r w:rsidRPr="00D0415B">
              <w:rPr>
                <w:rFonts w:ascii="Times New Roman" w:eastAsia="Times New Roman" w:hAnsi="Times New Roman" w:cs="Times New Roman"/>
                <w:color w:val="000000"/>
                <w:sz w:val="16"/>
                <w:szCs w:val="16"/>
                <w:vertAlign w:val="superscript"/>
              </w:rPr>
              <w:t>b</w:t>
            </w:r>
          </w:p>
        </w:tc>
      </w:tr>
      <w:tr w:rsidR="00873563" w:rsidRPr="00D0415B" w14:paraId="723125A7" w14:textId="77777777" w:rsidTr="000A0088">
        <w:trPr>
          <w:trHeight w:val="268"/>
        </w:trPr>
        <w:tc>
          <w:tcPr>
            <w:tcW w:w="910" w:type="dxa"/>
            <w:tcBorders>
              <w:top w:val="nil"/>
              <w:left w:val="nil"/>
              <w:bottom w:val="nil"/>
              <w:right w:val="nil"/>
            </w:tcBorders>
            <w:shd w:val="clear" w:color="auto" w:fill="auto"/>
            <w:noWrap/>
            <w:vAlign w:val="center"/>
          </w:tcPr>
          <w:p w14:paraId="07BD311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00106BD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nil"/>
              <w:right w:val="nil"/>
            </w:tcBorders>
            <w:shd w:val="clear" w:color="auto" w:fill="auto"/>
            <w:noWrap/>
            <w:vAlign w:val="center"/>
          </w:tcPr>
          <w:p w14:paraId="1104D01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655" w:type="dxa"/>
            <w:tcBorders>
              <w:top w:val="nil"/>
              <w:left w:val="nil"/>
              <w:bottom w:val="nil"/>
              <w:right w:val="nil"/>
            </w:tcBorders>
            <w:shd w:val="clear" w:color="auto" w:fill="auto"/>
            <w:noWrap/>
            <w:vAlign w:val="center"/>
          </w:tcPr>
          <w:p w14:paraId="00B0182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13.5</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nil"/>
              <w:right w:val="nil"/>
            </w:tcBorders>
            <w:shd w:val="clear" w:color="auto" w:fill="auto"/>
            <w:noWrap/>
            <w:vAlign w:val="center"/>
          </w:tcPr>
          <w:p w14:paraId="7E9AE20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10.5</w:t>
            </w:r>
            <w:r w:rsidRPr="00D0415B">
              <w:rPr>
                <w:rFonts w:ascii="Times New Roman" w:eastAsia="Times New Roman" w:hAnsi="Times New Roman" w:cs="Times New Roman"/>
                <w:color w:val="000000"/>
                <w:sz w:val="16"/>
                <w:szCs w:val="16"/>
                <w:vertAlign w:val="superscript"/>
              </w:rPr>
              <w:t>b</w:t>
            </w:r>
          </w:p>
        </w:tc>
        <w:tc>
          <w:tcPr>
            <w:tcW w:w="1572" w:type="dxa"/>
            <w:tcBorders>
              <w:top w:val="nil"/>
              <w:left w:val="nil"/>
              <w:bottom w:val="nil"/>
              <w:right w:val="nil"/>
            </w:tcBorders>
            <w:shd w:val="clear" w:color="auto" w:fill="auto"/>
            <w:noWrap/>
            <w:vAlign w:val="center"/>
          </w:tcPr>
          <w:p w14:paraId="16DE231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41.5</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nil"/>
              <w:right w:val="nil"/>
            </w:tcBorders>
            <w:shd w:val="clear" w:color="auto" w:fill="auto"/>
            <w:noWrap/>
            <w:vAlign w:val="center"/>
          </w:tcPr>
          <w:p w14:paraId="62F528F5"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39.6</w:t>
            </w:r>
            <w:r w:rsidRPr="00D0415B">
              <w:rPr>
                <w:rFonts w:ascii="Times New Roman" w:eastAsia="Times New Roman" w:hAnsi="Times New Roman" w:cs="Times New Roman"/>
                <w:b/>
                <w:bCs/>
                <w:color w:val="000000"/>
                <w:sz w:val="16"/>
                <w:szCs w:val="16"/>
                <w:vertAlign w:val="superscript"/>
              </w:rPr>
              <w:t>a</w:t>
            </w:r>
          </w:p>
        </w:tc>
      </w:tr>
      <w:tr w:rsidR="00873563" w:rsidRPr="00D0415B" w14:paraId="381BE3DA" w14:textId="77777777" w:rsidTr="000A0088">
        <w:trPr>
          <w:trHeight w:val="268"/>
        </w:trPr>
        <w:tc>
          <w:tcPr>
            <w:tcW w:w="910" w:type="dxa"/>
            <w:tcBorders>
              <w:top w:val="nil"/>
              <w:left w:val="nil"/>
              <w:bottom w:val="single" w:sz="4" w:space="0" w:color="FFFFFF" w:themeColor="background1"/>
              <w:right w:val="nil"/>
            </w:tcBorders>
            <w:shd w:val="clear" w:color="auto" w:fill="auto"/>
            <w:noWrap/>
            <w:vAlign w:val="center"/>
          </w:tcPr>
          <w:p w14:paraId="627E720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single" w:sz="4" w:space="0" w:color="000000"/>
              <w:right w:val="nil"/>
            </w:tcBorders>
            <w:vAlign w:val="center"/>
          </w:tcPr>
          <w:p w14:paraId="27E941D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Y1</w:t>
            </w:r>
          </w:p>
        </w:tc>
        <w:tc>
          <w:tcPr>
            <w:tcW w:w="1705" w:type="dxa"/>
            <w:tcBorders>
              <w:top w:val="nil"/>
              <w:left w:val="nil"/>
              <w:bottom w:val="single" w:sz="4" w:space="0" w:color="000000"/>
              <w:right w:val="nil"/>
            </w:tcBorders>
            <w:shd w:val="clear" w:color="auto" w:fill="auto"/>
            <w:noWrap/>
            <w:vAlign w:val="center"/>
          </w:tcPr>
          <w:p w14:paraId="3A8FEA5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655" w:type="dxa"/>
            <w:tcBorders>
              <w:top w:val="nil"/>
              <w:left w:val="nil"/>
              <w:bottom w:val="single" w:sz="4" w:space="0" w:color="000000"/>
              <w:right w:val="nil"/>
            </w:tcBorders>
            <w:shd w:val="clear" w:color="auto" w:fill="auto"/>
            <w:noWrap/>
            <w:vAlign w:val="center"/>
          </w:tcPr>
          <w:p w14:paraId="3E1EC50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13.0</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single" w:sz="4" w:space="0" w:color="000000"/>
              <w:right w:val="nil"/>
            </w:tcBorders>
            <w:shd w:val="clear" w:color="auto" w:fill="auto"/>
            <w:noWrap/>
            <w:vAlign w:val="center"/>
          </w:tcPr>
          <w:p w14:paraId="3D79962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10.3</w:t>
            </w:r>
            <w:r w:rsidRPr="00D0415B">
              <w:rPr>
                <w:rFonts w:ascii="Times New Roman" w:eastAsia="Times New Roman" w:hAnsi="Times New Roman" w:cs="Times New Roman"/>
                <w:color w:val="000000"/>
                <w:sz w:val="16"/>
                <w:szCs w:val="16"/>
                <w:vertAlign w:val="superscript"/>
              </w:rPr>
              <w:t>b</w:t>
            </w:r>
          </w:p>
        </w:tc>
        <w:tc>
          <w:tcPr>
            <w:tcW w:w="1572" w:type="dxa"/>
            <w:tcBorders>
              <w:top w:val="nil"/>
              <w:left w:val="nil"/>
              <w:bottom w:val="single" w:sz="4" w:space="0" w:color="000000"/>
              <w:right w:val="nil"/>
            </w:tcBorders>
            <w:shd w:val="clear" w:color="auto" w:fill="auto"/>
            <w:noWrap/>
            <w:vAlign w:val="center"/>
          </w:tcPr>
          <w:p w14:paraId="7C83271E"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40.1</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single" w:sz="4" w:space="0" w:color="000000"/>
              <w:right w:val="nil"/>
            </w:tcBorders>
            <w:shd w:val="clear" w:color="auto" w:fill="auto"/>
            <w:noWrap/>
            <w:vAlign w:val="center"/>
          </w:tcPr>
          <w:p w14:paraId="4E80A3E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40.1</w:t>
            </w:r>
            <w:r w:rsidRPr="00D0415B">
              <w:rPr>
                <w:rFonts w:ascii="Times New Roman" w:eastAsia="Times New Roman" w:hAnsi="Times New Roman" w:cs="Times New Roman"/>
                <w:b/>
                <w:bCs/>
                <w:color w:val="000000"/>
                <w:sz w:val="16"/>
                <w:szCs w:val="16"/>
                <w:vertAlign w:val="superscript"/>
              </w:rPr>
              <w:t>a</w:t>
            </w:r>
          </w:p>
        </w:tc>
      </w:tr>
      <w:tr w:rsidR="00873563" w:rsidRPr="00D0415B" w14:paraId="744B87E9" w14:textId="77777777" w:rsidTr="000A0088">
        <w:trPr>
          <w:trHeight w:val="268"/>
        </w:trPr>
        <w:tc>
          <w:tcPr>
            <w:tcW w:w="910" w:type="dxa"/>
            <w:tcBorders>
              <w:top w:val="single" w:sz="4" w:space="0" w:color="FFFFFF" w:themeColor="background1"/>
              <w:left w:val="nil"/>
              <w:bottom w:val="nil"/>
              <w:right w:val="nil"/>
            </w:tcBorders>
            <w:shd w:val="clear" w:color="auto" w:fill="auto"/>
            <w:noWrap/>
            <w:vAlign w:val="center"/>
          </w:tcPr>
          <w:p w14:paraId="2100F85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single" w:sz="4" w:space="0" w:color="000000"/>
              <w:left w:val="nil"/>
              <w:bottom w:val="nil"/>
              <w:right w:val="nil"/>
            </w:tcBorders>
            <w:vAlign w:val="center"/>
          </w:tcPr>
          <w:p w14:paraId="3D44DD4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single" w:sz="4" w:space="0" w:color="000000"/>
              <w:left w:val="nil"/>
              <w:bottom w:val="nil"/>
              <w:right w:val="nil"/>
            </w:tcBorders>
            <w:shd w:val="clear" w:color="auto" w:fill="auto"/>
            <w:noWrap/>
            <w:vAlign w:val="center"/>
          </w:tcPr>
          <w:p w14:paraId="15E9D04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Control</w:t>
            </w:r>
          </w:p>
        </w:tc>
        <w:tc>
          <w:tcPr>
            <w:tcW w:w="1655" w:type="dxa"/>
            <w:tcBorders>
              <w:top w:val="single" w:sz="4" w:space="0" w:color="000000"/>
              <w:left w:val="nil"/>
              <w:bottom w:val="nil"/>
              <w:right w:val="nil"/>
            </w:tcBorders>
            <w:shd w:val="clear" w:color="auto" w:fill="auto"/>
            <w:noWrap/>
            <w:vAlign w:val="center"/>
          </w:tcPr>
          <w:p w14:paraId="45E8D5D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10.0</w:t>
            </w:r>
            <w:r w:rsidRPr="00D0415B">
              <w:rPr>
                <w:rFonts w:ascii="Times New Roman" w:eastAsia="Times New Roman" w:hAnsi="Times New Roman" w:cs="Times New Roman"/>
                <w:color w:val="000000"/>
                <w:sz w:val="16"/>
                <w:szCs w:val="16"/>
                <w:vertAlign w:val="superscript"/>
              </w:rPr>
              <w:t>b</w:t>
            </w:r>
          </w:p>
        </w:tc>
        <w:tc>
          <w:tcPr>
            <w:tcW w:w="1500" w:type="dxa"/>
            <w:tcBorders>
              <w:top w:val="single" w:sz="4" w:space="0" w:color="000000"/>
              <w:left w:val="nil"/>
              <w:bottom w:val="nil"/>
              <w:right w:val="nil"/>
            </w:tcBorders>
            <w:shd w:val="clear" w:color="auto" w:fill="auto"/>
            <w:noWrap/>
            <w:vAlign w:val="center"/>
          </w:tcPr>
          <w:p w14:paraId="106077F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w:t>
            </w:r>
            <w:r w:rsidRPr="00D0415B">
              <w:rPr>
                <w:rFonts w:ascii="Times New Roman" w:eastAsia="Times New Roman" w:hAnsi="Times New Roman" w:cs="Times New Roman"/>
                <w:color w:val="000000"/>
                <w:sz w:val="16"/>
                <w:szCs w:val="16"/>
                <w:vertAlign w:val="superscript"/>
              </w:rPr>
              <w:t>b</w:t>
            </w:r>
          </w:p>
        </w:tc>
        <w:tc>
          <w:tcPr>
            <w:tcW w:w="1572" w:type="dxa"/>
            <w:tcBorders>
              <w:top w:val="single" w:sz="4" w:space="0" w:color="000000"/>
              <w:left w:val="nil"/>
              <w:bottom w:val="nil"/>
              <w:right w:val="nil"/>
            </w:tcBorders>
            <w:shd w:val="clear" w:color="auto" w:fill="auto"/>
            <w:noWrap/>
            <w:vAlign w:val="center"/>
          </w:tcPr>
          <w:p w14:paraId="5FE716E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60.1</w:t>
            </w:r>
            <w:r w:rsidRPr="00D0415B">
              <w:rPr>
                <w:rFonts w:ascii="Times New Roman" w:eastAsia="Times New Roman" w:hAnsi="Times New Roman" w:cs="Times New Roman"/>
                <w:color w:val="000000"/>
                <w:sz w:val="16"/>
                <w:szCs w:val="16"/>
                <w:vertAlign w:val="superscript"/>
              </w:rPr>
              <w:t>d</w:t>
            </w:r>
          </w:p>
        </w:tc>
        <w:tc>
          <w:tcPr>
            <w:tcW w:w="1486" w:type="dxa"/>
            <w:tcBorders>
              <w:top w:val="single" w:sz="4" w:space="0" w:color="000000"/>
              <w:left w:val="nil"/>
              <w:bottom w:val="nil"/>
              <w:right w:val="nil"/>
            </w:tcBorders>
            <w:shd w:val="clear" w:color="auto" w:fill="auto"/>
            <w:noWrap/>
            <w:vAlign w:val="center"/>
          </w:tcPr>
          <w:p w14:paraId="3F672D8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23.5</w:t>
            </w:r>
            <w:r w:rsidRPr="00D0415B">
              <w:rPr>
                <w:rFonts w:ascii="Times New Roman" w:eastAsia="Times New Roman" w:hAnsi="Times New Roman" w:cs="Times New Roman"/>
                <w:color w:val="000000"/>
                <w:sz w:val="16"/>
                <w:szCs w:val="16"/>
                <w:vertAlign w:val="superscript"/>
              </w:rPr>
              <w:t>e</w:t>
            </w:r>
          </w:p>
        </w:tc>
      </w:tr>
      <w:tr w:rsidR="00873563" w:rsidRPr="00D0415B" w14:paraId="1B2ECEE5" w14:textId="77777777" w:rsidTr="000A0088">
        <w:trPr>
          <w:trHeight w:val="268"/>
        </w:trPr>
        <w:tc>
          <w:tcPr>
            <w:tcW w:w="910" w:type="dxa"/>
            <w:tcBorders>
              <w:top w:val="nil"/>
              <w:left w:val="nil"/>
              <w:bottom w:val="nil"/>
              <w:right w:val="nil"/>
            </w:tcBorders>
            <w:shd w:val="clear" w:color="auto" w:fill="auto"/>
            <w:noWrap/>
            <w:vAlign w:val="center"/>
            <w:hideMark/>
          </w:tcPr>
          <w:p w14:paraId="10A9E1F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604F99E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68D0EBF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N2%</w:t>
            </w:r>
          </w:p>
        </w:tc>
        <w:tc>
          <w:tcPr>
            <w:tcW w:w="1655" w:type="dxa"/>
            <w:tcBorders>
              <w:top w:val="nil"/>
              <w:left w:val="nil"/>
              <w:bottom w:val="nil"/>
              <w:right w:val="nil"/>
            </w:tcBorders>
            <w:shd w:val="clear" w:color="auto" w:fill="auto"/>
            <w:noWrap/>
            <w:vAlign w:val="center"/>
            <w:hideMark/>
          </w:tcPr>
          <w:p w14:paraId="31F95EE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hideMark/>
          </w:tcPr>
          <w:p w14:paraId="46BA037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7.1</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hideMark/>
          </w:tcPr>
          <w:p w14:paraId="6924576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73.5</w:t>
            </w:r>
            <w:r w:rsidRPr="00D0415B">
              <w:rPr>
                <w:rFonts w:ascii="Times New Roman" w:eastAsia="Times New Roman" w:hAnsi="Times New Roman" w:cs="Times New Roman"/>
                <w:color w:val="000000"/>
                <w:sz w:val="16"/>
                <w:szCs w:val="16"/>
                <w:vertAlign w:val="superscript"/>
              </w:rPr>
              <w:t>e</w:t>
            </w:r>
          </w:p>
        </w:tc>
        <w:tc>
          <w:tcPr>
            <w:tcW w:w="1486" w:type="dxa"/>
            <w:tcBorders>
              <w:top w:val="nil"/>
              <w:left w:val="nil"/>
              <w:bottom w:val="nil"/>
              <w:right w:val="nil"/>
            </w:tcBorders>
            <w:shd w:val="clear" w:color="auto" w:fill="auto"/>
            <w:noWrap/>
            <w:vAlign w:val="center"/>
            <w:hideMark/>
          </w:tcPr>
          <w:p w14:paraId="323AF75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22.0</w:t>
            </w:r>
            <w:r w:rsidRPr="00D0415B">
              <w:rPr>
                <w:rFonts w:ascii="Times New Roman" w:eastAsia="Times New Roman" w:hAnsi="Times New Roman" w:cs="Times New Roman"/>
                <w:color w:val="000000"/>
                <w:sz w:val="16"/>
                <w:szCs w:val="16"/>
                <w:vertAlign w:val="superscript"/>
              </w:rPr>
              <w:t>e</w:t>
            </w:r>
          </w:p>
        </w:tc>
      </w:tr>
      <w:tr w:rsidR="00873563" w:rsidRPr="00D0415B" w14:paraId="31CDCAEF" w14:textId="77777777" w:rsidTr="000A0088">
        <w:trPr>
          <w:trHeight w:val="268"/>
        </w:trPr>
        <w:tc>
          <w:tcPr>
            <w:tcW w:w="910" w:type="dxa"/>
            <w:tcBorders>
              <w:top w:val="nil"/>
              <w:left w:val="nil"/>
              <w:bottom w:val="nil"/>
              <w:right w:val="nil"/>
            </w:tcBorders>
            <w:shd w:val="clear" w:color="auto" w:fill="auto"/>
            <w:noWrap/>
            <w:hideMark/>
          </w:tcPr>
          <w:p w14:paraId="6DC3F351"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tcPr>
          <w:p w14:paraId="115A593F"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hideMark/>
          </w:tcPr>
          <w:p w14:paraId="521E923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N4%</w:t>
            </w:r>
          </w:p>
        </w:tc>
        <w:tc>
          <w:tcPr>
            <w:tcW w:w="1655" w:type="dxa"/>
            <w:tcBorders>
              <w:top w:val="nil"/>
              <w:left w:val="nil"/>
              <w:bottom w:val="nil"/>
              <w:right w:val="nil"/>
            </w:tcBorders>
            <w:shd w:val="clear" w:color="auto" w:fill="auto"/>
            <w:noWrap/>
            <w:hideMark/>
          </w:tcPr>
          <w:p w14:paraId="79DD0B85"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11.2</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hideMark/>
          </w:tcPr>
          <w:p w14:paraId="300FD398"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7.1</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hideMark/>
          </w:tcPr>
          <w:p w14:paraId="6A3545CF"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73.0</w:t>
            </w:r>
            <w:r w:rsidRPr="00D0415B">
              <w:rPr>
                <w:rFonts w:ascii="Times New Roman" w:eastAsia="Times New Roman" w:hAnsi="Times New Roman" w:cs="Times New Roman"/>
                <w:color w:val="000000"/>
                <w:sz w:val="16"/>
                <w:szCs w:val="16"/>
                <w:vertAlign w:val="superscript"/>
              </w:rPr>
              <w:t>e</w:t>
            </w:r>
          </w:p>
        </w:tc>
        <w:tc>
          <w:tcPr>
            <w:tcW w:w="1486" w:type="dxa"/>
            <w:tcBorders>
              <w:top w:val="nil"/>
              <w:left w:val="nil"/>
              <w:bottom w:val="nil"/>
              <w:right w:val="nil"/>
            </w:tcBorders>
            <w:shd w:val="clear" w:color="auto" w:fill="auto"/>
            <w:noWrap/>
            <w:hideMark/>
          </w:tcPr>
          <w:p w14:paraId="18C3FD01"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21.9</w:t>
            </w:r>
            <w:r w:rsidRPr="00D0415B">
              <w:rPr>
                <w:rFonts w:ascii="Times New Roman" w:eastAsia="Times New Roman" w:hAnsi="Times New Roman" w:cs="Times New Roman"/>
                <w:color w:val="000000"/>
                <w:sz w:val="16"/>
                <w:szCs w:val="16"/>
                <w:vertAlign w:val="superscript"/>
              </w:rPr>
              <w:t>e</w:t>
            </w:r>
          </w:p>
        </w:tc>
      </w:tr>
      <w:tr w:rsidR="00873563" w:rsidRPr="00D0415B" w14:paraId="69C7A7CD" w14:textId="77777777" w:rsidTr="000A0088">
        <w:trPr>
          <w:trHeight w:val="63"/>
        </w:trPr>
        <w:tc>
          <w:tcPr>
            <w:tcW w:w="910" w:type="dxa"/>
            <w:tcBorders>
              <w:top w:val="nil"/>
              <w:left w:val="nil"/>
              <w:bottom w:val="nil"/>
              <w:right w:val="nil"/>
            </w:tcBorders>
            <w:shd w:val="clear" w:color="auto" w:fill="auto"/>
            <w:noWrap/>
            <w:vAlign w:val="center"/>
            <w:hideMark/>
          </w:tcPr>
          <w:p w14:paraId="3EEEF5CF"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7058EED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1ED0D7B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UR2%</w:t>
            </w:r>
          </w:p>
        </w:tc>
        <w:tc>
          <w:tcPr>
            <w:tcW w:w="1655" w:type="dxa"/>
            <w:tcBorders>
              <w:top w:val="nil"/>
              <w:left w:val="nil"/>
              <w:bottom w:val="nil"/>
              <w:right w:val="nil"/>
            </w:tcBorders>
            <w:shd w:val="clear" w:color="auto" w:fill="auto"/>
            <w:noWrap/>
            <w:vAlign w:val="center"/>
            <w:hideMark/>
          </w:tcPr>
          <w:p w14:paraId="4CEFBD1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10.9</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hideMark/>
          </w:tcPr>
          <w:p w14:paraId="243573F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6.9</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hideMark/>
          </w:tcPr>
          <w:p w14:paraId="31ADCFE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97.4</w:t>
            </w:r>
            <w:r w:rsidRPr="00D0415B">
              <w:rPr>
                <w:rFonts w:ascii="Times New Roman" w:eastAsia="Times New Roman" w:hAnsi="Times New Roman" w:cs="Times New Roman"/>
                <w:color w:val="000000"/>
                <w:sz w:val="16"/>
                <w:szCs w:val="16"/>
                <w:vertAlign w:val="superscript"/>
              </w:rPr>
              <w:t>f</w:t>
            </w:r>
          </w:p>
        </w:tc>
        <w:tc>
          <w:tcPr>
            <w:tcW w:w="1486" w:type="dxa"/>
            <w:tcBorders>
              <w:top w:val="nil"/>
              <w:left w:val="nil"/>
              <w:bottom w:val="nil"/>
              <w:right w:val="nil"/>
            </w:tcBorders>
            <w:shd w:val="clear" w:color="auto" w:fill="auto"/>
            <w:noWrap/>
            <w:vAlign w:val="center"/>
            <w:hideMark/>
          </w:tcPr>
          <w:p w14:paraId="740E75B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22.5</w:t>
            </w:r>
            <w:r w:rsidRPr="00D0415B">
              <w:rPr>
                <w:rFonts w:ascii="Times New Roman" w:eastAsia="Times New Roman" w:hAnsi="Times New Roman" w:cs="Times New Roman"/>
                <w:color w:val="000000"/>
                <w:sz w:val="16"/>
                <w:szCs w:val="16"/>
                <w:vertAlign w:val="superscript"/>
              </w:rPr>
              <w:t>e</w:t>
            </w:r>
          </w:p>
        </w:tc>
      </w:tr>
      <w:tr w:rsidR="00873563" w:rsidRPr="00D0415B" w14:paraId="4FFE5636" w14:textId="77777777" w:rsidTr="000A0088">
        <w:trPr>
          <w:trHeight w:val="344"/>
        </w:trPr>
        <w:tc>
          <w:tcPr>
            <w:tcW w:w="910" w:type="dxa"/>
            <w:tcBorders>
              <w:top w:val="nil"/>
              <w:left w:val="nil"/>
              <w:bottom w:val="nil"/>
              <w:right w:val="nil"/>
            </w:tcBorders>
            <w:shd w:val="clear" w:color="auto" w:fill="auto"/>
            <w:noWrap/>
            <w:vAlign w:val="center"/>
            <w:hideMark/>
          </w:tcPr>
          <w:p w14:paraId="2B7D631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044EB68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5ABE399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UR4%</w:t>
            </w:r>
          </w:p>
        </w:tc>
        <w:tc>
          <w:tcPr>
            <w:tcW w:w="1655" w:type="dxa"/>
            <w:tcBorders>
              <w:top w:val="nil"/>
              <w:left w:val="nil"/>
              <w:bottom w:val="nil"/>
              <w:right w:val="nil"/>
            </w:tcBorders>
            <w:shd w:val="clear" w:color="auto" w:fill="auto"/>
            <w:noWrap/>
            <w:vAlign w:val="center"/>
            <w:hideMark/>
          </w:tcPr>
          <w:p w14:paraId="4EB3D45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10.8</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hideMark/>
          </w:tcPr>
          <w:p w14:paraId="63E68EF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7.1</w:t>
            </w:r>
            <w:r w:rsidRPr="00D0415B">
              <w:rPr>
                <w:rFonts w:ascii="Times New Roman" w:eastAsia="Times New Roman" w:hAnsi="Times New Roman" w:cs="Times New Roman"/>
                <w:color w:val="000000"/>
                <w:sz w:val="16"/>
                <w:szCs w:val="16"/>
                <w:vertAlign w:val="superscript"/>
              </w:rPr>
              <w:t>c</w:t>
            </w:r>
          </w:p>
        </w:tc>
        <w:tc>
          <w:tcPr>
            <w:tcW w:w="1572" w:type="dxa"/>
            <w:tcBorders>
              <w:top w:val="nil"/>
              <w:left w:val="nil"/>
              <w:bottom w:val="nil"/>
              <w:right w:val="nil"/>
            </w:tcBorders>
            <w:shd w:val="clear" w:color="auto" w:fill="auto"/>
            <w:noWrap/>
            <w:vAlign w:val="center"/>
            <w:hideMark/>
          </w:tcPr>
          <w:p w14:paraId="1F0830EA"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100.1</w:t>
            </w:r>
            <w:r w:rsidRPr="00D0415B">
              <w:rPr>
                <w:rFonts w:ascii="Times New Roman" w:eastAsia="Times New Roman" w:hAnsi="Times New Roman" w:cs="Times New Roman"/>
                <w:color w:val="000000"/>
                <w:sz w:val="16"/>
                <w:szCs w:val="16"/>
                <w:vertAlign w:val="superscript"/>
              </w:rPr>
              <w:t>g</w:t>
            </w:r>
          </w:p>
        </w:tc>
        <w:tc>
          <w:tcPr>
            <w:tcW w:w="1486" w:type="dxa"/>
            <w:tcBorders>
              <w:top w:val="nil"/>
              <w:left w:val="nil"/>
              <w:bottom w:val="nil"/>
              <w:right w:val="nil"/>
            </w:tcBorders>
            <w:shd w:val="clear" w:color="auto" w:fill="auto"/>
            <w:noWrap/>
            <w:vAlign w:val="center"/>
            <w:hideMark/>
          </w:tcPr>
          <w:p w14:paraId="184952E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22.5</w:t>
            </w:r>
            <w:r w:rsidRPr="00D0415B">
              <w:rPr>
                <w:rFonts w:ascii="Times New Roman" w:eastAsia="Times New Roman" w:hAnsi="Times New Roman" w:cs="Times New Roman"/>
                <w:color w:val="000000"/>
                <w:sz w:val="16"/>
                <w:szCs w:val="16"/>
                <w:vertAlign w:val="superscript"/>
              </w:rPr>
              <w:t>e</w:t>
            </w:r>
          </w:p>
        </w:tc>
      </w:tr>
      <w:tr w:rsidR="00873563" w:rsidRPr="00D0415B" w14:paraId="2ABD640E" w14:textId="77777777" w:rsidTr="000A0088">
        <w:trPr>
          <w:trHeight w:val="268"/>
        </w:trPr>
        <w:tc>
          <w:tcPr>
            <w:tcW w:w="910" w:type="dxa"/>
            <w:tcBorders>
              <w:top w:val="nil"/>
              <w:left w:val="nil"/>
              <w:bottom w:val="nil"/>
              <w:right w:val="nil"/>
            </w:tcBorders>
            <w:shd w:val="clear" w:color="auto" w:fill="auto"/>
            <w:noWrap/>
            <w:vAlign w:val="center"/>
            <w:hideMark/>
          </w:tcPr>
          <w:p w14:paraId="6B3E3DD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4DD7545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58CB9BE5"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Ar1</w:t>
            </w:r>
          </w:p>
        </w:tc>
        <w:tc>
          <w:tcPr>
            <w:tcW w:w="1655" w:type="dxa"/>
            <w:tcBorders>
              <w:top w:val="nil"/>
              <w:left w:val="nil"/>
              <w:bottom w:val="nil"/>
              <w:right w:val="nil"/>
            </w:tcBorders>
            <w:shd w:val="clear" w:color="auto" w:fill="auto"/>
            <w:noWrap/>
            <w:vAlign w:val="center"/>
            <w:hideMark/>
          </w:tcPr>
          <w:p w14:paraId="1628779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11.0</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hideMark/>
          </w:tcPr>
          <w:p w14:paraId="297F7AD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8.9</w:t>
            </w:r>
            <w:r w:rsidRPr="00D0415B">
              <w:rPr>
                <w:rFonts w:ascii="Times New Roman" w:eastAsia="Times New Roman" w:hAnsi="Times New Roman" w:cs="Times New Roman"/>
                <w:color w:val="000000"/>
                <w:sz w:val="16"/>
                <w:szCs w:val="16"/>
                <w:vertAlign w:val="superscript"/>
              </w:rPr>
              <w:t>b</w:t>
            </w:r>
          </w:p>
        </w:tc>
        <w:tc>
          <w:tcPr>
            <w:tcW w:w="1572" w:type="dxa"/>
            <w:tcBorders>
              <w:top w:val="nil"/>
              <w:left w:val="nil"/>
              <w:bottom w:val="nil"/>
              <w:right w:val="nil"/>
            </w:tcBorders>
            <w:shd w:val="clear" w:color="auto" w:fill="auto"/>
            <w:noWrap/>
            <w:vAlign w:val="center"/>
            <w:hideMark/>
          </w:tcPr>
          <w:p w14:paraId="1A989EC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46.3</w:t>
            </w:r>
            <w:r w:rsidRPr="00D0415B">
              <w:rPr>
                <w:rFonts w:ascii="Times New Roman" w:eastAsia="Times New Roman" w:hAnsi="Times New Roman" w:cs="Times New Roman"/>
                <w:color w:val="000000"/>
                <w:sz w:val="16"/>
                <w:szCs w:val="16"/>
                <w:vertAlign w:val="superscript"/>
              </w:rPr>
              <w:t>c</w:t>
            </w:r>
          </w:p>
        </w:tc>
        <w:tc>
          <w:tcPr>
            <w:tcW w:w="1486" w:type="dxa"/>
            <w:tcBorders>
              <w:top w:val="nil"/>
              <w:left w:val="nil"/>
              <w:bottom w:val="nil"/>
              <w:right w:val="nil"/>
            </w:tcBorders>
            <w:shd w:val="clear" w:color="auto" w:fill="auto"/>
            <w:noWrap/>
            <w:vAlign w:val="center"/>
            <w:hideMark/>
          </w:tcPr>
          <w:p w14:paraId="6C0F871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26.4</w:t>
            </w:r>
            <w:r w:rsidRPr="00D0415B">
              <w:rPr>
                <w:rFonts w:ascii="Times New Roman" w:eastAsia="Times New Roman" w:hAnsi="Times New Roman" w:cs="Times New Roman"/>
                <w:color w:val="000000"/>
                <w:sz w:val="16"/>
                <w:szCs w:val="16"/>
                <w:vertAlign w:val="superscript"/>
              </w:rPr>
              <w:t>d</w:t>
            </w:r>
          </w:p>
        </w:tc>
      </w:tr>
      <w:tr w:rsidR="00873563" w:rsidRPr="00D0415B" w14:paraId="0C465DC5" w14:textId="77777777" w:rsidTr="000A0088">
        <w:trPr>
          <w:trHeight w:val="268"/>
        </w:trPr>
        <w:tc>
          <w:tcPr>
            <w:tcW w:w="910" w:type="dxa"/>
            <w:tcBorders>
              <w:top w:val="nil"/>
              <w:left w:val="nil"/>
              <w:bottom w:val="nil"/>
              <w:right w:val="nil"/>
            </w:tcBorders>
            <w:shd w:val="clear" w:color="auto" w:fill="auto"/>
            <w:noWrap/>
            <w:vAlign w:val="center"/>
          </w:tcPr>
          <w:p w14:paraId="3EB42EA6"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216E6DA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tcPr>
          <w:p w14:paraId="2472316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Ar2</w:t>
            </w:r>
          </w:p>
        </w:tc>
        <w:tc>
          <w:tcPr>
            <w:tcW w:w="1655" w:type="dxa"/>
            <w:tcBorders>
              <w:top w:val="nil"/>
              <w:left w:val="nil"/>
              <w:bottom w:val="nil"/>
              <w:right w:val="nil"/>
            </w:tcBorders>
            <w:shd w:val="clear" w:color="auto" w:fill="auto"/>
            <w:noWrap/>
            <w:vAlign w:val="center"/>
          </w:tcPr>
          <w:p w14:paraId="4BDD448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11.2</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tcPr>
          <w:p w14:paraId="029AFDA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8.0</w:t>
            </w:r>
            <w:r w:rsidRPr="00D0415B">
              <w:rPr>
                <w:rFonts w:ascii="Times New Roman" w:eastAsia="Times New Roman" w:hAnsi="Times New Roman" w:cs="Times New Roman"/>
                <w:color w:val="000000"/>
                <w:sz w:val="16"/>
                <w:szCs w:val="16"/>
                <w:vertAlign w:val="superscript"/>
              </w:rPr>
              <w:t>b</w:t>
            </w:r>
          </w:p>
        </w:tc>
        <w:tc>
          <w:tcPr>
            <w:tcW w:w="1572" w:type="dxa"/>
            <w:tcBorders>
              <w:top w:val="nil"/>
              <w:left w:val="nil"/>
              <w:bottom w:val="nil"/>
              <w:right w:val="nil"/>
            </w:tcBorders>
            <w:shd w:val="clear" w:color="auto" w:fill="auto"/>
            <w:noWrap/>
            <w:vAlign w:val="center"/>
          </w:tcPr>
          <w:p w14:paraId="0F00FCB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45.9</w:t>
            </w:r>
            <w:r w:rsidRPr="00D0415B">
              <w:rPr>
                <w:rFonts w:ascii="Times New Roman" w:eastAsia="Times New Roman" w:hAnsi="Times New Roman" w:cs="Times New Roman"/>
                <w:color w:val="000000"/>
                <w:sz w:val="16"/>
                <w:szCs w:val="16"/>
                <w:vertAlign w:val="superscript"/>
              </w:rPr>
              <w:t>c</w:t>
            </w:r>
          </w:p>
        </w:tc>
        <w:tc>
          <w:tcPr>
            <w:tcW w:w="1486" w:type="dxa"/>
            <w:tcBorders>
              <w:top w:val="nil"/>
              <w:left w:val="nil"/>
              <w:bottom w:val="nil"/>
              <w:right w:val="nil"/>
            </w:tcBorders>
            <w:shd w:val="clear" w:color="auto" w:fill="auto"/>
            <w:noWrap/>
            <w:vAlign w:val="center"/>
          </w:tcPr>
          <w:p w14:paraId="33EC535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27.1</w:t>
            </w:r>
            <w:r w:rsidRPr="00D0415B">
              <w:rPr>
                <w:rFonts w:ascii="Times New Roman" w:eastAsia="Times New Roman" w:hAnsi="Times New Roman" w:cs="Times New Roman"/>
                <w:color w:val="000000"/>
                <w:sz w:val="16"/>
                <w:szCs w:val="16"/>
                <w:vertAlign w:val="superscript"/>
              </w:rPr>
              <w:t>d</w:t>
            </w:r>
          </w:p>
        </w:tc>
      </w:tr>
      <w:tr w:rsidR="00873563" w:rsidRPr="00D0415B" w14:paraId="74F1FBA9" w14:textId="77777777" w:rsidTr="000A0088">
        <w:trPr>
          <w:trHeight w:val="268"/>
        </w:trPr>
        <w:tc>
          <w:tcPr>
            <w:tcW w:w="910" w:type="dxa"/>
            <w:tcBorders>
              <w:top w:val="nil"/>
              <w:left w:val="nil"/>
              <w:bottom w:val="nil"/>
              <w:right w:val="nil"/>
            </w:tcBorders>
            <w:shd w:val="clear" w:color="auto" w:fill="auto"/>
            <w:noWrap/>
            <w:vAlign w:val="center"/>
            <w:hideMark/>
          </w:tcPr>
          <w:p w14:paraId="0287F94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3572E0CD"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1326E14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Or1</w:t>
            </w:r>
          </w:p>
        </w:tc>
        <w:tc>
          <w:tcPr>
            <w:tcW w:w="1655" w:type="dxa"/>
            <w:tcBorders>
              <w:top w:val="nil"/>
              <w:left w:val="nil"/>
              <w:bottom w:val="nil"/>
              <w:right w:val="nil"/>
            </w:tcBorders>
            <w:shd w:val="clear" w:color="auto" w:fill="auto"/>
            <w:noWrap/>
            <w:vAlign w:val="center"/>
            <w:hideMark/>
          </w:tcPr>
          <w:p w14:paraId="559E4D1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11.5</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vAlign w:val="center"/>
            <w:hideMark/>
          </w:tcPr>
          <w:p w14:paraId="350070CE"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10.1</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vAlign w:val="center"/>
            <w:hideMark/>
          </w:tcPr>
          <w:p w14:paraId="6CF4559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39.9</w:t>
            </w:r>
            <w:r w:rsidRPr="00D0415B">
              <w:rPr>
                <w:rFonts w:ascii="Times New Roman" w:eastAsia="Times New Roman" w:hAnsi="Times New Roman" w:cs="Times New Roman"/>
                <w:color w:val="000000"/>
                <w:sz w:val="16"/>
                <w:szCs w:val="16"/>
                <w:vertAlign w:val="superscript"/>
              </w:rPr>
              <w:t>b</w:t>
            </w:r>
          </w:p>
        </w:tc>
        <w:tc>
          <w:tcPr>
            <w:tcW w:w="1486" w:type="dxa"/>
            <w:tcBorders>
              <w:top w:val="nil"/>
              <w:left w:val="nil"/>
              <w:bottom w:val="nil"/>
              <w:right w:val="nil"/>
            </w:tcBorders>
            <w:shd w:val="clear" w:color="auto" w:fill="auto"/>
            <w:noWrap/>
            <w:vAlign w:val="center"/>
            <w:hideMark/>
          </w:tcPr>
          <w:p w14:paraId="7483877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30.0</w:t>
            </w:r>
            <w:r w:rsidRPr="00D0415B">
              <w:rPr>
                <w:rFonts w:ascii="Times New Roman" w:eastAsia="Times New Roman" w:hAnsi="Times New Roman" w:cs="Times New Roman"/>
                <w:color w:val="000000"/>
                <w:sz w:val="16"/>
                <w:szCs w:val="16"/>
                <w:vertAlign w:val="superscript"/>
              </w:rPr>
              <w:t>c</w:t>
            </w:r>
          </w:p>
        </w:tc>
      </w:tr>
      <w:tr w:rsidR="00873563" w:rsidRPr="00D0415B" w14:paraId="24EC2D9A" w14:textId="77777777" w:rsidTr="000A0088">
        <w:trPr>
          <w:trHeight w:val="63"/>
        </w:trPr>
        <w:tc>
          <w:tcPr>
            <w:tcW w:w="910" w:type="dxa"/>
            <w:tcBorders>
              <w:top w:val="nil"/>
              <w:left w:val="nil"/>
              <w:bottom w:val="nil"/>
              <w:right w:val="nil"/>
            </w:tcBorders>
            <w:shd w:val="clear" w:color="auto" w:fill="auto"/>
            <w:noWrap/>
            <w:hideMark/>
          </w:tcPr>
          <w:p w14:paraId="02506B39"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tcPr>
          <w:p w14:paraId="622E21AD"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hideMark/>
          </w:tcPr>
          <w:p w14:paraId="1ECEDDFE"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Or2</w:t>
            </w:r>
          </w:p>
        </w:tc>
        <w:tc>
          <w:tcPr>
            <w:tcW w:w="1655" w:type="dxa"/>
            <w:tcBorders>
              <w:top w:val="nil"/>
              <w:left w:val="nil"/>
              <w:bottom w:val="nil"/>
              <w:right w:val="nil"/>
            </w:tcBorders>
            <w:shd w:val="clear" w:color="auto" w:fill="auto"/>
            <w:noWrap/>
            <w:hideMark/>
          </w:tcPr>
          <w:p w14:paraId="01271239"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11.1</w:t>
            </w:r>
            <w:r w:rsidRPr="00D0415B">
              <w:rPr>
                <w:rFonts w:ascii="Times New Roman" w:eastAsia="Times New Roman" w:hAnsi="Times New Roman" w:cs="Times New Roman"/>
                <w:color w:val="000000"/>
                <w:sz w:val="16"/>
                <w:szCs w:val="16"/>
                <w:vertAlign w:val="superscript"/>
              </w:rPr>
              <w:t>b</w:t>
            </w:r>
          </w:p>
        </w:tc>
        <w:tc>
          <w:tcPr>
            <w:tcW w:w="1500" w:type="dxa"/>
            <w:tcBorders>
              <w:top w:val="nil"/>
              <w:left w:val="nil"/>
              <w:bottom w:val="nil"/>
              <w:right w:val="nil"/>
            </w:tcBorders>
            <w:shd w:val="clear" w:color="auto" w:fill="auto"/>
            <w:noWrap/>
            <w:hideMark/>
          </w:tcPr>
          <w:p w14:paraId="52F2C9FB" w14:textId="77777777" w:rsidR="00873563" w:rsidRPr="00D0415B" w:rsidRDefault="00873563" w:rsidP="000A0088">
            <w:pPr>
              <w:spacing w:after="0" w:line="36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10.0</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hideMark/>
          </w:tcPr>
          <w:p w14:paraId="473B81A5"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40.9</w:t>
            </w:r>
            <w:r w:rsidRPr="00D0415B">
              <w:rPr>
                <w:rFonts w:ascii="Times New Roman" w:eastAsia="Times New Roman" w:hAnsi="Times New Roman" w:cs="Times New Roman"/>
                <w:color w:val="000000"/>
                <w:sz w:val="16"/>
                <w:szCs w:val="16"/>
                <w:vertAlign w:val="superscript"/>
              </w:rPr>
              <w:t>b</w:t>
            </w:r>
          </w:p>
        </w:tc>
        <w:tc>
          <w:tcPr>
            <w:tcW w:w="1486" w:type="dxa"/>
            <w:tcBorders>
              <w:top w:val="nil"/>
              <w:left w:val="nil"/>
              <w:bottom w:val="nil"/>
              <w:right w:val="nil"/>
            </w:tcBorders>
            <w:shd w:val="clear" w:color="auto" w:fill="auto"/>
            <w:noWrap/>
            <w:hideMark/>
          </w:tcPr>
          <w:p w14:paraId="50E9659E" w14:textId="77777777" w:rsidR="00873563" w:rsidRPr="00D0415B" w:rsidRDefault="00873563" w:rsidP="000A0088">
            <w:pPr>
              <w:spacing w:after="0" w:line="36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31.0</w:t>
            </w:r>
            <w:r w:rsidRPr="00D0415B">
              <w:rPr>
                <w:rFonts w:ascii="Times New Roman" w:eastAsia="Times New Roman" w:hAnsi="Times New Roman" w:cs="Times New Roman"/>
                <w:color w:val="000000"/>
                <w:sz w:val="16"/>
                <w:szCs w:val="16"/>
                <w:vertAlign w:val="superscript"/>
              </w:rPr>
              <w:t>c</w:t>
            </w:r>
          </w:p>
        </w:tc>
      </w:tr>
      <w:tr w:rsidR="00873563" w:rsidRPr="00D0415B" w14:paraId="67C0AFE2" w14:textId="77777777" w:rsidTr="000A0088">
        <w:trPr>
          <w:trHeight w:val="63"/>
        </w:trPr>
        <w:tc>
          <w:tcPr>
            <w:tcW w:w="910" w:type="dxa"/>
            <w:tcBorders>
              <w:top w:val="nil"/>
              <w:left w:val="nil"/>
              <w:bottom w:val="nil"/>
              <w:right w:val="nil"/>
            </w:tcBorders>
            <w:shd w:val="clear" w:color="auto" w:fill="auto"/>
            <w:noWrap/>
            <w:vAlign w:val="center"/>
            <w:hideMark/>
          </w:tcPr>
          <w:p w14:paraId="139E203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3446014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7CAC7FF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As1</w:t>
            </w:r>
          </w:p>
        </w:tc>
        <w:tc>
          <w:tcPr>
            <w:tcW w:w="1655" w:type="dxa"/>
            <w:tcBorders>
              <w:top w:val="nil"/>
              <w:left w:val="nil"/>
              <w:bottom w:val="nil"/>
              <w:right w:val="nil"/>
            </w:tcBorders>
            <w:shd w:val="clear" w:color="auto" w:fill="auto"/>
            <w:noWrap/>
            <w:vAlign w:val="center"/>
            <w:hideMark/>
          </w:tcPr>
          <w:p w14:paraId="00B74D1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12.2</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nil"/>
              <w:right w:val="nil"/>
            </w:tcBorders>
            <w:shd w:val="clear" w:color="auto" w:fill="auto"/>
            <w:noWrap/>
            <w:vAlign w:val="center"/>
            <w:hideMark/>
          </w:tcPr>
          <w:p w14:paraId="1315B4D7"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10.8</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vAlign w:val="center"/>
            <w:hideMark/>
          </w:tcPr>
          <w:p w14:paraId="42C7602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41.2</w:t>
            </w:r>
            <w:r w:rsidRPr="00D0415B">
              <w:rPr>
                <w:rFonts w:ascii="Times New Roman" w:eastAsia="Times New Roman" w:hAnsi="Times New Roman" w:cs="Times New Roman"/>
                <w:color w:val="000000"/>
                <w:sz w:val="16"/>
                <w:szCs w:val="16"/>
                <w:vertAlign w:val="superscript"/>
              </w:rPr>
              <w:t>b</w:t>
            </w:r>
          </w:p>
        </w:tc>
        <w:tc>
          <w:tcPr>
            <w:tcW w:w="1486" w:type="dxa"/>
            <w:tcBorders>
              <w:top w:val="nil"/>
              <w:left w:val="nil"/>
              <w:bottom w:val="nil"/>
              <w:right w:val="nil"/>
            </w:tcBorders>
            <w:shd w:val="clear" w:color="auto" w:fill="auto"/>
            <w:noWrap/>
            <w:vAlign w:val="center"/>
            <w:hideMark/>
          </w:tcPr>
          <w:p w14:paraId="75C027B8"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35.0</w:t>
            </w:r>
            <w:r w:rsidRPr="00D0415B">
              <w:rPr>
                <w:rFonts w:ascii="Times New Roman" w:eastAsia="Times New Roman" w:hAnsi="Times New Roman" w:cs="Times New Roman"/>
                <w:color w:val="000000"/>
                <w:sz w:val="16"/>
                <w:szCs w:val="16"/>
                <w:vertAlign w:val="superscript"/>
              </w:rPr>
              <w:t>b</w:t>
            </w:r>
          </w:p>
        </w:tc>
      </w:tr>
      <w:tr w:rsidR="00873563" w:rsidRPr="00D0415B" w14:paraId="6E521C06" w14:textId="77777777" w:rsidTr="000A0088">
        <w:trPr>
          <w:trHeight w:val="268"/>
        </w:trPr>
        <w:tc>
          <w:tcPr>
            <w:tcW w:w="910" w:type="dxa"/>
            <w:tcBorders>
              <w:top w:val="nil"/>
              <w:left w:val="nil"/>
              <w:bottom w:val="nil"/>
              <w:right w:val="nil"/>
            </w:tcBorders>
            <w:shd w:val="clear" w:color="auto" w:fill="auto"/>
            <w:noWrap/>
            <w:vAlign w:val="center"/>
            <w:hideMark/>
          </w:tcPr>
          <w:p w14:paraId="66285C9F"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357632B4"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1283EF4C"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As2</w:t>
            </w:r>
          </w:p>
        </w:tc>
        <w:tc>
          <w:tcPr>
            <w:tcW w:w="1655" w:type="dxa"/>
            <w:tcBorders>
              <w:top w:val="nil"/>
              <w:left w:val="nil"/>
              <w:bottom w:val="nil"/>
              <w:right w:val="nil"/>
            </w:tcBorders>
            <w:shd w:val="clear" w:color="auto" w:fill="auto"/>
            <w:noWrap/>
            <w:vAlign w:val="center"/>
            <w:hideMark/>
          </w:tcPr>
          <w:p w14:paraId="6A7FEA28"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12.0</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nil"/>
              <w:right w:val="nil"/>
            </w:tcBorders>
            <w:shd w:val="clear" w:color="auto" w:fill="auto"/>
            <w:noWrap/>
            <w:vAlign w:val="center"/>
            <w:hideMark/>
          </w:tcPr>
          <w:p w14:paraId="4846FF89"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11.0</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vAlign w:val="center"/>
            <w:hideMark/>
          </w:tcPr>
          <w:p w14:paraId="66C60009"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41.7</w:t>
            </w:r>
            <w:r w:rsidRPr="00D0415B">
              <w:rPr>
                <w:rFonts w:ascii="Times New Roman" w:eastAsia="Times New Roman" w:hAnsi="Times New Roman" w:cs="Times New Roman"/>
                <w:color w:val="000000"/>
                <w:sz w:val="16"/>
                <w:szCs w:val="16"/>
                <w:vertAlign w:val="superscript"/>
              </w:rPr>
              <w:t>b</w:t>
            </w:r>
          </w:p>
        </w:tc>
        <w:tc>
          <w:tcPr>
            <w:tcW w:w="1486" w:type="dxa"/>
            <w:tcBorders>
              <w:top w:val="nil"/>
              <w:left w:val="nil"/>
              <w:bottom w:val="nil"/>
              <w:right w:val="nil"/>
            </w:tcBorders>
            <w:shd w:val="clear" w:color="auto" w:fill="auto"/>
            <w:noWrap/>
            <w:vAlign w:val="center"/>
            <w:hideMark/>
          </w:tcPr>
          <w:p w14:paraId="54FC4E3B"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35.4</w:t>
            </w:r>
            <w:r w:rsidRPr="00D0415B">
              <w:rPr>
                <w:rFonts w:ascii="Times New Roman" w:eastAsia="Times New Roman" w:hAnsi="Times New Roman" w:cs="Times New Roman"/>
                <w:color w:val="000000"/>
                <w:sz w:val="16"/>
                <w:szCs w:val="16"/>
                <w:vertAlign w:val="superscript"/>
              </w:rPr>
              <w:t>b</w:t>
            </w:r>
          </w:p>
        </w:tc>
      </w:tr>
      <w:tr w:rsidR="00873563" w:rsidRPr="00D0415B" w14:paraId="62001DCD" w14:textId="77777777" w:rsidTr="000A0088">
        <w:trPr>
          <w:trHeight w:val="268"/>
        </w:trPr>
        <w:tc>
          <w:tcPr>
            <w:tcW w:w="910" w:type="dxa"/>
            <w:tcBorders>
              <w:top w:val="nil"/>
              <w:left w:val="nil"/>
              <w:bottom w:val="nil"/>
              <w:right w:val="nil"/>
            </w:tcBorders>
            <w:shd w:val="clear" w:color="auto" w:fill="auto"/>
            <w:noWrap/>
            <w:vAlign w:val="center"/>
            <w:hideMark/>
          </w:tcPr>
          <w:p w14:paraId="5F0A1647"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nil"/>
              <w:right w:val="nil"/>
            </w:tcBorders>
            <w:vAlign w:val="center"/>
          </w:tcPr>
          <w:p w14:paraId="210584A0"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nil"/>
              <w:right w:val="nil"/>
            </w:tcBorders>
            <w:shd w:val="clear" w:color="auto" w:fill="auto"/>
            <w:noWrap/>
            <w:vAlign w:val="center"/>
            <w:hideMark/>
          </w:tcPr>
          <w:p w14:paraId="6BBDB801"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Mix1</w:t>
            </w:r>
          </w:p>
        </w:tc>
        <w:tc>
          <w:tcPr>
            <w:tcW w:w="1655" w:type="dxa"/>
            <w:tcBorders>
              <w:top w:val="nil"/>
              <w:left w:val="nil"/>
              <w:bottom w:val="nil"/>
              <w:right w:val="nil"/>
            </w:tcBorders>
            <w:shd w:val="clear" w:color="auto" w:fill="auto"/>
            <w:noWrap/>
            <w:vAlign w:val="center"/>
            <w:hideMark/>
          </w:tcPr>
          <w:p w14:paraId="6848DBF2"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12.2</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nil"/>
              <w:right w:val="nil"/>
            </w:tcBorders>
            <w:shd w:val="clear" w:color="auto" w:fill="auto"/>
            <w:noWrap/>
            <w:vAlign w:val="center"/>
            <w:hideMark/>
          </w:tcPr>
          <w:p w14:paraId="4E2ACE2C"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11.0</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nil"/>
              <w:right w:val="nil"/>
            </w:tcBorders>
            <w:shd w:val="clear" w:color="auto" w:fill="auto"/>
            <w:noWrap/>
            <w:vAlign w:val="center"/>
            <w:hideMark/>
          </w:tcPr>
          <w:p w14:paraId="5B34401B"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38.4</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nil"/>
              <w:right w:val="nil"/>
            </w:tcBorders>
            <w:shd w:val="clear" w:color="auto" w:fill="auto"/>
            <w:noWrap/>
            <w:vAlign w:val="center"/>
            <w:hideMark/>
          </w:tcPr>
          <w:p w14:paraId="7E8C28A4"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37.0</w:t>
            </w:r>
            <w:r w:rsidRPr="00D0415B">
              <w:rPr>
                <w:rFonts w:ascii="Times New Roman" w:eastAsia="Times New Roman" w:hAnsi="Times New Roman" w:cs="Times New Roman"/>
                <w:b/>
                <w:bCs/>
                <w:color w:val="000000"/>
                <w:sz w:val="16"/>
                <w:szCs w:val="16"/>
                <w:vertAlign w:val="superscript"/>
              </w:rPr>
              <w:t>a</w:t>
            </w:r>
          </w:p>
        </w:tc>
      </w:tr>
      <w:tr w:rsidR="00873563" w:rsidRPr="00D0415B" w14:paraId="30009398" w14:textId="77777777" w:rsidTr="000A0088">
        <w:trPr>
          <w:trHeight w:val="268"/>
        </w:trPr>
        <w:tc>
          <w:tcPr>
            <w:tcW w:w="910" w:type="dxa"/>
            <w:tcBorders>
              <w:top w:val="nil"/>
              <w:left w:val="nil"/>
              <w:bottom w:val="single" w:sz="4" w:space="0" w:color="000000"/>
              <w:right w:val="nil"/>
            </w:tcBorders>
            <w:shd w:val="clear" w:color="auto" w:fill="auto"/>
            <w:noWrap/>
            <w:vAlign w:val="center"/>
          </w:tcPr>
          <w:p w14:paraId="398435FD"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Virginia</w:t>
            </w:r>
          </w:p>
        </w:tc>
        <w:tc>
          <w:tcPr>
            <w:tcW w:w="1301" w:type="dxa"/>
            <w:tcBorders>
              <w:top w:val="nil"/>
              <w:left w:val="nil"/>
              <w:bottom w:val="single" w:sz="4" w:space="0" w:color="000000"/>
              <w:right w:val="nil"/>
            </w:tcBorders>
            <w:vAlign w:val="center"/>
          </w:tcPr>
          <w:p w14:paraId="2017EFB2"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Y2</w:t>
            </w:r>
          </w:p>
        </w:tc>
        <w:tc>
          <w:tcPr>
            <w:tcW w:w="1705" w:type="dxa"/>
            <w:tcBorders>
              <w:top w:val="nil"/>
              <w:left w:val="nil"/>
              <w:bottom w:val="single" w:sz="4" w:space="0" w:color="000000"/>
              <w:right w:val="nil"/>
            </w:tcBorders>
            <w:shd w:val="clear" w:color="auto" w:fill="auto"/>
            <w:noWrap/>
            <w:vAlign w:val="center"/>
          </w:tcPr>
          <w:p w14:paraId="51534FC3" w14:textId="77777777" w:rsidR="00873563" w:rsidRPr="00D0415B" w:rsidRDefault="00873563" w:rsidP="000A0088">
            <w:pPr>
              <w:spacing w:after="0" w:line="240" w:lineRule="auto"/>
              <w:jc w:val="center"/>
              <w:rPr>
                <w:rFonts w:ascii="Times New Roman" w:eastAsia="Times New Roman" w:hAnsi="Times New Roman" w:cs="Times New Roman"/>
                <w:color w:val="000000"/>
                <w:sz w:val="16"/>
                <w:szCs w:val="16"/>
              </w:rPr>
            </w:pPr>
            <w:r w:rsidRPr="00D0415B">
              <w:rPr>
                <w:rFonts w:ascii="Times New Roman" w:eastAsia="Times New Roman" w:hAnsi="Times New Roman" w:cs="Times New Roman"/>
                <w:color w:val="000000"/>
                <w:sz w:val="16"/>
                <w:szCs w:val="16"/>
              </w:rPr>
              <w:t>Mix2</w:t>
            </w:r>
          </w:p>
        </w:tc>
        <w:tc>
          <w:tcPr>
            <w:tcW w:w="1655" w:type="dxa"/>
            <w:tcBorders>
              <w:top w:val="nil"/>
              <w:left w:val="nil"/>
              <w:bottom w:val="single" w:sz="4" w:space="0" w:color="000000"/>
              <w:right w:val="nil"/>
            </w:tcBorders>
            <w:shd w:val="clear" w:color="auto" w:fill="auto"/>
            <w:noWrap/>
            <w:vAlign w:val="center"/>
          </w:tcPr>
          <w:p w14:paraId="0427CC5A"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12.5</w:t>
            </w:r>
            <w:r w:rsidRPr="00D0415B">
              <w:rPr>
                <w:rFonts w:ascii="Times New Roman" w:eastAsia="Times New Roman" w:hAnsi="Times New Roman" w:cs="Times New Roman"/>
                <w:b/>
                <w:bCs/>
                <w:color w:val="000000"/>
                <w:sz w:val="16"/>
                <w:szCs w:val="16"/>
                <w:vertAlign w:val="superscript"/>
              </w:rPr>
              <w:t>a</w:t>
            </w:r>
          </w:p>
        </w:tc>
        <w:tc>
          <w:tcPr>
            <w:tcW w:w="1500" w:type="dxa"/>
            <w:tcBorders>
              <w:top w:val="nil"/>
              <w:left w:val="nil"/>
              <w:bottom w:val="single" w:sz="4" w:space="0" w:color="000000"/>
              <w:right w:val="nil"/>
            </w:tcBorders>
            <w:shd w:val="clear" w:color="auto" w:fill="auto"/>
            <w:noWrap/>
            <w:vAlign w:val="center"/>
          </w:tcPr>
          <w:p w14:paraId="05D74A60"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11.0</w:t>
            </w:r>
            <w:r w:rsidRPr="00D0415B">
              <w:rPr>
                <w:rFonts w:ascii="Times New Roman" w:eastAsia="Times New Roman" w:hAnsi="Times New Roman" w:cs="Times New Roman"/>
                <w:b/>
                <w:bCs/>
                <w:color w:val="000000"/>
                <w:sz w:val="16"/>
                <w:szCs w:val="16"/>
                <w:vertAlign w:val="superscript"/>
              </w:rPr>
              <w:t>a</w:t>
            </w:r>
          </w:p>
        </w:tc>
        <w:tc>
          <w:tcPr>
            <w:tcW w:w="1572" w:type="dxa"/>
            <w:tcBorders>
              <w:top w:val="nil"/>
              <w:left w:val="nil"/>
              <w:bottom w:val="single" w:sz="4" w:space="0" w:color="000000"/>
              <w:right w:val="nil"/>
            </w:tcBorders>
            <w:shd w:val="clear" w:color="auto" w:fill="auto"/>
            <w:noWrap/>
            <w:vAlign w:val="center"/>
          </w:tcPr>
          <w:p w14:paraId="2F4D08C3"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36.9</w:t>
            </w:r>
            <w:r w:rsidRPr="00D0415B">
              <w:rPr>
                <w:rFonts w:ascii="Times New Roman" w:eastAsia="Times New Roman" w:hAnsi="Times New Roman" w:cs="Times New Roman"/>
                <w:b/>
                <w:bCs/>
                <w:color w:val="000000"/>
                <w:sz w:val="16"/>
                <w:szCs w:val="16"/>
                <w:vertAlign w:val="superscript"/>
              </w:rPr>
              <w:t>a</w:t>
            </w:r>
          </w:p>
        </w:tc>
        <w:tc>
          <w:tcPr>
            <w:tcW w:w="1486" w:type="dxa"/>
            <w:tcBorders>
              <w:top w:val="nil"/>
              <w:left w:val="nil"/>
              <w:bottom w:val="single" w:sz="4" w:space="0" w:color="000000"/>
              <w:right w:val="nil"/>
            </w:tcBorders>
            <w:shd w:val="clear" w:color="auto" w:fill="auto"/>
            <w:noWrap/>
            <w:vAlign w:val="center"/>
          </w:tcPr>
          <w:p w14:paraId="3955EA0C" w14:textId="77777777" w:rsidR="00873563" w:rsidRPr="00D0415B" w:rsidRDefault="00873563" w:rsidP="000A0088">
            <w:pPr>
              <w:spacing w:after="0" w:line="240" w:lineRule="auto"/>
              <w:jc w:val="center"/>
              <w:rPr>
                <w:rFonts w:ascii="Times New Roman" w:eastAsia="Times New Roman" w:hAnsi="Times New Roman" w:cs="Times New Roman"/>
                <w:b/>
                <w:bCs/>
                <w:color w:val="000000"/>
                <w:sz w:val="16"/>
                <w:szCs w:val="16"/>
              </w:rPr>
            </w:pPr>
            <w:r w:rsidRPr="00D0415B">
              <w:rPr>
                <w:rFonts w:ascii="Times New Roman" w:eastAsia="Times New Roman" w:hAnsi="Times New Roman" w:cs="Times New Roman"/>
                <w:b/>
                <w:bCs/>
                <w:color w:val="000000"/>
                <w:sz w:val="16"/>
                <w:szCs w:val="16"/>
              </w:rPr>
              <w:t>37.1</w:t>
            </w:r>
            <w:r w:rsidRPr="00D0415B">
              <w:rPr>
                <w:rFonts w:ascii="Times New Roman" w:eastAsia="Times New Roman" w:hAnsi="Times New Roman" w:cs="Times New Roman"/>
                <w:b/>
                <w:bCs/>
                <w:color w:val="000000"/>
                <w:sz w:val="16"/>
                <w:szCs w:val="16"/>
                <w:vertAlign w:val="superscript"/>
              </w:rPr>
              <w:t>a</w:t>
            </w:r>
          </w:p>
        </w:tc>
      </w:tr>
    </w:tbl>
    <w:p w14:paraId="212B01C4" w14:textId="77777777" w:rsidR="00873563" w:rsidRPr="00D0415B" w:rsidRDefault="00873563" w:rsidP="00873563">
      <w:pPr>
        <w:autoSpaceDE w:val="0"/>
        <w:autoSpaceDN w:val="0"/>
        <w:adjustRightInd w:val="0"/>
        <w:spacing w:after="0" w:line="276" w:lineRule="auto"/>
        <w:rPr>
          <w:rFonts w:ascii="Times New Roman" w:hAnsi="Times New Roman" w:cs="Times New Roman"/>
          <w:b/>
          <w:bCs/>
        </w:rPr>
      </w:pPr>
      <w:r w:rsidRPr="00D0415B">
        <w:rPr>
          <w:rFonts w:ascii="Times New Roman" w:hAnsi="Times New Roman" w:cs="Times New Roman"/>
          <w:sz w:val="16"/>
          <w:szCs w:val="16"/>
        </w:rPr>
        <w:t>Significant differences at P &lt; 0.05 have been indicated with different letters.</w:t>
      </w:r>
    </w:p>
    <w:p w14:paraId="09EF83FD" w14:textId="77777777" w:rsidR="00873563" w:rsidRPr="00D0415B" w:rsidRDefault="00873563" w:rsidP="00873563">
      <w:pPr>
        <w:tabs>
          <w:tab w:val="left" w:pos="3186"/>
        </w:tabs>
        <w:spacing w:line="360" w:lineRule="auto"/>
      </w:pPr>
    </w:p>
    <w:p w14:paraId="44A734D6" w14:textId="77777777" w:rsidR="00873563" w:rsidRPr="00D0415B" w:rsidRDefault="00873563" w:rsidP="00873563">
      <w:pPr>
        <w:tabs>
          <w:tab w:val="left" w:pos="3186"/>
        </w:tabs>
        <w:spacing w:line="360" w:lineRule="auto"/>
      </w:pPr>
    </w:p>
    <w:p w14:paraId="5DA2CADC" w14:textId="77777777" w:rsidR="00873563" w:rsidRPr="00D0415B" w:rsidRDefault="00873563" w:rsidP="00873563">
      <w:pPr>
        <w:tabs>
          <w:tab w:val="left" w:pos="3186"/>
        </w:tabs>
        <w:spacing w:line="360" w:lineRule="auto"/>
      </w:pPr>
    </w:p>
    <w:p w14:paraId="494D40F3" w14:textId="77777777" w:rsidR="00873563" w:rsidRPr="00D0415B" w:rsidRDefault="00873563" w:rsidP="00873563">
      <w:pPr>
        <w:tabs>
          <w:tab w:val="left" w:pos="3186"/>
        </w:tabs>
        <w:spacing w:line="360" w:lineRule="auto"/>
      </w:pPr>
    </w:p>
    <w:p w14:paraId="33C17AC0" w14:textId="77777777" w:rsidR="00873563" w:rsidRPr="00D0415B" w:rsidRDefault="00873563" w:rsidP="00873563">
      <w:pPr>
        <w:tabs>
          <w:tab w:val="left" w:pos="3186"/>
        </w:tabs>
        <w:spacing w:line="360" w:lineRule="auto"/>
      </w:pPr>
    </w:p>
    <w:p w14:paraId="208EF4BD" w14:textId="77777777" w:rsidR="00873563" w:rsidRPr="00D0415B" w:rsidRDefault="00873563" w:rsidP="00873563">
      <w:pPr>
        <w:tabs>
          <w:tab w:val="left" w:pos="3186"/>
        </w:tabs>
        <w:spacing w:line="360" w:lineRule="auto"/>
      </w:pPr>
      <w:r w:rsidRPr="00D0415B">
        <w:rPr>
          <w:rFonts w:ascii="Times New Roman" w:eastAsia="Times New Roman" w:hAnsi="Times New Roman" w:cs="Times New Roman"/>
          <w:noProof/>
          <w:sz w:val="24"/>
          <w:szCs w:val="24"/>
        </w:rPr>
        <w:lastRenderedPageBreak/>
        <w:drawing>
          <wp:anchor distT="0" distB="0" distL="114300" distR="114300" simplePos="0" relativeHeight="251670528" behindDoc="0" locked="0" layoutInCell="1" allowOverlap="1" wp14:anchorId="631E11EE" wp14:editId="13A2D365">
            <wp:simplePos x="0" y="0"/>
            <wp:positionH relativeFrom="column">
              <wp:posOffset>762000</wp:posOffset>
            </wp:positionH>
            <wp:positionV relativeFrom="paragraph">
              <wp:posOffset>0</wp:posOffset>
            </wp:positionV>
            <wp:extent cx="3467100" cy="2800985"/>
            <wp:effectExtent l="0" t="0" r="0" b="0"/>
            <wp:wrapSquare wrapText="bothSides"/>
            <wp:docPr id="8" name="Picture 8" descr="C:\Users\plus\Desktop\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us\Desktop\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2800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FBA19" w14:textId="77777777" w:rsidR="00873563" w:rsidRPr="00D0415B" w:rsidRDefault="00873563" w:rsidP="00873563">
      <w:pPr>
        <w:tabs>
          <w:tab w:val="left" w:pos="3186"/>
        </w:tabs>
        <w:spacing w:line="360" w:lineRule="auto"/>
      </w:pPr>
    </w:p>
    <w:p w14:paraId="38A316D7"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63B01410"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74FEA178"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67857BDE"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06EDD67C"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6D49F68F"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4984CFE6" w14:textId="77777777" w:rsidR="00873563" w:rsidRPr="00D0415B" w:rsidRDefault="00873563" w:rsidP="00873563">
      <w:pPr>
        <w:tabs>
          <w:tab w:val="left" w:pos="3186"/>
        </w:tabs>
        <w:spacing w:line="360" w:lineRule="auto"/>
        <w:jc w:val="both"/>
        <w:rPr>
          <w:rFonts w:ascii="Times New Roman" w:hAnsi="Times New Roman" w:cs="Times New Roman"/>
          <w:b/>
          <w:bCs/>
        </w:rPr>
      </w:pPr>
    </w:p>
    <w:p w14:paraId="07287F74" w14:textId="77777777" w:rsidR="00873563" w:rsidRPr="00D0415B" w:rsidRDefault="00873563" w:rsidP="00873563">
      <w:pPr>
        <w:jc w:val="both"/>
        <w:rPr>
          <w:rFonts w:ascii="Times New Roman" w:hAnsi="Times New Roman" w:cs="Times New Roman"/>
          <w:color w:val="000000" w:themeColor="text1"/>
          <w:sz w:val="20"/>
          <w:szCs w:val="20"/>
        </w:rPr>
        <w:sectPr w:rsidR="00873563" w:rsidRPr="00D0415B" w:rsidSect="00781FF3">
          <w:footerReference w:type="default" r:id="rId13"/>
          <w:type w:val="continuous"/>
          <w:pgSz w:w="12240" w:h="15840"/>
          <w:pgMar w:top="1440" w:right="1440" w:bottom="1440" w:left="1440" w:header="720" w:footer="720" w:gutter="0"/>
          <w:cols w:space="567"/>
          <w:docGrid w:linePitch="360"/>
        </w:sectPr>
      </w:pPr>
      <w:r w:rsidRPr="00D0415B">
        <w:rPr>
          <w:rFonts w:ascii="Times New Roman" w:hAnsi="Times New Roman" w:cs="Times New Roman"/>
          <w:b/>
          <w:bCs/>
          <w:color w:val="000000" w:themeColor="text1"/>
          <w:sz w:val="20"/>
          <w:szCs w:val="20"/>
        </w:rPr>
        <w:t>Fig. 2.</w:t>
      </w:r>
      <w:r w:rsidRPr="00D0415B">
        <w:rPr>
          <w:rFonts w:ascii="Times New Roman" w:hAnsi="Times New Roman" w:cs="Times New Roman"/>
          <w:color w:val="000000" w:themeColor="text1"/>
          <w:sz w:val="20"/>
          <w:szCs w:val="20"/>
        </w:rPr>
        <w:t xml:space="preserve"> Comparison of the effect of foliar application of different concentrations of nitrogen and various amino acids includes Arginine, Ornithine and Aspartic acid and an equal concentration of combination of amino acids on leaf length (A), leaf width (B), stem height (C), leaf number (D), leaf fresh weight (E), leaf dry weight (F) and yield (G) of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varieties (Burley (Br), </w:t>
      </w:r>
      <w:proofErr w:type="spellStart"/>
      <w:r w:rsidRPr="00D0415B">
        <w:rPr>
          <w:rFonts w:ascii="Times New Roman" w:hAnsi="Times New Roman" w:cs="Times New Roman"/>
          <w:color w:val="000000" w:themeColor="text1"/>
          <w:sz w:val="20"/>
          <w:szCs w:val="20"/>
        </w:rPr>
        <w:t>Basma</w:t>
      </w:r>
      <w:proofErr w:type="spellEnd"/>
      <w:r w:rsidRPr="00D0415B">
        <w:rPr>
          <w:rFonts w:ascii="Times New Roman" w:hAnsi="Times New Roman" w:cs="Times New Roman"/>
          <w:color w:val="000000" w:themeColor="text1"/>
          <w:sz w:val="20"/>
          <w:szCs w:val="20"/>
        </w:rPr>
        <w:t xml:space="preserve"> (Ba), Virginia BT (BT) and  Virginia (</w:t>
      </w:r>
      <w:proofErr w:type="spellStart"/>
      <w:r w:rsidRPr="00D0415B">
        <w:rPr>
          <w:rFonts w:ascii="Times New Roman" w:hAnsi="Times New Roman" w:cs="Times New Roman"/>
          <w:color w:val="000000" w:themeColor="text1"/>
          <w:sz w:val="20"/>
          <w:szCs w:val="20"/>
        </w:rPr>
        <w:t>Vr</w:t>
      </w:r>
      <w:proofErr w:type="spellEnd"/>
      <w:r w:rsidRPr="00D0415B">
        <w:rPr>
          <w:rFonts w:ascii="Times New Roman" w:hAnsi="Times New Roman" w:cs="Times New Roman"/>
          <w:color w:val="000000" w:themeColor="text1"/>
          <w:sz w:val="20"/>
          <w:szCs w:val="20"/>
        </w:rPr>
        <w:t>)) cultivated in the field. Significant differences at P &lt; 0.05 have been indicated with different letters.</w:t>
      </w:r>
    </w:p>
    <w:p w14:paraId="37AE30E6" w14:textId="77777777" w:rsidR="00873563" w:rsidRPr="00D0415B" w:rsidRDefault="00873563" w:rsidP="00873563">
      <w:pPr>
        <w:rPr>
          <w:rtl/>
        </w:rPr>
      </w:pPr>
    </w:p>
    <w:p w14:paraId="3096C464" w14:textId="77777777" w:rsidR="00873563" w:rsidRPr="00D0415B" w:rsidRDefault="00873563" w:rsidP="00873563"/>
    <w:p w14:paraId="22F90C31" w14:textId="77777777" w:rsidR="00873563" w:rsidRPr="00D0415B" w:rsidRDefault="00873563" w:rsidP="00873563"/>
    <w:p w14:paraId="475581CD" w14:textId="77777777" w:rsidR="00873563" w:rsidRPr="00D0415B" w:rsidRDefault="00873563" w:rsidP="00873563"/>
    <w:p w14:paraId="366172AF" w14:textId="77777777" w:rsidR="00873563" w:rsidRPr="00D0415B" w:rsidRDefault="00873563" w:rsidP="00873563"/>
    <w:p w14:paraId="53797BEA" w14:textId="77777777" w:rsidR="00873563" w:rsidRPr="00D0415B" w:rsidRDefault="00873563" w:rsidP="00873563"/>
    <w:p w14:paraId="76939FC3" w14:textId="77777777" w:rsidR="00873563" w:rsidRPr="00D0415B" w:rsidRDefault="00873563" w:rsidP="00873563"/>
    <w:p w14:paraId="1865014A" w14:textId="77777777" w:rsidR="00873563" w:rsidRPr="00D0415B" w:rsidRDefault="00873563" w:rsidP="00873563">
      <w:r w:rsidRPr="00D0415B">
        <w:rPr>
          <w:noProof/>
        </w:rPr>
        <w:drawing>
          <wp:anchor distT="0" distB="0" distL="114300" distR="114300" simplePos="0" relativeHeight="251659264" behindDoc="0" locked="0" layoutInCell="1" allowOverlap="1" wp14:anchorId="68948DCD" wp14:editId="2610CF96">
            <wp:simplePos x="0" y="0"/>
            <wp:positionH relativeFrom="column">
              <wp:posOffset>238125</wp:posOffset>
            </wp:positionH>
            <wp:positionV relativeFrom="paragraph">
              <wp:posOffset>-1988820</wp:posOffset>
            </wp:positionV>
            <wp:extent cx="4400550" cy="4023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11" b="622"/>
                    <a:stretch/>
                  </pic:blipFill>
                  <pic:spPr bwMode="auto">
                    <a:xfrm>
                      <a:off x="0" y="0"/>
                      <a:ext cx="4400550" cy="40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F3AB0" w14:textId="77777777" w:rsidR="00873563" w:rsidRPr="00D0415B" w:rsidRDefault="00873563" w:rsidP="00873563"/>
    <w:p w14:paraId="75AB64BA" w14:textId="77777777" w:rsidR="00873563" w:rsidRPr="00D0415B" w:rsidRDefault="00873563" w:rsidP="00873563"/>
    <w:p w14:paraId="4B4417E6" w14:textId="77777777" w:rsidR="00873563" w:rsidRPr="00D0415B" w:rsidRDefault="00873563" w:rsidP="00873563"/>
    <w:p w14:paraId="0E55B4CA" w14:textId="77777777" w:rsidR="00873563" w:rsidRPr="00D0415B" w:rsidRDefault="00873563" w:rsidP="00873563"/>
    <w:p w14:paraId="090561E2" w14:textId="77777777" w:rsidR="00873563" w:rsidRPr="00D0415B" w:rsidRDefault="00873563" w:rsidP="00873563"/>
    <w:p w14:paraId="2E88CCEE" w14:textId="77777777" w:rsidR="00873563" w:rsidRPr="00D0415B" w:rsidRDefault="00873563" w:rsidP="00873563">
      <w:pPr>
        <w:tabs>
          <w:tab w:val="left" w:pos="3186"/>
        </w:tabs>
        <w:spacing w:line="240" w:lineRule="auto"/>
        <w:jc w:val="both"/>
        <w:rPr>
          <w:rFonts w:ascii="Times New Roman" w:hAnsi="Times New Roman" w:cs="Times New Roman"/>
          <w:b/>
          <w:bCs/>
          <w:rtl/>
        </w:rPr>
      </w:pPr>
    </w:p>
    <w:p w14:paraId="512A9848" w14:textId="77777777" w:rsidR="00873563" w:rsidRPr="00D0415B" w:rsidRDefault="00873563" w:rsidP="00873563">
      <w:pPr>
        <w:jc w:val="both"/>
        <w:rPr>
          <w:rFonts w:ascii="Times New Roman" w:hAnsi="Times New Roman" w:cs="Times New Roman"/>
          <w:b/>
          <w:bCs/>
          <w:color w:val="000000" w:themeColor="text1"/>
          <w:sz w:val="20"/>
          <w:szCs w:val="20"/>
        </w:rPr>
      </w:pPr>
    </w:p>
    <w:p w14:paraId="6A20E97B" w14:textId="77777777" w:rsidR="00873563" w:rsidRPr="00D0415B" w:rsidRDefault="00873563" w:rsidP="00873563">
      <w:pPr>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lastRenderedPageBreak/>
        <w:t>Fig. 3.</w:t>
      </w:r>
      <w:r w:rsidRPr="00D0415B">
        <w:rPr>
          <w:rFonts w:ascii="Times New Roman" w:hAnsi="Times New Roman" w:cs="Times New Roman"/>
          <w:color w:val="000000" w:themeColor="text1"/>
          <w:sz w:val="20"/>
          <w:szCs w:val="20"/>
        </w:rPr>
        <w:t xml:space="preserve"> Effect of foliar application of different concentrations of nitrogen and various amino acids includes Arginine, Ornithine and Aspartic acid and an equal concentration of combination of amino acids on leaf length (A), leaf width (B), stem height (C), leaf number (D), leaf fresh weight (E), leaf dry weight (F), and yield (G) of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cultivated in the field. Significant differences at P &lt; 0.05 have been indicated with different letters.</w:t>
      </w:r>
    </w:p>
    <w:p w14:paraId="0BAA0009" w14:textId="77777777" w:rsidR="00873563" w:rsidRPr="00D0415B" w:rsidRDefault="00873563" w:rsidP="00873563"/>
    <w:p w14:paraId="13CFFF69" w14:textId="77777777" w:rsidR="00873563" w:rsidRPr="00D0415B" w:rsidRDefault="00873563" w:rsidP="00873563">
      <w:r w:rsidRPr="00D0415B">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6DF8665C" wp14:editId="6D7BD274">
            <wp:simplePos x="0" y="0"/>
            <wp:positionH relativeFrom="column">
              <wp:posOffset>1114425</wp:posOffset>
            </wp:positionH>
            <wp:positionV relativeFrom="paragraph">
              <wp:posOffset>55880</wp:posOffset>
            </wp:positionV>
            <wp:extent cx="2543175" cy="2840355"/>
            <wp:effectExtent l="0" t="0" r="9525" b="0"/>
            <wp:wrapSquare wrapText="bothSides"/>
            <wp:docPr id="11" name="Picture 11" descr="C:\Users\plus\Desktop\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us\Desktop\222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284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62414" w14:textId="77777777" w:rsidR="00873563" w:rsidRPr="00D0415B" w:rsidRDefault="00873563" w:rsidP="00873563"/>
    <w:p w14:paraId="0E22F14E" w14:textId="77777777" w:rsidR="00873563" w:rsidRPr="00D0415B" w:rsidRDefault="00873563" w:rsidP="00873563"/>
    <w:p w14:paraId="6D8FEF3C" w14:textId="77777777" w:rsidR="00873563" w:rsidRPr="00D0415B" w:rsidRDefault="00873563" w:rsidP="00873563"/>
    <w:p w14:paraId="45D9CFF3" w14:textId="77777777" w:rsidR="00873563" w:rsidRPr="00D0415B" w:rsidRDefault="00873563" w:rsidP="00873563"/>
    <w:p w14:paraId="500B808F" w14:textId="77777777" w:rsidR="00873563" w:rsidRPr="00D0415B" w:rsidRDefault="00873563" w:rsidP="00873563"/>
    <w:p w14:paraId="644FBB46" w14:textId="77777777" w:rsidR="00873563" w:rsidRPr="00D0415B" w:rsidRDefault="00873563" w:rsidP="00873563"/>
    <w:p w14:paraId="61D057A6" w14:textId="77777777" w:rsidR="00873563" w:rsidRPr="00D0415B" w:rsidRDefault="00873563" w:rsidP="00873563"/>
    <w:p w14:paraId="10BF78BD" w14:textId="77777777" w:rsidR="00873563" w:rsidRPr="00D0415B" w:rsidRDefault="00873563" w:rsidP="00873563"/>
    <w:p w14:paraId="1C87A0B0" w14:textId="77777777" w:rsidR="00873563" w:rsidRPr="00D0415B" w:rsidRDefault="00873563" w:rsidP="00873563"/>
    <w:p w14:paraId="1A2C31FE" w14:textId="77777777" w:rsidR="00873563" w:rsidRPr="00D0415B" w:rsidRDefault="00873563" w:rsidP="00873563"/>
    <w:p w14:paraId="2C869DA3" w14:textId="77777777" w:rsidR="00873563" w:rsidRPr="00D0415B" w:rsidRDefault="00873563" w:rsidP="00873563">
      <w:pPr>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t>Fig. 5.</w:t>
      </w:r>
      <w:r w:rsidRPr="00D0415B">
        <w:rPr>
          <w:rFonts w:ascii="Times New Roman" w:hAnsi="Times New Roman" w:cs="Times New Roman"/>
          <w:color w:val="000000" w:themeColor="text1"/>
          <w:sz w:val="20"/>
          <w:szCs w:val="20"/>
        </w:rPr>
        <w:t xml:space="preserve"> Comparison of the effect of foliar application of different concentrations of nitrogen and various amino acids includes Arginine, Ornithine and Aspartic acid and an equal concentration of combination of amino acids on Chlorophyll a (A), Chlorophyll b (B), total chlorophyll (C), Carotenoid (D) and SPAD (E) of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varieties (Burley (Br), </w:t>
      </w:r>
      <w:proofErr w:type="spellStart"/>
      <w:r w:rsidRPr="00D0415B">
        <w:rPr>
          <w:rFonts w:ascii="Times New Roman" w:hAnsi="Times New Roman" w:cs="Times New Roman"/>
          <w:color w:val="000000" w:themeColor="text1"/>
          <w:sz w:val="20"/>
          <w:szCs w:val="20"/>
        </w:rPr>
        <w:t>Basma</w:t>
      </w:r>
      <w:proofErr w:type="spellEnd"/>
      <w:r w:rsidRPr="00D0415B">
        <w:rPr>
          <w:rFonts w:ascii="Times New Roman" w:hAnsi="Times New Roman" w:cs="Times New Roman"/>
          <w:color w:val="000000" w:themeColor="text1"/>
          <w:sz w:val="20"/>
          <w:szCs w:val="20"/>
        </w:rPr>
        <w:t xml:space="preserve"> (Ba), Virginia BT (BT) and Virginia (</w:t>
      </w:r>
      <w:proofErr w:type="spellStart"/>
      <w:r w:rsidRPr="00D0415B">
        <w:rPr>
          <w:rFonts w:ascii="Times New Roman" w:hAnsi="Times New Roman" w:cs="Times New Roman"/>
          <w:color w:val="000000" w:themeColor="text1"/>
          <w:sz w:val="20"/>
          <w:szCs w:val="20"/>
        </w:rPr>
        <w:t>Vr</w:t>
      </w:r>
      <w:proofErr w:type="spellEnd"/>
      <w:r w:rsidRPr="00D0415B">
        <w:rPr>
          <w:rFonts w:ascii="Times New Roman" w:hAnsi="Times New Roman" w:cs="Times New Roman"/>
          <w:color w:val="000000" w:themeColor="text1"/>
          <w:sz w:val="20"/>
          <w:szCs w:val="20"/>
        </w:rPr>
        <w:t>)) cultivated in the field. Significant differences at P &lt; 0.05 have been indicated with different letters.</w:t>
      </w:r>
    </w:p>
    <w:p w14:paraId="435A512E" w14:textId="77777777" w:rsidR="00873563" w:rsidRPr="00D0415B" w:rsidRDefault="00873563" w:rsidP="00873563"/>
    <w:p w14:paraId="7AE918D1" w14:textId="77777777" w:rsidR="00873563" w:rsidRPr="00D0415B" w:rsidRDefault="00873563" w:rsidP="00873563"/>
    <w:p w14:paraId="5B69F23A" w14:textId="77777777" w:rsidR="00873563" w:rsidRPr="00D0415B" w:rsidRDefault="00873563" w:rsidP="00873563"/>
    <w:p w14:paraId="0A7E6EEB" w14:textId="77777777" w:rsidR="00873563" w:rsidRPr="00D0415B" w:rsidRDefault="00873563" w:rsidP="00873563"/>
    <w:p w14:paraId="2F71EAAA" w14:textId="77777777" w:rsidR="00873563" w:rsidRPr="00D0415B" w:rsidRDefault="00873563" w:rsidP="00873563"/>
    <w:p w14:paraId="40444590" w14:textId="77777777" w:rsidR="00873563" w:rsidRPr="00D0415B" w:rsidRDefault="00873563" w:rsidP="00873563"/>
    <w:p w14:paraId="162D7BEF" w14:textId="77777777" w:rsidR="00873563" w:rsidRPr="00D0415B" w:rsidRDefault="00873563" w:rsidP="00873563">
      <w:r w:rsidRPr="00D0415B">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42458FDF" wp14:editId="01AD2EDD">
            <wp:simplePos x="0" y="0"/>
            <wp:positionH relativeFrom="column">
              <wp:posOffset>209550</wp:posOffset>
            </wp:positionH>
            <wp:positionV relativeFrom="paragraph">
              <wp:posOffset>0</wp:posOffset>
            </wp:positionV>
            <wp:extent cx="5426710" cy="4305300"/>
            <wp:effectExtent l="0" t="0" r="2540" b="0"/>
            <wp:wrapSquare wrapText="bothSides"/>
            <wp:docPr id="10" name="Picture 10" descr="C:\Users\plus\Desktop\مجله تولیدات گیاهی گرگان\عکس ها\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lus\Desktop\مجله تولیدات گیاهی گرگان\عکس ها\0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93" b="696"/>
                    <a:stretch/>
                  </pic:blipFill>
                  <pic:spPr bwMode="auto">
                    <a:xfrm>
                      <a:off x="0" y="0"/>
                      <a:ext cx="5426710" cy="430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83266" w14:textId="77777777" w:rsidR="00873563" w:rsidRPr="00D0415B" w:rsidRDefault="00873563" w:rsidP="00873563">
      <w:pPr>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t>Fig. 6.</w:t>
      </w:r>
      <w:r w:rsidRPr="00D0415B">
        <w:rPr>
          <w:rFonts w:ascii="Times New Roman" w:hAnsi="Times New Roman" w:cs="Times New Roman"/>
          <w:color w:val="000000" w:themeColor="text1"/>
          <w:sz w:val="20"/>
          <w:szCs w:val="20"/>
        </w:rPr>
        <w:t xml:space="preserve"> Effect of foliar application of different concentrations of nitrogen and various amino acids includes Arginine, Ornithine and Aspartic acid and an equal concentration of combination of amino acids on Chlorophyll a (A), Chlorophyll b (B), total chlorophyll (C), Carotenoid (D), and SPAD (E) of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cultivated in the field. Significant differences at P &lt; 0.05 have been indicated with different letters.</w:t>
      </w:r>
    </w:p>
    <w:p w14:paraId="71B26432" w14:textId="77777777" w:rsidR="00873563" w:rsidRPr="00D0415B" w:rsidRDefault="00873563" w:rsidP="00873563">
      <w:r w:rsidRPr="00D0415B">
        <w:rPr>
          <w:noProof/>
        </w:rPr>
        <w:drawing>
          <wp:anchor distT="0" distB="0" distL="114300" distR="114300" simplePos="0" relativeHeight="251663360" behindDoc="0" locked="0" layoutInCell="1" allowOverlap="1" wp14:anchorId="6BEB8762" wp14:editId="45B5B629">
            <wp:simplePos x="0" y="0"/>
            <wp:positionH relativeFrom="column">
              <wp:posOffset>-84559</wp:posOffset>
            </wp:positionH>
            <wp:positionV relativeFrom="paragraph">
              <wp:posOffset>285750</wp:posOffset>
            </wp:positionV>
            <wp:extent cx="5667500" cy="1800000"/>
            <wp:effectExtent l="0" t="0" r="0" b="0"/>
            <wp:wrapSquare wrapText="bothSides"/>
            <wp:docPr id="20" name="Picture 20" descr="C:\Users\plus\Desktop\اشکال فیتوشیمیای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us\Desktop\اشکال فیتوشیمیایی\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827"/>
                    <a:stretch/>
                  </pic:blipFill>
                  <pic:spPr bwMode="auto">
                    <a:xfrm>
                      <a:off x="0" y="0"/>
                      <a:ext cx="5667500" cy="180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AB6A4" w14:textId="77777777" w:rsidR="00873563" w:rsidRPr="00D0415B" w:rsidRDefault="00873563" w:rsidP="00873563"/>
    <w:p w14:paraId="0CFDA1C0" w14:textId="77777777" w:rsidR="00873563" w:rsidRPr="00D0415B" w:rsidRDefault="00873563" w:rsidP="00873563"/>
    <w:p w14:paraId="7932F300" w14:textId="77777777" w:rsidR="00873563" w:rsidRPr="00D0415B" w:rsidRDefault="00873563" w:rsidP="00873563"/>
    <w:p w14:paraId="32A1464E" w14:textId="77777777" w:rsidR="00873563" w:rsidRPr="00D0415B" w:rsidRDefault="00873563" w:rsidP="00873563"/>
    <w:p w14:paraId="7012E930" w14:textId="77777777" w:rsidR="00873563" w:rsidRPr="00D0415B" w:rsidRDefault="00873563" w:rsidP="00873563"/>
    <w:p w14:paraId="2088C1E3" w14:textId="77777777" w:rsidR="00873563" w:rsidRPr="00D0415B" w:rsidRDefault="00873563" w:rsidP="00873563"/>
    <w:p w14:paraId="3982E739" w14:textId="77777777" w:rsidR="00873563" w:rsidRPr="00D0415B" w:rsidRDefault="00873563" w:rsidP="00873563">
      <w:r w:rsidRPr="00D0415B">
        <w:rPr>
          <w:noProof/>
        </w:rPr>
        <w:lastRenderedPageBreak/>
        <w:drawing>
          <wp:anchor distT="0" distB="0" distL="114300" distR="114300" simplePos="0" relativeHeight="251662336" behindDoc="0" locked="0" layoutInCell="1" allowOverlap="1" wp14:anchorId="671A2187" wp14:editId="708521B0">
            <wp:simplePos x="0" y="0"/>
            <wp:positionH relativeFrom="column">
              <wp:posOffset>-85725</wp:posOffset>
            </wp:positionH>
            <wp:positionV relativeFrom="paragraph">
              <wp:posOffset>200660</wp:posOffset>
            </wp:positionV>
            <wp:extent cx="5665470" cy="1809750"/>
            <wp:effectExtent l="0" t="0" r="0" b="0"/>
            <wp:wrapSquare wrapText="bothSides"/>
            <wp:docPr id="54" name="Picture 54" descr="C:\Users\plus\Desktop\اشکال فیتوشیمیای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us\Desktop\اشکال فیتوشیمیایی\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547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D53AA" w14:textId="77777777" w:rsidR="00873563" w:rsidRPr="00D0415B" w:rsidRDefault="00873563" w:rsidP="00873563"/>
    <w:p w14:paraId="44AF986B" w14:textId="77777777" w:rsidR="00873563" w:rsidRPr="00D0415B" w:rsidRDefault="00873563" w:rsidP="00873563"/>
    <w:p w14:paraId="1F771DDC" w14:textId="77777777" w:rsidR="00873563" w:rsidRPr="00D0415B" w:rsidRDefault="00873563" w:rsidP="00873563"/>
    <w:p w14:paraId="37C1445C" w14:textId="77777777" w:rsidR="00873563" w:rsidRPr="00D0415B" w:rsidRDefault="00873563" w:rsidP="00873563"/>
    <w:p w14:paraId="0C68432F" w14:textId="77777777" w:rsidR="00873563" w:rsidRPr="00D0415B" w:rsidRDefault="00873563" w:rsidP="00873563"/>
    <w:p w14:paraId="16E619AD" w14:textId="77777777" w:rsidR="00873563" w:rsidRPr="00D0415B" w:rsidRDefault="00873563" w:rsidP="00873563">
      <w:r w:rsidRPr="00D0415B">
        <w:rPr>
          <w:noProof/>
        </w:rPr>
        <w:drawing>
          <wp:anchor distT="0" distB="0" distL="114300" distR="114300" simplePos="0" relativeHeight="251664384" behindDoc="0" locked="0" layoutInCell="1" allowOverlap="1" wp14:anchorId="3E6A617C" wp14:editId="122AB854">
            <wp:simplePos x="0" y="0"/>
            <wp:positionH relativeFrom="column">
              <wp:posOffset>-85725</wp:posOffset>
            </wp:positionH>
            <wp:positionV relativeFrom="paragraph">
              <wp:posOffset>248920</wp:posOffset>
            </wp:positionV>
            <wp:extent cx="5664200" cy="1809750"/>
            <wp:effectExtent l="0" t="0" r="0" b="0"/>
            <wp:wrapSquare wrapText="bothSides"/>
            <wp:docPr id="6" name="Picture 6" descr="C:\Users\plu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us\Desktop\Untit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42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3ACC9" w14:textId="77777777" w:rsidR="00873563" w:rsidRPr="00D0415B" w:rsidRDefault="00873563" w:rsidP="00873563"/>
    <w:p w14:paraId="34B85191" w14:textId="77777777" w:rsidR="00873563" w:rsidRPr="00D0415B" w:rsidRDefault="00873563" w:rsidP="00873563"/>
    <w:p w14:paraId="1E1E0A82" w14:textId="77777777" w:rsidR="00873563" w:rsidRPr="00D0415B" w:rsidRDefault="00873563" w:rsidP="00873563"/>
    <w:p w14:paraId="0185E71C" w14:textId="77777777" w:rsidR="00873563" w:rsidRPr="00D0415B" w:rsidRDefault="00873563" w:rsidP="00873563"/>
    <w:p w14:paraId="08FFD466" w14:textId="77777777" w:rsidR="00873563" w:rsidRPr="00D0415B" w:rsidRDefault="00873563" w:rsidP="00873563"/>
    <w:p w14:paraId="5983FB83" w14:textId="77777777" w:rsidR="00873563" w:rsidRPr="00D0415B" w:rsidRDefault="00873563" w:rsidP="00873563">
      <w:r w:rsidRPr="00D0415B">
        <w:rPr>
          <w:noProof/>
        </w:rPr>
        <w:drawing>
          <wp:anchor distT="0" distB="0" distL="114300" distR="114300" simplePos="0" relativeHeight="251665408" behindDoc="0" locked="0" layoutInCell="1" allowOverlap="1" wp14:anchorId="0BEE1FAC" wp14:editId="4941C2F4">
            <wp:simplePos x="0" y="0"/>
            <wp:positionH relativeFrom="column">
              <wp:posOffset>-85725</wp:posOffset>
            </wp:positionH>
            <wp:positionV relativeFrom="paragraph">
              <wp:posOffset>344805</wp:posOffset>
            </wp:positionV>
            <wp:extent cx="5664835" cy="1809750"/>
            <wp:effectExtent l="0" t="0" r="0" b="0"/>
            <wp:wrapSquare wrapText="bothSides"/>
            <wp:docPr id="2" name="Picture 2" descr="C:\Users\plus\Desktop\پوشه مقاله ترکیبی الحسناوی\اشکال فیتوشیمیای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us\Desktop\پوشه مقاله ترکیبی الحسناوی\اشکال فیتوشیمیایی\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483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4A73F" w14:textId="77777777" w:rsidR="00873563" w:rsidRPr="00D0415B" w:rsidRDefault="00873563" w:rsidP="00873563">
      <w:pPr>
        <w:spacing w:line="240" w:lineRule="auto"/>
        <w:ind w:right="141" w:firstLine="284"/>
        <w:jc w:val="center"/>
        <w:rPr>
          <w:rFonts w:asciiTheme="majorBidi" w:hAnsiTheme="majorBidi" w:cstheme="majorBidi"/>
          <w:b/>
          <w:bCs/>
          <w:sz w:val="16"/>
          <w:szCs w:val="16"/>
        </w:rPr>
      </w:pPr>
    </w:p>
    <w:p w14:paraId="45A0E52B" w14:textId="77777777" w:rsidR="00873563" w:rsidRPr="00D0415B" w:rsidRDefault="00873563" w:rsidP="00873563">
      <w:pPr>
        <w:spacing w:line="240" w:lineRule="auto"/>
        <w:ind w:right="141"/>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t>Fig. 7.</w:t>
      </w:r>
      <w:r w:rsidRPr="00D0415B">
        <w:rPr>
          <w:rFonts w:ascii="Times New Roman" w:hAnsi="Times New Roman" w:cs="Times New Roman"/>
          <w:color w:val="000000" w:themeColor="text1"/>
          <w:sz w:val="20"/>
          <w:szCs w:val="20"/>
        </w:rPr>
        <w:t xml:space="preserve"> Effect of foliar application of different concentrations of nitrogen and various amino acids includes Arginine, Ornithine and Aspartic acid and an equal concentration of combination of amino acids on essential oil content of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Significant differences at P &lt; 0.05 have been indicated with different letters. A: Burley variety in first year of cultivation, B: Burley variety in second year of cultivation, C: </w:t>
      </w:r>
      <w:proofErr w:type="spellStart"/>
      <w:r w:rsidRPr="00D0415B">
        <w:rPr>
          <w:rFonts w:ascii="Times New Roman" w:hAnsi="Times New Roman" w:cs="Times New Roman"/>
          <w:color w:val="000000" w:themeColor="text1"/>
          <w:sz w:val="20"/>
          <w:szCs w:val="20"/>
        </w:rPr>
        <w:t>Basma</w:t>
      </w:r>
      <w:proofErr w:type="spellEnd"/>
      <w:r w:rsidRPr="00D0415B">
        <w:rPr>
          <w:rFonts w:ascii="Times New Roman" w:hAnsi="Times New Roman" w:cs="Times New Roman"/>
          <w:color w:val="000000" w:themeColor="text1"/>
          <w:sz w:val="20"/>
          <w:szCs w:val="20"/>
        </w:rPr>
        <w:t xml:space="preserve"> variety in first year of cultivation, D: </w:t>
      </w:r>
      <w:proofErr w:type="spellStart"/>
      <w:r w:rsidRPr="00D0415B">
        <w:rPr>
          <w:rFonts w:ascii="Times New Roman" w:hAnsi="Times New Roman" w:cs="Times New Roman"/>
          <w:color w:val="000000" w:themeColor="text1"/>
          <w:sz w:val="20"/>
          <w:szCs w:val="20"/>
        </w:rPr>
        <w:t>Basma</w:t>
      </w:r>
      <w:proofErr w:type="spellEnd"/>
      <w:r w:rsidRPr="00D0415B">
        <w:rPr>
          <w:rFonts w:ascii="Times New Roman" w:hAnsi="Times New Roman" w:cs="Times New Roman"/>
          <w:color w:val="000000" w:themeColor="text1"/>
          <w:sz w:val="20"/>
          <w:szCs w:val="20"/>
        </w:rPr>
        <w:t xml:space="preserve"> variety in second year of cultivation, E: BT variety in first year of cultivation, F: BT variety in second year of cultivation, G: Virginia variety in first year of cultivation, H: Virginia variety in second year of cultivation.</w:t>
      </w:r>
    </w:p>
    <w:p w14:paraId="48846ED3" w14:textId="77777777" w:rsidR="00873563" w:rsidRPr="00D0415B" w:rsidRDefault="00873563" w:rsidP="00873563">
      <w:pPr>
        <w:rPr>
          <w:rFonts w:ascii="Times New Roman" w:hAnsi="Times New Roman" w:cs="Times New Roman"/>
          <w:sz w:val="20"/>
          <w:szCs w:val="20"/>
        </w:rPr>
      </w:pPr>
    </w:p>
    <w:p w14:paraId="1B9C6414" w14:textId="77777777" w:rsidR="00873563" w:rsidRPr="00D0415B" w:rsidRDefault="00873563" w:rsidP="00873563">
      <w:pPr>
        <w:spacing w:line="240" w:lineRule="auto"/>
        <w:ind w:right="141"/>
        <w:rPr>
          <w:rFonts w:asciiTheme="majorBidi" w:hAnsiTheme="majorBidi" w:cstheme="majorBidi"/>
          <w:b/>
          <w:bCs/>
          <w:sz w:val="16"/>
          <w:szCs w:val="16"/>
        </w:rPr>
      </w:pPr>
    </w:p>
    <w:p w14:paraId="59B81B6C" w14:textId="77777777" w:rsidR="00873563" w:rsidRPr="00D0415B" w:rsidRDefault="00873563" w:rsidP="00873563">
      <w:pPr>
        <w:spacing w:line="240" w:lineRule="auto"/>
        <w:ind w:right="141"/>
        <w:rPr>
          <w:rFonts w:asciiTheme="majorBidi" w:hAnsiTheme="majorBidi" w:cstheme="majorBidi"/>
          <w:b/>
          <w:bCs/>
          <w:sz w:val="16"/>
          <w:szCs w:val="16"/>
        </w:rPr>
      </w:pPr>
    </w:p>
    <w:p w14:paraId="0700D501" w14:textId="77777777" w:rsidR="00873563" w:rsidRPr="00D0415B" w:rsidRDefault="00873563" w:rsidP="00873563">
      <w:pPr>
        <w:spacing w:line="240" w:lineRule="auto"/>
        <w:ind w:right="141"/>
        <w:rPr>
          <w:rFonts w:asciiTheme="majorBidi" w:hAnsiTheme="majorBidi" w:cstheme="majorBidi"/>
          <w:b/>
          <w:bCs/>
          <w:sz w:val="16"/>
          <w:szCs w:val="16"/>
        </w:rPr>
      </w:pPr>
    </w:p>
    <w:p w14:paraId="45F847E0" w14:textId="77777777" w:rsidR="00873563" w:rsidRPr="00D0415B" w:rsidRDefault="00873563" w:rsidP="00873563"/>
    <w:p w14:paraId="60EA4546" w14:textId="77777777" w:rsidR="00873563" w:rsidRPr="00D0415B" w:rsidRDefault="00873563" w:rsidP="00873563">
      <w:pPr>
        <w:rPr>
          <w:rFonts w:ascii="Times New Roman" w:hAnsi="Times New Roman" w:cs="Times New Roman"/>
          <w:sz w:val="20"/>
          <w:szCs w:val="20"/>
        </w:rPr>
      </w:pPr>
      <w:r w:rsidRPr="00D0415B">
        <w:rPr>
          <w:rFonts w:ascii="Times New Roman" w:eastAsia="Times New Roman" w:hAnsi="Times New Roman" w:cs="Times New Roman"/>
          <w:noProof/>
          <w:sz w:val="24"/>
          <w:szCs w:val="24"/>
        </w:rPr>
        <w:lastRenderedPageBreak/>
        <w:drawing>
          <wp:anchor distT="0" distB="0" distL="114300" distR="114300" simplePos="0" relativeHeight="251672576" behindDoc="0" locked="0" layoutInCell="1" allowOverlap="1" wp14:anchorId="7AE0F0B1" wp14:editId="227E9F47">
            <wp:simplePos x="0" y="0"/>
            <wp:positionH relativeFrom="column">
              <wp:posOffset>-285750</wp:posOffset>
            </wp:positionH>
            <wp:positionV relativeFrom="paragraph">
              <wp:posOffset>127</wp:posOffset>
            </wp:positionV>
            <wp:extent cx="5716270" cy="2069465"/>
            <wp:effectExtent l="0" t="0" r="0" b="6985"/>
            <wp:wrapSquare wrapText="bothSides"/>
            <wp:docPr id="13" name="Picture 13" descr="C:\Users\plu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us\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627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073A9" w14:textId="77777777" w:rsidR="00873563" w:rsidRPr="00D0415B" w:rsidRDefault="00873563" w:rsidP="00873563">
      <w:pPr>
        <w:rPr>
          <w:rFonts w:ascii="Times New Roman" w:hAnsi="Times New Roman" w:cs="Times New Roman"/>
          <w:sz w:val="20"/>
          <w:szCs w:val="20"/>
        </w:rPr>
      </w:pPr>
    </w:p>
    <w:p w14:paraId="7311DD14" w14:textId="77777777" w:rsidR="00873563" w:rsidRPr="00D0415B" w:rsidRDefault="00873563" w:rsidP="00873563">
      <w:pPr>
        <w:rPr>
          <w:rFonts w:ascii="Times New Roman" w:hAnsi="Times New Roman" w:cs="Times New Roman"/>
          <w:sz w:val="20"/>
          <w:szCs w:val="20"/>
        </w:rPr>
      </w:pPr>
    </w:p>
    <w:p w14:paraId="0F5B3B6F" w14:textId="77777777" w:rsidR="00873563" w:rsidRPr="00D0415B" w:rsidRDefault="00873563" w:rsidP="00873563">
      <w:pPr>
        <w:rPr>
          <w:rFonts w:ascii="Times New Roman" w:hAnsi="Times New Roman" w:cs="Times New Roman"/>
          <w:sz w:val="20"/>
          <w:szCs w:val="20"/>
        </w:rPr>
      </w:pPr>
    </w:p>
    <w:p w14:paraId="3A03CBD8" w14:textId="77777777" w:rsidR="00873563" w:rsidRPr="00D0415B" w:rsidRDefault="00873563" w:rsidP="00873563">
      <w:pPr>
        <w:rPr>
          <w:rFonts w:ascii="Times New Roman" w:hAnsi="Times New Roman" w:cs="Times New Roman"/>
          <w:sz w:val="20"/>
          <w:szCs w:val="20"/>
        </w:rPr>
      </w:pPr>
    </w:p>
    <w:p w14:paraId="3EAFF1FD" w14:textId="77777777" w:rsidR="00873563" w:rsidRPr="00D0415B" w:rsidRDefault="00873563" w:rsidP="00873563">
      <w:pPr>
        <w:rPr>
          <w:rFonts w:ascii="Times New Roman" w:hAnsi="Times New Roman" w:cs="Times New Roman"/>
          <w:sz w:val="20"/>
          <w:szCs w:val="20"/>
        </w:rPr>
      </w:pPr>
    </w:p>
    <w:p w14:paraId="7EE34C8D" w14:textId="77777777" w:rsidR="00873563" w:rsidRPr="00D0415B" w:rsidRDefault="00873563" w:rsidP="00873563">
      <w:pPr>
        <w:rPr>
          <w:rFonts w:ascii="Times New Roman" w:hAnsi="Times New Roman" w:cs="Times New Roman"/>
          <w:sz w:val="20"/>
          <w:szCs w:val="20"/>
        </w:rPr>
      </w:pPr>
    </w:p>
    <w:p w14:paraId="70FCAEA9" w14:textId="77777777" w:rsidR="00873563" w:rsidRPr="00D0415B" w:rsidRDefault="00873563" w:rsidP="00873563">
      <w:pPr>
        <w:tabs>
          <w:tab w:val="left" w:pos="7665"/>
        </w:tabs>
        <w:rPr>
          <w:rFonts w:ascii="Times New Roman" w:hAnsi="Times New Roman" w:cs="Times New Roman"/>
          <w:sz w:val="20"/>
          <w:szCs w:val="20"/>
        </w:rPr>
      </w:pPr>
    </w:p>
    <w:p w14:paraId="28C589E6" w14:textId="77777777" w:rsidR="00873563" w:rsidRPr="00D0415B" w:rsidRDefault="00873563" w:rsidP="00873563">
      <w:pPr>
        <w:tabs>
          <w:tab w:val="left" w:pos="7665"/>
        </w:tabs>
        <w:rPr>
          <w:rFonts w:ascii="Times New Roman" w:hAnsi="Times New Roman" w:cs="Times New Roman"/>
          <w:sz w:val="20"/>
          <w:szCs w:val="20"/>
        </w:rPr>
      </w:pPr>
    </w:p>
    <w:p w14:paraId="3D4803D0" w14:textId="77777777" w:rsidR="00873563" w:rsidRPr="00D0415B" w:rsidRDefault="00873563" w:rsidP="00873563">
      <w:pPr>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t>Fig. 8.</w:t>
      </w:r>
      <w:r w:rsidRPr="00D0415B">
        <w:rPr>
          <w:rFonts w:ascii="Times New Roman" w:hAnsi="Times New Roman" w:cs="Times New Roman"/>
          <w:color w:val="000000" w:themeColor="text1"/>
          <w:sz w:val="20"/>
          <w:szCs w:val="20"/>
        </w:rPr>
        <w:t xml:space="preserve"> HPLC chromatograms of Nicotine standard curve (A) and nicotine in standard solutions (B).</w:t>
      </w:r>
    </w:p>
    <w:p w14:paraId="0EC71270" w14:textId="77777777" w:rsidR="00873563" w:rsidRPr="00D0415B" w:rsidRDefault="00873563" w:rsidP="00873563">
      <w:pPr>
        <w:spacing w:line="240" w:lineRule="auto"/>
        <w:ind w:right="141"/>
        <w:rPr>
          <w:rFonts w:asciiTheme="majorBidi" w:hAnsiTheme="majorBidi" w:cstheme="majorBidi"/>
          <w:b/>
          <w:bCs/>
          <w:sz w:val="16"/>
          <w:szCs w:val="16"/>
        </w:rPr>
      </w:pPr>
    </w:p>
    <w:p w14:paraId="061B1E4B" w14:textId="77777777" w:rsidR="00873563" w:rsidRPr="00D0415B" w:rsidRDefault="00873563" w:rsidP="00873563">
      <w:pPr>
        <w:spacing w:line="240" w:lineRule="auto"/>
        <w:ind w:right="141"/>
        <w:rPr>
          <w:rFonts w:asciiTheme="majorBidi" w:hAnsiTheme="majorBidi" w:cstheme="majorBidi"/>
          <w:b/>
          <w:bCs/>
          <w:sz w:val="16"/>
          <w:szCs w:val="16"/>
        </w:rPr>
      </w:pPr>
      <w:r w:rsidRPr="00D0415B">
        <w:rPr>
          <w:noProof/>
        </w:rPr>
        <w:lastRenderedPageBreak/>
        <w:drawing>
          <wp:anchor distT="0" distB="0" distL="114300" distR="114300" simplePos="0" relativeHeight="251668480" behindDoc="0" locked="0" layoutInCell="1" allowOverlap="1" wp14:anchorId="6EB12CB3" wp14:editId="1E0CBAED">
            <wp:simplePos x="0" y="0"/>
            <wp:positionH relativeFrom="column">
              <wp:posOffset>85090</wp:posOffset>
            </wp:positionH>
            <wp:positionV relativeFrom="paragraph">
              <wp:posOffset>5559425</wp:posOffset>
            </wp:positionV>
            <wp:extent cx="5664835" cy="1828800"/>
            <wp:effectExtent l="0" t="0" r="0" b="0"/>
            <wp:wrapSquare wrapText="bothSides"/>
            <wp:docPr id="14" name="Picture 14" descr="C:\Users\plus\Desktop\پوشه مقاله ترکیبی الحسناوی\اشکال فیتوشیمیای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us\Desktop\پوشه مقاله ترکیبی الحسناوی\اشکال فیتوشیمیایی\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483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15B">
        <w:rPr>
          <w:noProof/>
        </w:rPr>
        <w:drawing>
          <wp:anchor distT="0" distB="0" distL="114300" distR="114300" simplePos="0" relativeHeight="251669504" behindDoc="0" locked="0" layoutInCell="1" allowOverlap="1" wp14:anchorId="696BDF27" wp14:editId="6A5CB8D3">
            <wp:simplePos x="0" y="0"/>
            <wp:positionH relativeFrom="column">
              <wp:posOffset>85725</wp:posOffset>
            </wp:positionH>
            <wp:positionV relativeFrom="paragraph">
              <wp:posOffset>3695700</wp:posOffset>
            </wp:positionV>
            <wp:extent cx="5664200" cy="1863725"/>
            <wp:effectExtent l="0" t="0" r="0" b="3175"/>
            <wp:wrapSquare wrapText="bothSides"/>
            <wp:docPr id="15" name="Picture 15" descr="C:\Users\plu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us\Desktop\Untitl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420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15B">
        <w:rPr>
          <w:noProof/>
        </w:rPr>
        <w:drawing>
          <wp:anchor distT="0" distB="0" distL="114300" distR="114300" simplePos="0" relativeHeight="251667456" behindDoc="0" locked="0" layoutInCell="1" allowOverlap="1" wp14:anchorId="022B78CF" wp14:editId="58C63DDE">
            <wp:simplePos x="0" y="0"/>
            <wp:positionH relativeFrom="column">
              <wp:posOffset>85725</wp:posOffset>
            </wp:positionH>
            <wp:positionV relativeFrom="paragraph">
              <wp:posOffset>1866900</wp:posOffset>
            </wp:positionV>
            <wp:extent cx="5724525" cy="1828800"/>
            <wp:effectExtent l="0" t="0" r="9525" b="0"/>
            <wp:wrapSquare wrapText="bothSides"/>
            <wp:docPr id="4" name="Picture 4" descr="C:\Users\plus\Desktop\اشکال فیتوشیمیای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us\Desktop\اشکال فیتوشیمیایی\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415B">
        <w:rPr>
          <w:noProof/>
        </w:rPr>
        <w:drawing>
          <wp:anchor distT="0" distB="0" distL="114300" distR="114300" simplePos="0" relativeHeight="251666432" behindDoc="0" locked="0" layoutInCell="1" allowOverlap="1" wp14:anchorId="48404EFC" wp14:editId="6622E226">
            <wp:simplePos x="0" y="0"/>
            <wp:positionH relativeFrom="column">
              <wp:posOffset>85725</wp:posOffset>
            </wp:positionH>
            <wp:positionV relativeFrom="paragraph">
              <wp:posOffset>0</wp:posOffset>
            </wp:positionV>
            <wp:extent cx="5664835" cy="1866900"/>
            <wp:effectExtent l="0" t="0" r="0" b="0"/>
            <wp:wrapSquare wrapText="bothSides"/>
            <wp:docPr id="3" name="Picture 3" descr="C:\Users\plus\Desktop\اشکال فیتوشیمیای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us\Desktop\اشکال فیتوشیمیایی\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835"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5E149" w14:textId="77777777" w:rsidR="00873563" w:rsidRPr="00D0415B" w:rsidRDefault="00873563" w:rsidP="00873563">
      <w:pPr>
        <w:spacing w:line="240" w:lineRule="auto"/>
        <w:ind w:right="141"/>
        <w:rPr>
          <w:rFonts w:asciiTheme="majorBidi" w:hAnsiTheme="majorBidi" w:cstheme="majorBidi"/>
          <w:b/>
          <w:bCs/>
          <w:sz w:val="16"/>
          <w:szCs w:val="16"/>
        </w:rPr>
      </w:pPr>
    </w:p>
    <w:p w14:paraId="348096A5" w14:textId="77777777" w:rsidR="00873563" w:rsidRPr="00D0415B" w:rsidRDefault="00873563" w:rsidP="00873563">
      <w:pPr>
        <w:spacing w:line="240" w:lineRule="auto"/>
        <w:ind w:right="141"/>
        <w:rPr>
          <w:rFonts w:asciiTheme="majorBidi" w:hAnsiTheme="majorBidi" w:cstheme="majorBidi"/>
          <w:b/>
          <w:bCs/>
          <w:sz w:val="16"/>
          <w:szCs w:val="16"/>
        </w:rPr>
      </w:pPr>
    </w:p>
    <w:p w14:paraId="44200BB6" w14:textId="77777777" w:rsidR="00873563" w:rsidRPr="00D0415B" w:rsidRDefault="00873563" w:rsidP="00873563">
      <w:pPr>
        <w:rPr>
          <w:rFonts w:ascii="Times New Roman" w:hAnsi="Times New Roman" w:cs="Times New Roman"/>
          <w:sz w:val="20"/>
          <w:szCs w:val="20"/>
        </w:rPr>
      </w:pPr>
    </w:p>
    <w:p w14:paraId="1C6E21CE" w14:textId="77777777" w:rsidR="00873563" w:rsidRPr="00D0415B" w:rsidRDefault="00873563" w:rsidP="00873563">
      <w:pPr>
        <w:rPr>
          <w:rFonts w:ascii="Times New Roman" w:hAnsi="Times New Roman" w:cs="Times New Roman"/>
          <w:sz w:val="20"/>
          <w:szCs w:val="20"/>
        </w:rPr>
      </w:pPr>
    </w:p>
    <w:p w14:paraId="4813A9C3" w14:textId="77777777" w:rsidR="00873563" w:rsidRPr="00D0415B" w:rsidRDefault="00873563" w:rsidP="00873563">
      <w:pPr>
        <w:spacing w:line="240" w:lineRule="auto"/>
        <w:ind w:right="141"/>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t>Fig. 9.</w:t>
      </w:r>
      <w:r w:rsidRPr="00D0415B">
        <w:rPr>
          <w:rFonts w:ascii="Times New Roman" w:hAnsi="Times New Roman" w:cs="Times New Roman"/>
          <w:color w:val="000000" w:themeColor="text1"/>
          <w:sz w:val="20"/>
          <w:szCs w:val="20"/>
        </w:rPr>
        <w:t xml:space="preserve"> Effect of foliar application of different concentrations of nitrogen and various amino acids includes Arginine, Ornithine and Aspartic acid and an equal concentration of combination of amino acids on nicotine content of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Significant differences at P &lt; 0.05 have been indicated with different letters. A: Burley variety in first year of cultivation, B: Burley variety in second year of cultivation, C: </w:t>
      </w:r>
      <w:proofErr w:type="spellStart"/>
      <w:r w:rsidRPr="00D0415B">
        <w:rPr>
          <w:rFonts w:ascii="Times New Roman" w:hAnsi="Times New Roman" w:cs="Times New Roman"/>
          <w:color w:val="000000" w:themeColor="text1"/>
          <w:sz w:val="20"/>
          <w:szCs w:val="20"/>
        </w:rPr>
        <w:t>Basma</w:t>
      </w:r>
      <w:proofErr w:type="spellEnd"/>
      <w:r w:rsidRPr="00D0415B">
        <w:rPr>
          <w:rFonts w:ascii="Times New Roman" w:hAnsi="Times New Roman" w:cs="Times New Roman"/>
          <w:color w:val="000000" w:themeColor="text1"/>
          <w:sz w:val="20"/>
          <w:szCs w:val="20"/>
        </w:rPr>
        <w:t xml:space="preserve"> variety in first year of cultivation, D: </w:t>
      </w:r>
      <w:proofErr w:type="spellStart"/>
      <w:r w:rsidRPr="00D0415B">
        <w:rPr>
          <w:rFonts w:ascii="Times New Roman" w:hAnsi="Times New Roman" w:cs="Times New Roman"/>
          <w:color w:val="000000" w:themeColor="text1"/>
          <w:sz w:val="20"/>
          <w:szCs w:val="20"/>
        </w:rPr>
        <w:t>Basma</w:t>
      </w:r>
      <w:proofErr w:type="spellEnd"/>
      <w:r w:rsidRPr="00D0415B">
        <w:rPr>
          <w:rFonts w:ascii="Times New Roman" w:hAnsi="Times New Roman" w:cs="Times New Roman"/>
          <w:color w:val="000000" w:themeColor="text1"/>
          <w:sz w:val="20"/>
          <w:szCs w:val="20"/>
        </w:rPr>
        <w:t xml:space="preserve"> variety in second year of cultivation, E: BT variety in first year of cultivation, F: BT variety in second year of cultivation, G: Virginia variety in first year of cultivation, H: Virginia variety in second year of cultivation.</w:t>
      </w:r>
    </w:p>
    <w:p w14:paraId="35647415" w14:textId="77777777" w:rsidR="00873563" w:rsidRPr="00D0415B" w:rsidRDefault="00873563" w:rsidP="00873563">
      <w:pPr>
        <w:spacing w:line="240" w:lineRule="auto"/>
        <w:ind w:right="141" w:firstLine="284"/>
        <w:jc w:val="both"/>
        <w:rPr>
          <w:rFonts w:ascii="Times New Roman" w:hAnsi="Times New Roman" w:cs="Times New Roman"/>
          <w:b/>
          <w:bCs/>
          <w:color w:val="000000" w:themeColor="text1"/>
        </w:rPr>
      </w:pPr>
    </w:p>
    <w:p w14:paraId="69C62617" w14:textId="77777777" w:rsidR="00873563" w:rsidRPr="00D0415B" w:rsidRDefault="00873563" w:rsidP="00873563">
      <w:pPr>
        <w:tabs>
          <w:tab w:val="left" w:pos="2070"/>
        </w:tabs>
        <w:rPr>
          <w:rFonts w:ascii="Times New Roman" w:hAnsi="Times New Roman" w:cs="Times New Roman"/>
          <w:sz w:val="20"/>
          <w:szCs w:val="20"/>
        </w:rPr>
      </w:pPr>
    </w:p>
    <w:p w14:paraId="71B01FBD" w14:textId="77777777" w:rsidR="00873563" w:rsidRPr="00D0415B" w:rsidRDefault="00873563" w:rsidP="00873563">
      <w:pPr>
        <w:rPr>
          <w:rFonts w:ascii="Times New Roman" w:hAnsi="Times New Roman" w:cs="Times New Roman"/>
          <w:sz w:val="20"/>
          <w:szCs w:val="20"/>
        </w:rPr>
      </w:pPr>
    </w:p>
    <w:p w14:paraId="0CBE7845" w14:textId="77777777" w:rsidR="00873563" w:rsidRPr="00D0415B" w:rsidRDefault="00873563" w:rsidP="00873563">
      <w:pPr>
        <w:rPr>
          <w:rFonts w:ascii="Times New Roman" w:hAnsi="Times New Roman" w:cs="Times New Roman"/>
          <w:sz w:val="20"/>
          <w:szCs w:val="20"/>
        </w:rPr>
      </w:pPr>
    </w:p>
    <w:p w14:paraId="0218A40B" w14:textId="77777777" w:rsidR="00873563" w:rsidRPr="00D0415B" w:rsidRDefault="00873563" w:rsidP="00873563">
      <w:pPr>
        <w:rPr>
          <w:rFonts w:ascii="Times New Roman" w:hAnsi="Times New Roman" w:cs="Times New Roman"/>
          <w:sz w:val="20"/>
          <w:szCs w:val="20"/>
        </w:rPr>
      </w:pPr>
    </w:p>
    <w:p w14:paraId="0659FD96" w14:textId="77777777" w:rsidR="00873563" w:rsidRPr="00D0415B" w:rsidRDefault="00873563" w:rsidP="00873563">
      <w:pPr>
        <w:rPr>
          <w:rFonts w:ascii="Times New Roman" w:hAnsi="Times New Roman" w:cs="Times New Roman"/>
          <w:sz w:val="20"/>
          <w:szCs w:val="20"/>
        </w:rPr>
      </w:pPr>
    </w:p>
    <w:p w14:paraId="456210D3" w14:textId="77777777" w:rsidR="00873563" w:rsidRPr="00D0415B" w:rsidRDefault="00873563" w:rsidP="00873563">
      <w:pPr>
        <w:spacing w:after="200" w:line="360" w:lineRule="auto"/>
        <w:rPr>
          <w:rFonts w:ascii="Times New Roman" w:hAnsi="Times New Roman" w:cs="Times New Roman"/>
          <w:sz w:val="24"/>
          <w:szCs w:val="24"/>
          <w:lang w:val="tr-TR"/>
        </w:rPr>
      </w:pPr>
    </w:p>
    <w:p w14:paraId="5E2C5B5D" w14:textId="77777777" w:rsidR="00873563" w:rsidRPr="00D0415B" w:rsidRDefault="00873563" w:rsidP="00873563">
      <w:pPr>
        <w:spacing w:after="0" w:line="240" w:lineRule="auto"/>
        <w:ind w:right="141" w:firstLine="284"/>
        <w:jc w:val="both"/>
        <w:rPr>
          <w:rFonts w:asciiTheme="majorBidi" w:hAnsiTheme="majorBidi" w:cstheme="majorBidi"/>
          <w:sz w:val="20"/>
          <w:szCs w:val="20"/>
        </w:rPr>
      </w:pPr>
    </w:p>
    <w:p w14:paraId="66B9DED7"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r w:rsidRPr="00D0415B">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634ACC61" wp14:editId="478F99C0">
            <wp:simplePos x="0" y="0"/>
            <wp:positionH relativeFrom="margin">
              <wp:posOffset>895350</wp:posOffset>
            </wp:positionH>
            <wp:positionV relativeFrom="paragraph">
              <wp:posOffset>76200</wp:posOffset>
            </wp:positionV>
            <wp:extent cx="3648075" cy="2458085"/>
            <wp:effectExtent l="0" t="0" r="9525" b="0"/>
            <wp:wrapSquare wrapText="bothSides"/>
            <wp:docPr id="1" name="Picture 1" descr="C:\Users\plus\Desktop\مجله تولیدات گیاهی گرگان\عکس ها\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us\Desktop\مجله تولیدات گیاهی گرگان\عکس ها\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075"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6D911"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32E2176D"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26A9778E"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4E5C5CF3"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4866B25D"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26D57CB1"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671D6325"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6D718244" w14:textId="77777777" w:rsidR="00873563" w:rsidRPr="00D0415B" w:rsidRDefault="00873563" w:rsidP="00873563">
      <w:pPr>
        <w:spacing w:after="0" w:line="240" w:lineRule="auto"/>
        <w:ind w:right="141" w:firstLine="284"/>
        <w:jc w:val="center"/>
        <w:rPr>
          <w:rFonts w:asciiTheme="majorBidi" w:hAnsiTheme="majorBidi" w:cstheme="majorBidi"/>
          <w:b/>
          <w:bCs/>
          <w:sz w:val="20"/>
          <w:szCs w:val="20"/>
        </w:rPr>
      </w:pPr>
    </w:p>
    <w:p w14:paraId="369F6643"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1C22E00C"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00F9FFAF"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11D28F74"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55D6156E"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1100FC76"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6DE1EE6A" w14:textId="77777777" w:rsidR="00873563" w:rsidRPr="00D0415B" w:rsidRDefault="00873563" w:rsidP="00873563">
      <w:pPr>
        <w:spacing w:line="240" w:lineRule="auto"/>
        <w:ind w:right="141" w:firstLine="284"/>
        <w:jc w:val="center"/>
        <w:rPr>
          <w:rFonts w:asciiTheme="majorBidi" w:hAnsiTheme="majorBidi" w:cstheme="majorBidi"/>
          <w:b/>
          <w:bCs/>
          <w:color w:val="0077BF"/>
          <w:sz w:val="16"/>
          <w:szCs w:val="16"/>
        </w:rPr>
      </w:pPr>
    </w:p>
    <w:p w14:paraId="0F845784" w14:textId="77777777" w:rsidR="00873563" w:rsidRPr="00AB4AE4" w:rsidRDefault="00873563" w:rsidP="00873563">
      <w:pPr>
        <w:jc w:val="both"/>
        <w:rPr>
          <w:rFonts w:ascii="Times New Roman" w:hAnsi="Times New Roman" w:cs="Times New Roman"/>
          <w:color w:val="000000" w:themeColor="text1"/>
          <w:sz w:val="20"/>
          <w:szCs w:val="20"/>
        </w:rPr>
      </w:pPr>
      <w:r w:rsidRPr="00D0415B">
        <w:rPr>
          <w:rFonts w:ascii="Times New Roman" w:hAnsi="Times New Roman" w:cs="Times New Roman"/>
          <w:b/>
          <w:bCs/>
          <w:color w:val="000000" w:themeColor="text1"/>
          <w:sz w:val="20"/>
          <w:szCs w:val="20"/>
        </w:rPr>
        <w:t>Fig. 10.</w:t>
      </w:r>
      <w:r w:rsidRPr="00D0415B">
        <w:rPr>
          <w:rFonts w:ascii="Times New Roman" w:hAnsi="Times New Roman" w:cs="Times New Roman"/>
          <w:color w:val="000000" w:themeColor="text1"/>
          <w:sz w:val="20"/>
          <w:szCs w:val="20"/>
        </w:rPr>
        <w:t xml:space="preserve"> Planting seedlings, growing and harvesting </w:t>
      </w:r>
      <w:r w:rsidRPr="00D0415B">
        <w:rPr>
          <w:rFonts w:ascii="Times New Roman" w:hAnsi="Times New Roman" w:cs="Times New Roman"/>
          <w:i/>
          <w:iCs/>
          <w:color w:val="000000" w:themeColor="text1"/>
          <w:sz w:val="20"/>
          <w:szCs w:val="20"/>
        </w:rPr>
        <w:t xml:space="preserve">N. </w:t>
      </w:r>
      <w:proofErr w:type="spellStart"/>
      <w:r w:rsidRPr="00D0415B">
        <w:rPr>
          <w:rFonts w:ascii="Times New Roman" w:hAnsi="Times New Roman" w:cs="Times New Roman"/>
          <w:i/>
          <w:iCs/>
          <w:color w:val="000000" w:themeColor="text1"/>
          <w:sz w:val="20"/>
          <w:szCs w:val="20"/>
        </w:rPr>
        <w:t>tabacum</w:t>
      </w:r>
      <w:proofErr w:type="spellEnd"/>
      <w:r w:rsidRPr="00D0415B">
        <w:rPr>
          <w:rFonts w:ascii="Times New Roman" w:hAnsi="Times New Roman" w:cs="Times New Roman"/>
          <w:color w:val="000000" w:themeColor="text1"/>
          <w:sz w:val="20"/>
          <w:szCs w:val="20"/>
        </w:rPr>
        <w:t xml:space="preserve"> plants grown in the field condition.</w:t>
      </w:r>
    </w:p>
    <w:p w14:paraId="76E3C683" w14:textId="55551FF0" w:rsidR="00781FF3" w:rsidRPr="00DC5EC2" w:rsidRDefault="00781FF3" w:rsidP="00F023B4">
      <w:pPr>
        <w:spacing w:after="0" w:line="0" w:lineRule="atLeast"/>
        <w:rPr>
          <w:rFonts w:ascii="Times New Roman" w:hAnsi="Times New Roman" w:cs="Times New Roman"/>
          <w:sz w:val="20"/>
          <w:szCs w:val="20"/>
        </w:rPr>
      </w:pPr>
    </w:p>
    <w:sectPr w:rsidR="00781FF3" w:rsidRPr="00DC5EC2" w:rsidSect="00CD5291">
      <w:footerReference w:type="default" r:id="rId27"/>
      <w:type w:val="continuous"/>
      <w:pgSz w:w="12240" w:h="15840"/>
      <w:pgMar w:top="1440" w:right="1440" w:bottom="1440" w:left="1440" w:header="720" w:footer="720" w:gutter="0"/>
      <w:lnNumType w:countBy="1" w:restart="continuous"/>
      <w:cols w:space="36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D04420" w16cex:dateUtc="2025-05-15T07:14:00Z"/>
  <w16cex:commentExtensible w16cex:durableId="2BD04AA7" w16cex:dateUtc="2025-05-15T0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0CD6E4" w16cid:durableId="2BD04420"/>
  <w16cid:commentId w16cid:paraId="179133AF" w16cid:durableId="2BD04A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0A1CC" w14:textId="77777777" w:rsidR="00AF3859" w:rsidRDefault="00AF3859" w:rsidP="005045D4">
      <w:pPr>
        <w:spacing w:after="0" w:line="240" w:lineRule="auto"/>
      </w:pPr>
      <w:r>
        <w:separator/>
      </w:r>
    </w:p>
  </w:endnote>
  <w:endnote w:type="continuationSeparator" w:id="0">
    <w:p w14:paraId="4EC72381" w14:textId="77777777" w:rsidR="00AF3859" w:rsidRDefault="00AF3859" w:rsidP="00504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050392"/>
      <w:docPartObj>
        <w:docPartGallery w:val="Page Numbers (Bottom of Page)"/>
        <w:docPartUnique/>
      </w:docPartObj>
    </w:sdtPr>
    <w:sdtEndPr>
      <w:rPr>
        <w:noProof/>
      </w:rPr>
    </w:sdtEndPr>
    <w:sdtContent>
      <w:p w14:paraId="2D4CD857" w14:textId="77777777" w:rsidR="00596AE2" w:rsidRDefault="00596AE2">
        <w:pPr>
          <w:pStyle w:val="Footer"/>
          <w:jc w:val="center"/>
        </w:pPr>
        <w:r>
          <w:fldChar w:fldCharType="begin"/>
        </w:r>
        <w:r>
          <w:instrText xml:space="preserve"> PAGE   \* MERGEFORMAT </w:instrText>
        </w:r>
        <w:r>
          <w:fldChar w:fldCharType="separate"/>
        </w:r>
        <w:r w:rsidR="00743956">
          <w:rPr>
            <w:noProof/>
          </w:rPr>
          <w:t>4</w:t>
        </w:r>
        <w:r>
          <w:rPr>
            <w:noProof/>
          </w:rPr>
          <w:fldChar w:fldCharType="end"/>
        </w:r>
      </w:p>
    </w:sdtContent>
  </w:sdt>
  <w:p w14:paraId="78144E8E" w14:textId="77777777" w:rsidR="00596AE2" w:rsidRDefault="00596A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095799"/>
      <w:docPartObj>
        <w:docPartGallery w:val="Page Numbers (Bottom of Page)"/>
        <w:docPartUnique/>
      </w:docPartObj>
    </w:sdtPr>
    <w:sdtEndPr>
      <w:rPr>
        <w:noProof/>
      </w:rPr>
    </w:sdtEndPr>
    <w:sdtContent>
      <w:p w14:paraId="5165BDB1" w14:textId="77777777" w:rsidR="00873563" w:rsidRDefault="00873563">
        <w:pPr>
          <w:pStyle w:val="Footer"/>
          <w:jc w:val="center"/>
        </w:pPr>
        <w:r>
          <w:fldChar w:fldCharType="begin"/>
        </w:r>
        <w:r>
          <w:instrText xml:space="preserve"> PAGE   \* MERGEFORMAT </w:instrText>
        </w:r>
        <w:r>
          <w:fldChar w:fldCharType="separate"/>
        </w:r>
        <w:r w:rsidR="00743956">
          <w:rPr>
            <w:noProof/>
          </w:rPr>
          <w:t>14</w:t>
        </w:r>
        <w:r>
          <w:rPr>
            <w:noProof/>
          </w:rPr>
          <w:fldChar w:fldCharType="end"/>
        </w:r>
      </w:p>
    </w:sdtContent>
  </w:sdt>
  <w:p w14:paraId="472B0039" w14:textId="77777777" w:rsidR="00873563" w:rsidRDefault="008735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628545"/>
      <w:docPartObj>
        <w:docPartGallery w:val="Page Numbers (Bottom of Page)"/>
        <w:docPartUnique/>
      </w:docPartObj>
    </w:sdtPr>
    <w:sdtEndPr>
      <w:rPr>
        <w:noProof/>
      </w:rPr>
    </w:sdtEndPr>
    <w:sdtContent>
      <w:p w14:paraId="71A1DEED" w14:textId="73246CCE" w:rsidR="00596AE2" w:rsidRDefault="00596AE2">
        <w:pPr>
          <w:pStyle w:val="Footer"/>
          <w:jc w:val="center"/>
        </w:pPr>
        <w:r>
          <w:fldChar w:fldCharType="begin"/>
        </w:r>
        <w:r>
          <w:instrText xml:space="preserve"> PAGE   \* MERGEFORMAT </w:instrText>
        </w:r>
        <w:r>
          <w:fldChar w:fldCharType="separate"/>
        </w:r>
        <w:r w:rsidR="00743956">
          <w:rPr>
            <w:noProof/>
          </w:rPr>
          <w:t>20</w:t>
        </w:r>
        <w:r>
          <w:rPr>
            <w:noProof/>
          </w:rPr>
          <w:fldChar w:fldCharType="end"/>
        </w:r>
      </w:p>
    </w:sdtContent>
  </w:sdt>
  <w:p w14:paraId="69F22DF8" w14:textId="77777777" w:rsidR="00596AE2" w:rsidRDefault="00596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3EEED" w14:textId="77777777" w:rsidR="00AF3859" w:rsidRDefault="00AF3859" w:rsidP="005045D4">
      <w:pPr>
        <w:spacing w:after="0" w:line="240" w:lineRule="auto"/>
      </w:pPr>
      <w:r>
        <w:separator/>
      </w:r>
    </w:p>
  </w:footnote>
  <w:footnote w:type="continuationSeparator" w:id="0">
    <w:p w14:paraId="29CB4571" w14:textId="77777777" w:rsidR="00AF3859" w:rsidRDefault="00AF3859" w:rsidP="005045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03D74"/>
    <w:multiLevelType w:val="hybridMultilevel"/>
    <w:tmpl w:val="DC70544C"/>
    <w:lvl w:ilvl="0" w:tplc="501C9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7B1EB7"/>
    <w:multiLevelType w:val="hybridMultilevel"/>
    <w:tmpl w:val="B25C08F2"/>
    <w:lvl w:ilvl="0" w:tplc="0B4476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276DED"/>
    <w:multiLevelType w:val="multilevel"/>
    <w:tmpl w:val="E61687B2"/>
    <w:lvl w:ilvl="0">
      <w:start w:val="2"/>
      <w:numFmt w:val="decimal"/>
      <w:lvlText w:val="%1."/>
      <w:lvlJc w:val="left"/>
      <w:pPr>
        <w:ind w:left="360" w:hanging="360"/>
      </w:pPr>
      <w:rPr>
        <w:rFonts w:eastAsiaTheme="minorHAnsi" w:hint="default"/>
      </w:rPr>
    </w:lvl>
    <w:lvl w:ilvl="1">
      <w:start w:val="3"/>
      <w:numFmt w:val="decimal"/>
      <w:lvlText w:val="%1.%2."/>
      <w:lvlJc w:val="left"/>
      <w:pPr>
        <w:ind w:left="1440" w:hanging="360"/>
      </w:pPr>
      <w:rPr>
        <w:rFonts w:eastAsiaTheme="minorHAnsi" w:hint="default"/>
      </w:rPr>
    </w:lvl>
    <w:lvl w:ilvl="2">
      <w:start w:val="1"/>
      <w:numFmt w:val="decimal"/>
      <w:lvlText w:val="%1.%2.%3."/>
      <w:lvlJc w:val="left"/>
      <w:pPr>
        <w:ind w:left="2880" w:hanging="720"/>
      </w:pPr>
      <w:rPr>
        <w:rFonts w:eastAsiaTheme="minorHAnsi" w:hint="default"/>
      </w:rPr>
    </w:lvl>
    <w:lvl w:ilvl="3">
      <w:start w:val="1"/>
      <w:numFmt w:val="decimal"/>
      <w:lvlText w:val="%1.%2.%3.%4."/>
      <w:lvlJc w:val="left"/>
      <w:pPr>
        <w:ind w:left="3960" w:hanging="720"/>
      </w:pPr>
      <w:rPr>
        <w:rFonts w:eastAsiaTheme="minorHAnsi" w:hint="default"/>
      </w:rPr>
    </w:lvl>
    <w:lvl w:ilvl="4">
      <w:start w:val="1"/>
      <w:numFmt w:val="decimal"/>
      <w:lvlText w:val="%1.%2.%3.%4.%5."/>
      <w:lvlJc w:val="left"/>
      <w:pPr>
        <w:ind w:left="5400" w:hanging="1080"/>
      </w:pPr>
      <w:rPr>
        <w:rFonts w:eastAsiaTheme="minorHAnsi" w:hint="default"/>
      </w:rPr>
    </w:lvl>
    <w:lvl w:ilvl="5">
      <w:start w:val="1"/>
      <w:numFmt w:val="decimal"/>
      <w:lvlText w:val="%1.%2.%3.%4.%5.%6."/>
      <w:lvlJc w:val="left"/>
      <w:pPr>
        <w:ind w:left="6480" w:hanging="1080"/>
      </w:pPr>
      <w:rPr>
        <w:rFonts w:eastAsiaTheme="minorHAnsi" w:hint="default"/>
      </w:rPr>
    </w:lvl>
    <w:lvl w:ilvl="6">
      <w:start w:val="1"/>
      <w:numFmt w:val="decimal"/>
      <w:lvlText w:val="%1.%2.%3.%4.%5.%6.%7."/>
      <w:lvlJc w:val="left"/>
      <w:pPr>
        <w:ind w:left="7920" w:hanging="1440"/>
      </w:pPr>
      <w:rPr>
        <w:rFonts w:eastAsiaTheme="minorHAnsi" w:hint="default"/>
      </w:rPr>
    </w:lvl>
    <w:lvl w:ilvl="7">
      <w:start w:val="1"/>
      <w:numFmt w:val="decimal"/>
      <w:lvlText w:val="%1.%2.%3.%4.%5.%6.%7.%8."/>
      <w:lvlJc w:val="left"/>
      <w:pPr>
        <w:ind w:left="9000" w:hanging="1440"/>
      </w:pPr>
      <w:rPr>
        <w:rFonts w:eastAsiaTheme="minorHAnsi" w:hint="default"/>
      </w:rPr>
    </w:lvl>
    <w:lvl w:ilvl="8">
      <w:start w:val="1"/>
      <w:numFmt w:val="decimal"/>
      <w:lvlText w:val="%1.%2.%3.%4.%5.%6.%7.%8.%9."/>
      <w:lvlJc w:val="left"/>
      <w:pPr>
        <w:ind w:left="10440" w:hanging="1800"/>
      </w:pPr>
      <w:rPr>
        <w:rFonts w:eastAsiaTheme="minorHAnsi" w:hint="default"/>
      </w:rPr>
    </w:lvl>
  </w:abstractNum>
  <w:abstractNum w:abstractNumId="3">
    <w:nsid w:val="194C2449"/>
    <w:multiLevelType w:val="hybridMultilevel"/>
    <w:tmpl w:val="AC7C97B4"/>
    <w:lvl w:ilvl="0" w:tplc="053AD9E4">
      <w:start w:val="9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3689D"/>
    <w:multiLevelType w:val="multilevel"/>
    <w:tmpl w:val="BABA08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EC368C2"/>
    <w:multiLevelType w:val="hybridMultilevel"/>
    <w:tmpl w:val="8E04C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DB45E2"/>
    <w:multiLevelType w:val="hybridMultilevel"/>
    <w:tmpl w:val="854AE68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22DF0427"/>
    <w:multiLevelType w:val="multilevel"/>
    <w:tmpl w:val="D3C020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867211F"/>
    <w:multiLevelType w:val="hybridMultilevel"/>
    <w:tmpl w:val="A9A25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415F66"/>
    <w:multiLevelType w:val="multilevel"/>
    <w:tmpl w:val="1BA4A640"/>
    <w:lvl w:ilvl="0">
      <w:start w:val="1"/>
      <w:numFmt w:val="decimal"/>
      <w:lvlText w:val="%1."/>
      <w:lvlJc w:val="left"/>
      <w:pPr>
        <w:ind w:left="720" w:hanging="360"/>
      </w:pPr>
      <w:rPr>
        <w:rFonts w:hint="default"/>
      </w:rPr>
    </w:lvl>
    <w:lvl w:ilvl="1">
      <w:start w:val="1"/>
      <w:numFmt w:val="none"/>
      <w:lvlText w:val="2.1."/>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0">
    <w:nsid w:val="36662DB6"/>
    <w:multiLevelType w:val="multilevel"/>
    <w:tmpl w:val="5AEC6D8A"/>
    <w:lvl w:ilvl="0">
      <w:start w:val="1"/>
      <w:numFmt w:val="none"/>
      <w:lvlText w:val="1."/>
      <w:lvlJc w:val="left"/>
      <w:pPr>
        <w:ind w:left="720" w:hanging="360"/>
      </w:pPr>
      <w:rPr>
        <w:rFonts w:hint="default"/>
      </w:rPr>
    </w:lvl>
    <w:lvl w:ilvl="1">
      <w:start w:val="1"/>
      <w:numFmt w:val="none"/>
      <w:lvlRestart w:val="0"/>
      <w:lvlText w:val="2.1."/>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53C41C3"/>
    <w:multiLevelType w:val="hybridMultilevel"/>
    <w:tmpl w:val="46CEDECC"/>
    <w:lvl w:ilvl="0" w:tplc="7E6A32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974A5"/>
    <w:multiLevelType w:val="multilevel"/>
    <w:tmpl w:val="1BA4A640"/>
    <w:lvl w:ilvl="0">
      <w:start w:val="1"/>
      <w:numFmt w:val="decimal"/>
      <w:lvlText w:val="%1."/>
      <w:lvlJc w:val="left"/>
      <w:pPr>
        <w:ind w:left="720" w:hanging="360"/>
      </w:pPr>
      <w:rPr>
        <w:rFonts w:hint="default"/>
      </w:rPr>
    </w:lvl>
    <w:lvl w:ilvl="1">
      <w:start w:val="1"/>
      <w:numFmt w:val="none"/>
      <w:lvlText w:val="2.1."/>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3">
    <w:nsid w:val="55F02790"/>
    <w:multiLevelType w:val="multilevel"/>
    <w:tmpl w:val="BABA08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F9058FA"/>
    <w:multiLevelType w:val="hybridMultilevel"/>
    <w:tmpl w:val="44C0D46A"/>
    <w:lvl w:ilvl="0" w:tplc="0B062A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481BFC"/>
    <w:multiLevelType w:val="multilevel"/>
    <w:tmpl w:val="D3C020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47D5F6E"/>
    <w:multiLevelType w:val="multilevel"/>
    <w:tmpl w:val="D3C020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2B424CF"/>
    <w:multiLevelType w:val="hybridMultilevel"/>
    <w:tmpl w:val="10D04C0E"/>
    <w:lvl w:ilvl="0" w:tplc="B596D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914C98"/>
    <w:multiLevelType w:val="hybridMultilevel"/>
    <w:tmpl w:val="8E04C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354B13"/>
    <w:multiLevelType w:val="hybridMultilevel"/>
    <w:tmpl w:val="1B6431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9C03FD"/>
    <w:multiLevelType w:val="multilevel"/>
    <w:tmpl w:val="D3C020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0"/>
  </w:num>
  <w:num w:numId="2">
    <w:abstractNumId w:val="9"/>
  </w:num>
  <w:num w:numId="3">
    <w:abstractNumId w:val="12"/>
  </w:num>
  <w:num w:numId="4">
    <w:abstractNumId w:val="2"/>
  </w:num>
  <w:num w:numId="5">
    <w:abstractNumId w:val="0"/>
  </w:num>
  <w:num w:numId="6">
    <w:abstractNumId w:val="5"/>
  </w:num>
  <w:num w:numId="7">
    <w:abstractNumId w:val="18"/>
  </w:num>
  <w:num w:numId="8">
    <w:abstractNumId w:val="17"/>
  </w:num>
  <w:num w:numId="9">
    <w:abstractNumId w:val="13"/>
  </w:num>
  <w:num w:numId="10">
    <w:abstractNumId w:val="14"/>
  </w:num>
  <w:num w:numId="11">
    <w:abstractNumId w:val="3"/>
  </w:num>
  <w:num w:numId="12">
    <w:abstractNumId w:val="11"/>
  </w:num>
  <w:num w:numId="13">
    <w:abstractNumId w:val="1"/>
  </w:num>
  <w:num w:numId="14">
    <w:abstractNumId w:val="16"/>
  </w:num>
  <w:num w:numId="15">
    <w:abstractNumId w:val="15"/>
  </w:num>
  <w:num w:numId="16">
    <w:abstractNumId w:val="7"/>
  </w:num>
  <w:num w:numId="17">
    <w:abstractNumId w:val="20"/>
  </w:num>
  <w:num w:numId="18">
    <w:abstractNumId w:val="4"/>
  </w:num>
  <w:num w:numId="19">
    <w:abstractNumId w:val="19"/>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p9wwrtfldxaf5eefrnx2w052tptpvpzzrr2&quot;&gt;My EndNote Library&lt;record-ids&gt;&lt;item&gt;102&lt;/item&gt;&lt;item&gt;149&lt;/item&gt;&lt;item&gt;161&lt;/item&gt;&lt;item&gt;163&lt;/item&gt;&lt;item&gt;165&lt;/item&gt;&lt;item&gt;167&lt;/item&gt;&lt;item&gt;169&lt;/item&gt;&lt;item&gt;174&lt;/item&gt;&lt;item&gt;180&lt;/item&gt;&lt;item&gt;182&lt;/item&gt;&lt;item&gt;186&lt;/item&gt;&lt;item&gt;239&lt;/item&gt;&lt;item&gt;256&lt;/item&gt;&lt;item&gt;258&lt;/item&gt;&lt;item&gt;262&lt;/item&gt;&lt;item&gt;264&lt;/item&gt;&lt;item&gt;266&lt;/item&gt;&lt;item&gt;267&lt;/item&gt;&lt;item&gt;269&lt;/item&gt;&lt;item&gt;271&lt;/item&gt;&lt;item&gt;273&lt;/item&gt;&lt;item&gt;1175&lt;/item&gt;&lt;item&gt;1190&lt;/item&gt;&lt;item&gt;1507&lt;/item&gt;&lt;item&gt;1509&lt;/item&gt;&lt;item&gt;1677&lt;/item&gt;&lt;item&gt;1678&lt;/item&gt;&lt;item&gt;1679&lt;/item&gt;&lt;item&gt;1680&lt;/item&gt;&lt;item&gt;1681&lt;/item&gt;&lt;item&gt;1682&lt;/item&gt;&lt;item&gt;1683&lt;/item&gt;&lt;item&gt;1684&lt;/item&gt;&lt;item&gt;1685&lt;/item&gt;&lt;item&gt;1686&lt;/item&gt;&lt;item&gt;1687&lt;/item&gt;&lt;item&gt;1688&lt;/item&gt;&lt;item&gt;1689&lt;/item&gt;&lt;item&gt;1690&lt;/item&gt;&lt;item&gt;1691&lt;/item&gt;&lt;item&gt;1692&lt;/item&gt;&lt;item&gt;1693&lt;/item&gt;&lt;item&gt;1694&lt;/item&gt;&lt;item&gt;1695&lt;/item&gt;&lt;item&gt;1696&lt;/item&gt;&lt;item&gt;1697&lt;/item&gt;&lt;item&gt;1698&lt;/item&gt;&lt;item&gt;1699&lt;/item&gt;&lt;item&gt;1700&lt;/item&gt;&lt;item&gt;1701&lt;/item&gt;&lt;item&gt;1702&lt;/item&gt;&lt;item&gt;1703&lt;/item&gt;&lt;item&gt;1704&lt;/item&gt;&lt;item&gt;1705&lt;/item&gt;&lt;item&gt;1706&lt;/item&gt;&lt;item&gt;1707&lt;/item&gt;&lt;/record-ids&gt;&lt;/item&gt;&lt;/Libraries&gt;"/>
  </w:docVars>
  <w:rsids>
    <w:rsidRoot w:val="00E51D33"/>
    <w:rsid w:val="00000599"/>
    <w:rsid w:val="00010568"/>
    <w:rsid w:val="00011741"/>
    <w:rsid w:val="00020920"/>
    <w:rsid w:val="0002382E"/>
    <w:rsid w:val="00023DED"/>
    <w:rsid w:val="00032E2D"/>
    <w:rsid w:val="00042982"/>
    <w:rsid w:val="00043A6A"/>
    <w:rsid w:val="00052C83"/>
    <w:rsid w:val="000551DA"/>
    <w:rsid w:val="000605C7"/>
    <w:rsid w:val="0006390E"/>
    <w:rsid w:val="00065476"/>
    <w:rsid w:val="0006621D"/>
    <w:rsid w:val="00070C0B"/>
    <w:rsid w:val="000779FD"/>
    <w:rsid w:val="000912FC"/>
    <w:rsid w:val="00093776"/>
    <w:rsid w:val="00095639"/>
    <w:rsid w:val="000964F4"/>
    <w:rsid w:val="000A4894"/>
    <w:rsid w:val="000C10A3"/>
    <w:rsid w:val="000C1C4C"/>
    <w:rsid w:val="000C5211"/>
    <w:rsid w:val="000C551C"/>
    <w:rsid w:val="000C7A81"/>
    <w:rsid w:val="000D06D7"/>
    <w:rsid w:val="000D45D9"/>
    <w:rsid w:val="000D6984"/>
    <w:rsid w:val="000E2A5F"/>
    <w:rsid w:val="000F327F"/>
    <w:rsid w:val="000F6825"/>
    <w:rsid w:val="00100B5C"/>
    <w:rsid w:val="00106817"/>
    <w:rsid w:val="00113C52"/>
    <w:rsid w:val="00114E69"/>
    <w:rsid w:val="00120B48"/>
    <w:rsid w:val="00123B8D"/>
    <w:rsid w:val="00130CE3"/>
    <w:rsid w:val="001347EC"/>
    <w:rsid w:val="001354CC"/>
    <w:rsid w:val="00137CF1"/>
    <w:rsid w:val="00140F9A"/>
    <w:rsid w:val="00144027"/>
    <w:rsid w:val="00147784"/>
    <w:rsid w:val="0015049F"/>
    <w:rsid w:val="0015217B"/>
    <w:rsid w:val="00154DA2"/>
    <w:rsid w:val="001567BC"/>
    <w:rsid w:val="00160223"/>
    <w:rsid w:val="00164754"/>
    <w:rsid w:val="00164F52"/>
    <w:rsid w:val="00170DAF"/>
    <w:rsid w:val="001759A2"/>
    <w:rsid w:val="0018616B"/>
    <w:rsid w:val="00186529"/>
    <w:rsid w:val="0018799A"/>
    <w:rsid w:val="001903B1"/>
    <w:rsid w:val="0019696B"/>
    <w:rsid w:val="001A13D5"/>
    <w:rsid w:val="001A4C97"/>
    <w:rsid w:val="001A5311"/>
    <w:rsid w:val="001B7959"/>
    <w:rsid w:val="001C12D1"/>
    <w:rsid w:val="001C28A3"/>
    <w:rsid w:val="001C560F"/>
    <w:rsid w:val="001D020B"/>
    <w:rsid w:val="001D48C6"/>
    <w:rsid w:val="001E05A9"/>
    <w:rsid w:val="001E37E1"/>
    <w:rsid w:val="001E6801"/>
    <w:rsid w:val="001E7150"/>
    <w:rsid w:val="001E7FF1"/>
    <w:rsid w:val="001F3462"/>
    <w:rsid w:val="001F4509"/>
    <w:rsid w:val="001F5527"/>
    <w:rsid w:val="002004AD"/>
    <w:rsid w:val="002025EC"/>
    <w:rsid w:val="002036AC"/>
    <w:rsid w:val="00210DB8"/>
    <w:rsid w:val="0021603B"/>
    <w:rsid w:val="00223B63"/>
    <w:rsid w:val="00223C63"/>
    <w:rsid w:val="00231686"/>
    <w:rsid w:val="00232195"/>
    <w:rsid w:val="002338C9"/>
    <w:rsid w:val="0023702C"/>
    <w:rsid w:val="0023712C"/>
    <w:rsid w:val="00252F37"/>
    <w:rsid w:val="00266536"/>
    <w:rsid w:val="002700C4"/>
    <w:rsid w:val="002703C0"/>
    <w:rsid w:val="0027354C"/>
    <w:rsid w:val="00273F01"/>
    <w:rsid w:val="0027647D"/>
    <w:rsid w:val="00293397"/>
    <w:rsid w:val="002A2E46"/>
    <w:rsid w:val="002A2E7D"/>
    <w:rsid w:val="002B3B3F"/>
    <w:rsid w:val="002B4D13"/>
    <w:rsid w:val="002C233B"/>
    <w:rsid w:val="002C3C3C"/>
    <w:rsid w:val="002C78E1"/>
    <w:rsid w:val="002D4E07"/>
    <w:rsid w:val="002D51D5"/>
    <w:rsid w:val="002D5447"/>
    <w:rsid w:val="002F2FC0"/>
    <w:rsid w:val="00305E55"/>
    <w:rsid w:val="00321181"/>
    <w:rsid w:val="0032130B"/>
    <w:rsid w:val="00323608"/>
    <w:rsid w:val="00330934"/>
    <w:rsid w:val="00337A30"/>
    <w:rsid w:val="003408CE"/>
    <w:rsid w:val="0034209F"/>
    <w:rsid w:val="0034260E"/>
    <w:rsid w:val="00344F2D"/>
    <w:rsid w:val="00351B78"/>
    <w:rsid w:val="00352A17"/>
    <w:rsid w:val="00352B49"/>
    <w:rsid w:val="00352F63"/>
    <w:rsid w:val="00354A8D"/>
    <w:rsid w:val="0035541C"/>
    <w:rsid w:val="00362793"/>
    <w:rsid w:val="00367A76"/>
    <w:rsid w:val="00371A30"/>
    <w:rsid w:val="00384E62"/>
    <w:rsid w:val="00390655"/>
    <w:rsid w:val="00390E6C"/>
    <w:rsid w:val="0039265C"/>
    <w:rsid w:val="00395C73"/>
    <w:rsid w:val="003A2EFD"/>
    <w:rsid w:val="003A570C"/>
    <w:rsid w:val="003A7DA0"/>
    <w:rsid w:val="003B4428"/>
    <w:rsid w:val="003B4777"/>
    <w:rsid w:val="003B6F72"/>
    <w:rsid w:val="003B7EB1"/>
    <w:rsid w:val="003C2609"/>
    <w:rsid w:val="003C530F"/>
    <w:rsid w:val="003C5573"/>
    <w:rsid w:val="003C6689"/>
    <w:rsid w:val="003C7415"/>
    <w:rsid w:val="003D0F96"/>
    <w:rsid w:val="003E4071"/>
    <w:rsid w:val="003F2598"/>
    <w:rsid w:val="003F7146"/>
    <w:rsid w:val="00402547"/>
    <w:rsid w:val="004034F5"/>
    <w:rsid w:val="004166C6"/>
    <w:rsid w:val="004177D9"/>
    <w:rsid w:val="0042099E"/>
    <w:rsid w:val="004253A5"/>
    <w:rsid w:val="00434797"/>
    <w:rsid w:val="004416AB"/>
    <w:rsid w:val="004416F3"/>
    <w:rsid w:val="0044296E"/>
    <w:rsid w:val="004461B5"/>
    <w:rsid w:val="004535CC"/>
    <w:rsid w:val="004576AE"/>
    <w:rsid w:val="00457909"/>
    <w:rsid w:val="00461610"/>
    <w:rsid w:val="004640DE"/>
    <w:rsid w:val="00466631"/>
    <w:rsid w:val="00470EEE"/>
    <w:rsid w:val="00471B9D"/>
    <w:rsid w:val="00481A55"/>
    <w:rsid w:val="004822D9"/>
    <w:rsid w:val="0048370A"/>
    <w:rsid w:val="00491BA6"/>
    <w:rsid w:val="00493311"/>
    <w:rsid w:val="004A3C07"/>
    <w:rsid w:val="004A43E5"/>
    <w:rsid w:val="004A756A"/>
    <w:rsid w:val="004B0848"/>
    <w:rsid w:val="004B27C5"/>
    <w:rsid w:val="004C0F95"/>
    <w:rsid w:val="004C19A7"/>
    <w:rsid w:val="004C68F3"/>
    <w:rsid w:val="004D1016"/>
    <w:rsid w:val="004D3C9C"/>
    <w:rsid w:val="004D5F65"/>
    <w:rsid w:val="004E5B6F"/>
    <w:rsid w:val="004E65E2"/>
    <w:rsid w:val="004F5560"/>
    <w:rsid w:val="004F5DF0"/>
    <w:rsid w:val="004F79F3"/>
    <w:rsid w:val="005045D4"/>
    <w:rsid w:val="00505BB5"/>
    <w:rsid w:val="00505C11"/>
    <w:rsid w:val="00507E8F"/>
    <w:rsid w:val="005103E3"/>
    <w:rsid w:val="00513136"/>
    <w:rsid w:val="005133C5"/>
    <w:rsid w:val="00526035"/>
    <w:rsid w:val="00536EBA"/>
    <w:rsid w:val="005413D1"/>
    <w:rsid w:val="00541756"/>
    <w:rsid w:val="0054246D"/>
    <w:rsid w:val="005465C2"/>
    <w:rsid w:val="00550C13"/>
    <w:rsid w:val="00552089"/>
    <w:rsid w:val="005566D1"/>
    <w:rsid w:val="00556ED9"/>
    <w:rsid w:val="005570F8"/>
    <w:rsid w:val="00560BCC"/>
    <w:rsid w:val="00560CB9"/>
    <w:rsid w:val="00561320"/>
    <w:rsid w:val="00563D9E"/>
    <w:rsid w:val="005647F8"/>
    <w:rsid w:val="005676DE"/>
    <w:rsid w:val="005728F8"/>
    <w:rsid w:val="005740BA"/>
    <w:rsid w:val="005773AF"/>
    <w:rsid w:val="00584372"/>
    <w:rsid w:val="005872D9"/>
    <w:rsid w:val="005877F1"/>
    <w:rsid w:val="005900BC"/>
    <w:rsid w:val="00596AE2"/>
    <w:rsid w:val="00597792"/>
    <w:rsid w:val="005A196E"/>
    <w:rsid w:val="005A1D3F"/>
    <w:rsid w:val="005A5947"/>
    <w:rsid w:val="005A5BD8"/>
    <w:rsid w:val="005A759B"/>
    <w:rsid w:val="005B5DE4"/>
    <w:rsid w:val="005B6B9B"/>
    <w:rsid w:val="005B7EB9"/>
    <w:rsid w:val="005C313B"/>
    <w:rsid w:val="005C7959"/>
    <w:rsid w:val="005C7E59"/>
    <w:rsid w:val="005D0691"/>
    <w:rsid w:val="005D1CB7"/>
    <w:rsid w:val="005D320E"/>
    <w:rsid w:val="005D45CB"/>
    <w:rsid w:val="005E0D3D"/>
    <w:rsid w:val="005E1CBC"/>
    <w:rsid w:val="005E3769"/>
    <w:rsid w:val="005F1429"/>
    <w:rsid w:val="005F2AA6"/>
    <w:rsid w:val="005F64F8"/>
    <w:rsid w:val="006020D2"/>
    <w:rsid w:val="006031C6"/>
    <w:rsid w:val="0060410B"/>
    <w:rsid w:val="00604162"/>
    <w:rsid w:val="00604DB3"/>
    <w:rsid w:val="00611EA9"/>
    <w:rsid w:val="0061487F"/>
    <w:rsid w:val="00615EDA"/>
    <w:rsid w:val="0061615E"/>
    <w:rsid w:val="00630E5C"/>
    <w:rsid w:val="00633FC3"/>
    <w:rsid w:val="00634FC8"/>
    <w:rsid w:val="0064385C"/>
    <w:rsid w:val="00644AA5"/>
    <w:rsid w:val="00647BB4"/>
    <w:rsid w:val="0065663E"/>
    <w:rsid w:val="0066368B"/>
    <w:rsid w:val="00664A35"/>
    <w:rsid w:val="00676AA6"/>
    <w:rsid w:val="00690443"/>
    <w:rsid w:val="00691D47"/>
    <w:rsid w:val="00692958"/>
    <w:rsid w:val="00692B51"/>
    <w:rsid w:val="0069386D"/>
    <w:rsid w:val="00697D6E"/>
    <w:rsid w:val="006A0B73"/>
    <w:rsid w:val="006A1148"/>
    <w:rsid w:val="006A260B"/>
    <w:rsid w:val="006A3A64"/>
    <w:rsid w:val="006A489F"/>
    <w:rsid w:val="006A4B50"/>
    <w:rsid w:val="006A4EB3"/>
    <w:rsid w:val="006B3F9D"/>
    <w:rsid w:val="006B4C4D"/>
    <w:rsid w:val="006B51EF"/>
    <w:rsid w:val="006C2667"/>
    <w:rsid w:val="006C5689"/>
    <w:rsid w:val="006C6E51"/>
    <w:rsid w:val="006D2517"/>
    <w:rsid w:val="006D3150"/>
    <w:rsid w:val="006D72C1"/>
    <w:rsid w:val="006D7886"/>
    <w:rsid w:val="006F1ED9"/>
    <w:rsid w:val="00705491"/>
    <w:rsid w:val="00706843"/>
    <w:rsid w:val="00722603"/>
    <w:rsid w:val="00722F0B"/>
    <w:rsid w:val="00723A19"/>
    <w:rsid w:val="007264EB"/>
    <w:rsid w:val="00730E37"/>
    <w:rsid w:val="0074082F"/>
    <w:rsid w:val="00742A64"/>
    <w:rsid w:val="00743956"/>
    <w:rsid w:val="00747078"/>
    <w:rsid w:val="00747C0D"/>
    <w:rsid w:val="00774346"/>
    <w:rsid w:val="0078039E"/>
    <w:rsid w:val="00781FF3"/>
    <w:rsid w:val="0078428F"/>
    <w:rsid w:val="00785F88"/>
    <w:rsid w:val="00786317"/>
    <w:rsid w:val="007A119B"/>
    <w:rsid w:val="007A2C1E"/>
    <w:rsid w:val="007A3F43"/>
    <w:rsid w:val="007A61C3"/>
    <w:rsid w:val="007A6FC9"/>
    <w:rsid w:val="007B035F"/>
    <w:rsid w:val="007B0A75"/>
    <w:rsid w:val="007B4FBA"/>
    <w:rsid w:val="007B58AE"/>
    <w:rsid w:val="007C2D93"/>
    <w:rsid w:val="007D4DF4"/>
    <w:rsid w:val="007D668C"/>
    <w:rsid w:val="007E1427"/>
    <w:rsid w:val="007F39D1"/>
    <w:rsid w:val="007F4C89"/>
    <w:rsid w:val="00802BFE"/>
    <w:rsid w:val="00807D21"/>
    <w:rsid w:val="00807D40"/>
    <w:rsid w:val="00811B73"/>
    <w:rsid w:val="00812D47"/>
    <w:rsid w:val="0081319D"/>
    <w:rsid w:val="008137DF"/>
    <w:rsid w:val="008153E9"/>
    <w:rsid w:val="00815840"/>
    <w:rsid w:val="00822F4C"/>
    <w:rsid w:val="00826545"/>
    <w:rsid w:val="00832B34"/>
    <w:rsid w:val="008353D4"/>
    <w:rsid w:val="00843C93"/>
    <w:rsid w:val="008443C0"/>
    <w:rsid w:val="008535DA"/>
    <w:rsid w:val="00854462"/>
    <w:rsid w:val="0086337E"/>
    <w:rsid w:val="00863987"/>
    <w:rsid w:val="00863AC7"/>
    <w:rsid w:val="00864663"/>
    <w:rsid w:val="00867248"/>
    <w:rsid w:val="008720B9"/>
    <w:rsid w:val="00873563"/>
    <w:rsid w:val="00873BB5"/>
    <w:rsid w:val="008755E0"/>
    <w:rsid w:val="00880213"/>
    <w:rsid w:val="008856B7"/>
    <w:rsid w:val="00891813"/>
    <w:rsid w:val="00891E92"/>
    <w:rsid w:val="008A487C"/>
    <w:rsid w:val="008A5151"/>
    <w:rsid w:val="008A57D7"/>
    <w:rsid w:val="008B1213"/>
    <w:rsid w:val="008B2A0E"/>
    <w:rsid w:val="008B5437"/>
    <w:rsid w:val="008B7271"/>
    <w:rsid w:val="008B7FAD"/>
    <w:rsid w:val="008C1A39"/>
    <w:rsid w:val="008C753F"/>
    <w:rsid w:val="008D1EAA"/>
    <w:rsid w:val="008D333D"/>
    <w:rsid w:val="008D420A"/>
    <w:rsid w:val="008D5D10"/>
    <w:rsid w:val="008D6D67"/>
    <w:rsid w:val="008D6E3C"/>
    <w:rsid w:val="008E1535"/>
    <w:rsid w:val="008E2910"/>
    <w:rsid w:val="008F289D"/>
    <w:rsid w:val="00901E56"/>
    <w:rsid w:val="00904786"/>
    <w:rsid w:val="009049E0"/>
    <w:rsid w:val="009100B2"/>
    <w:rsid w:val="00911E8A"/>
    <w:rsid w:val="0091301E"/>
    <w:rsid w:val="0091769F"/>
    <w:rsid w:val="00920635"/>
    <w:rsid w:val="00923A7F"/>
    <w:rsid w:val="00924D6B"/>
    <w:rsid w:val="0092504E"/>
    <w:rsid w:val="009305EE"/>
    <w:rsid w:val="00932E3E"/>
    <w:rsid w:val="0094472A"/>
    <w:rsid w:val="0094646F"/>
    <w:rsid w:val="009522E3"/>
    <w:rsid w:val="00955A46"/>
    <w:rsid w:val="009562DF"/>
    <w:rsid w:val="00961413"/>
    <w:rsid w:val="00961BCF"/>
    <w:rsid w:val="009649E7"/>
    <w:rsid w:val="0096564F"/>
    <w:rsid w:val="00966C31"/>
    <w:rsid w:val="00970391"/>
    <w:rsid w:val="00970C5C"/>
    <w:rsid w:val="00985C18"/>
    <w:rsid w:val="00990DDD"/>
    <w:rsid w:val="0099490E"/>
    <w:rsid w:val="009A06C6"/>
    <w:rsid w:val="009A1C3C"/>
    <w:rsid w:val="009A1D68"/>
    <w:rsid w:val="009B30B2"/>
    <w:rsid w:val="009B3490"/>
    <w:rsid w:val="009B4AD0"/>
    <w:rsid w:val="009B59E8"/>
    <w:rsid w:val="009C3EA7"/>
    <w:rsid w:val="009C5489"/>
    <w:rsid w:val="009C7DB9"/>
    <w:rsid w:val="009D1FEA"/>
    <w:rsid w:val="009D3E2D"/>
    <w:rsid w:val="009E1CD4"/>
    <w:rsid w:val="009E3BEC"/>
    <w:rsid w:val="009E6ECD"/>
    <w:rsid w:val="009F0FAD"/>
    <w:rsid w:val="009F58B5"/>
    <w:rsid w:val="009F5997"/>
    <w:rsid w:val="009F6535"/>
    <w:rsid w:val="00A0731F"/>
    <w:rsid w:val="00A14C18"/>
    <w:rsid w:val="00A2383A"/>
    <w:rsid w:val="00A4005C"/>
    <w:rsid w:val="00A40BDC"/>
    <w:rsid w:val="00A46977"/>
    <w:rsid w:val="00A510E0"/>
    <w:rsid w:val="00A52E39"/>
    <w:rsid w:val="00A554C5"/>
    <w:rsid w:val="00A654DF"/>
    <w:rsid w:val="00A66FC7"/>
    <w:rsid w:val="00A71C18"/>
    <w:rsid w:val="00A77774"/>
    <w:rsid w:val="00A92C0A"/>
    <w:rsid w:val="00A9312B"/>
    <w:rsid w:val="00A93629"/>
    <w:rsid w:val="00A94BB6"/>
    <w:rsid w:val="00AA4690"/>
    <w:rsid w:val="00AB0484"/>
    <w:rsid w:val="00AB0AD8"/>
    <w:rsid w:val="00AB1292"/>
    <w:rsid w:val="00AB3215"/>
    <w:rsid w:val="00AB3A09"/>
    <w:rsid w:val="00AB4AE4"/>
    <w:rsid w:val="00AB6377"/>
    <w:rsid w:val="00AC3514"/>
    <w:rsid w:val="00AC6D53"/>
    <w:rsid w:val="00AD1798"/>
    <w:rsid w:val="00AD33E8"/>
    <w:rsid w:val="00AD6A30"/>
    <w:rsid w:val="00AD6CAC"/>
    <w:rsid w:val="00AE0BA8"/>
    <w:rsid w:val="00AE2116"/>
    <w:rsid w:val="00AF0EBE"/>
    <w:rsid w:val="00AF1C00"/>
    <w:rsid w:val="00AF3859"/>
    <w:rsid w:val="00AF63DF"/>
    <w:rsid w:val="00AF64C9"/>
    <w:rsid w:val="00AF7856"/>
    <w:rsid w:val="00B03F0A"/>
    <w:rsid w:val="00B1203C"/>
    <w:rsid w:val="00B12A9E"/>
    <w:rsid w:val="00B24E42"/>
    <w:rsid w:val="00B3494E"/>
    <w:rsid w:val="00B430F8"/>
    <w:rsid w:val="00B43B3D"/>
    <w:rsid w:val="00B46C32"/>
    <w:rsid w:val="00B53359"/>
    <w:rsid w:val="00B603A6"/>
    <w:rsid w:val="00B620AB"/>
    <w:rsid w:val="00B620F3"/>
    <w:rsid w:val="00B65D94"/>
    <w:rsid w:val="00B75A26"/>
    <w:rsid w:val="00B774B4"/>
    <w:rsid w:val="00B77899"/>
    <w:rsid w:val="00B82BC5"/>
    <w:rsid w:val="00B86125"/>
    <w:rsid w:val="00B91351"/>
    <w:rsid w:val="00B937AE"/>
    <w:rsid w:val="00B93A65"/>
    <w:rsid w:val="00B954C0"/>
    <w:rsid w:val="00BA22F0"/>
    <w:rsid w:val="00BA4924"/>
    <w:rsid w:val="00BB2A89"/>
    <w:rsid w:val="00BB2B0A"/>
    <w:rsid w:val="00BC1AC7"/>
    <w:rsid w:val="00BC1F2E"/>
    <w:rsid w:val="00BC4C7A"/>
    <w:rsid w:val="00BD08F9"/>
    <w:rsid w:val="00BD6FB3"/>
    <w:rsid w:val="00BF2486"/>
    <w:rsid w:val="00BF4D9B"/>
    <w:rsid w:val="00BF5798"/>
    <w:rsid w:val="00C001F5"/>
    <w:rsid w:val="00C047F8"/>
    <w:rsid w:val="00C12050"/>
    <w:rsid w:val="00C1604E"/>
    <w:rsid w:val="00C22D88"/>
    <w:rsid w:val="00C26533"/>
    <w:rsid w:val="00C27250"/>
    <w:rsid w:val="00C32219"/>
    <w:rsid w:val="00C36F34"/>
    <w:rsid w:val="00C409F7"/>
    <w:rsid w:val="00C423E1"/>
    <w:rsid w:val="00C42DEF"/>
    <w:rsid w:val="00C50AE7"/>
    <w:rsid w:val="00C5332B"/>
    <w:rsid w:val="00C5700B"/>
    <w:rsid w:val="00C57BF2"/>
    <w:rsid w:val="00C60332"/>
    <w:rsid w:val="00C63C9D"/>
    <w:rsid w:val="00C67B23"/>
    <w:rsid w:val="00C7678D"/>
    <w:rsid w:val="00C85EAB"/>
    <w:rsid w:val="00C85FDA"/>
    <w:rsid w:val="00C87804"/>
    <w:rsid w:val="00C910B3"/>
    <w:rsid w:val="00C9408E"/>
    <w:rsid w:val="00C9533B"/>
    <w:rsid w:val="00C9764F"/>
    <w:rsid w:val="00CA0C3B"/>
    <w:rsid w:val="00CA5923"/>
    <w:rsid w:val="00CA5EB0"/>
    <w:rsid w:val="00CB10CC"/>
    <w:rsid w:val="00CB3731"/>
    <w:rsid w:val="00CB507D"/>
    <w:rsid w:val="00CB54D4"/>
    <w:rsid w:val="00CB5599"/>
    <w:rsid w:val="00CB7A3F"/>
    <w:rsid w:val="00CC0BE5"/>
    <w:rsid w:val="00CC1DBC"/>
    <w:rsid w:val="00CC6598"/>
    <w:rsid w:val="00CD085D"/>
    <w:rsid w:val="00CD1257"/>
    <w:rsid w:val="00CD5291"/>
    <w:rsid w:val="00CE0F78"/>
    <w:rsid w:val="00CE245D"/>
    <w:rsid w:val="00CF30F4"/>
    <w:rsid w:val="00CF629A"/>
    <w:rsid w:val="00CF7715"/>
    <w:rsid w:val="00D040AA"/>
    <w:rsid w:val="00D0415B"/>
    <w:rsid w:val="00D04B96"/>
    <w:rsid w:val="00D056B0"/>
    <w:rsid w:val="00D13EE2"/>
    <w:rsid w:val="00D17EEA"/>
    <w:rsid w:val="00D20ADF"/>
    <w:rsid w:val="00D22968"/>
    <w:rsid w:val="00D22FB9"/>
    <w:rsid w:val="00D24A9D"/>
    <w:rsid w:val="00D32FCD"/>
    <w:rsid w:val="00D45807"/>
    <w:rsid w:val="00D463B1"/>
    <w:rsid w:val="00D47C4E"/>
    <w:rsid w:val="00D54C1D"/>
    <w:rsid w:val="00D5796F"/>
    <w:rsid w:val="00D60C1F"/>
    <w:rsid w:val="00D62142"/>
    <w:rsid w:val="00D62670"/>
    <w:rsid w:val="00D62748"/>
    <w:rsid w:val="00D66C13"/>
    <w:rsid w:val="00D71114"/>
    <w:rsid w:val="00D71C07"/>
    <w:rsid w:val="00D73189"/>
    <w:rsid w:val="00D740C0"/>
    <w:rsid w:val="00D764DC"/>
    <w:rsid w:val="00D80488"/>
    <w:rsid w:val="00D80A0B"/>
    <w:rsid w:val="00D85333"/>
    <w:rsid w:val="00D86480"/>
    <w:rsid w:val="00D86966"/>
    <w:rsid w:val="00D869D7"/>
    <w:rsid w:val="00D91E6B"/>
    <w:rsid w:val="00D9273B"/>
    <w:rsid w:val="00DA028E"/>
    <w:rsid w:val="00DA09AB"/>
    <w:rsid w:val="00DA0BD9"/>
    <w:rsid w:val="00DA2C62"/>
    <w:rsid w:val="00DA4C4E"/>
    <w:rsid w:val="00DA78C0"/>
    <w:rsid w:val="00DC50F9"/>
    <w:rsid w:val="00DC5EC2"/>
    <w:rsid w:val="00DC6A25"/>
    <w:rsid w:val="00DC74EB"/>
    <w:rsid w:val="00DD01DC"/>
    <w:rsid w:val="00DD2A15"/>
    <w:rsid w:val="00DD42DE"/>
    <w:rsid w:val="00DD6E76"/>
    <w:rsid w:val="00DE349D"/>
    <w:rsid w:val="00DE5279"/>
    <w:rsid w:val="00DE6340"/>
    <w:rsid w:val="00DE7C79"/>
    <w:rsid w:val="00DF2BBE"/>
    <w:rsid w:val="00DF61DE"/>
    <w:rsid w:val="00DF782D"/>
    <w:rsid w:val="00E0128A"/>
    <w:rsid w:val="00E01742"/>
    <w:rsid w:val="00E033AA"/>
    <w:rsid w:val="00E04C35"/>
    <w:rsid w:val="00E06BA1"/>
    <w:rsid w:val="00E12E8F"/>
    <w:rsid w:val="00E16210"/>
    <w:rsid w:val="00E17495"/>
    <w:rsid w:val="00E213C2"/>
    <w:rsid w:val="00E24526"/>
    <w:rsid w:val="00E25409"/>
    <w:rsid w:val="00E337F3"/>
    <w:rsid w:val="00E37D6B"/>
    <w:rsid w:val="00E37F09"/>
    <w:rsid w:val="00E403E7"/>
    <w:rsid w:val="00E406F7"/>
    <w:rsid w:val="00E42307"/>
    <w:rsid w:val="00E51D33"/>
    <w:rsid w:val="00E53036"/>
    <w:rsid w:val="00E550AD"/>
    <w:rsid w:val="00E57B12"/>
    <w:rsid w:val="00E63285"/>
    <w:rsid w:val="00E633F2"/>
    <w:rsid w:val="00E66626"/>
    <w:rsid w:val="00E676CC"/>
    <w:rsid w:val="00E744AC"/>
    <w:rsid w:val="00E8608B"/>
    <w:rsid w:val="00E91351"/>
    <w:rsid w:val="00E91B8E"/>
    <w:rsid w:val="00E93F49"/>
    <w:rsid w:val="00E95CD0"/>
    <w:rsid w:val="00EA36BD"/>
    <w:rsid w:val="00EA40EE"/>
    <w:rsid w:val="00EB0072"/>
    <w:rsid w:val="00EB310C"/>
    <w:rsid w:val="00EC1615"/>
    <w:rsid w:val="00EC28A3"/>
    <w:rsid w:val="00EC32FD"/>
    <w:rsid w:val="00EC73B4"/>
    <w:rsid w:val="00EE1057"/>
    <w:rsid w:val="00EE2516"/>
    <w:rsid w:val="00EE3E90"/>
    <w:rsid w:val="00EF34E1"/>
    <w:rsid w:val="00EF5C9A"/>
    <w:rsid w:val="00F0230E"/>
    <w:rsid w:val="00F023B4"/>
    <w:rsid w:val="00F03A3D"/>
    <w:rsid w:val="00F03BC7"/>
    <w:rsid w:val="00F13941"/>
    <w:rsid w:val="00F1508A"/>
    <w:rsid w:val="00F2018A"/>
    <w:rsid w:val="00F21303"/>
    <w:rsid w:val="00F22095"/>
    <w:rsid w:val="00F24FC1"/>
    <w:rsid w:val="00F37BA0"/>
    <w:rsid w:val="00F37E21"/>
    <w:rsid w:val="00F52578"/>
    <w:rsid w:val="00F54A53"/>
    <w:rsid w:val="00F559F1"/>
    <w:rsid w:val="00F57818"/>
    <w:rsid w:val="00F61F60"/>
    <w:rsid w:val="00F62EF8"/>
    <w:rsid w:val="00F71294"/>
    <w:rsid w:val="00F75956"/>
    <w:rsid w:val="00F82E3D"/>
    <w:rsid w:val="00F90F6C"/>
    <w:rsid w:val="00F9185D"/>
    <w:rsid w:val="00F92DA8"/>
    <w:rsid w:val="00F9386D"/>
    <w:rsid w:val="00F96FC0"/>
    <w:rsid w:val="00FA342B"/>
    <w:rsid w:val="00FA59E7"/>
    <w:rsid w:val="00FB3D45"/>
    <w:rsid w:val="00FC002C"/>
    <w:rsid w:val="00FC2E95"/>
    <w:rsid w:val="00FC6A8A"/>
    <w:rsid w:val="00FC6C97"/>
    <w:rsid w:val="00FD14A2"/>
    <w:rsid w:val="00FD2F5D"/>
    <w:rsid w:val="00FD3EC3"/>
    <w:rsid w:val="00FD3F5E"/>
    <w:rsid w:val="00FE1846"/>
    <w:rsid w:val="00FE28B7"/>
    <w:rsid w:val="00FE3E80"/>
    <w:rsid w:val="00FE51C9"/>
    <w:rsid w:val="00FE61C8"/>
    <w:rsid w:val="00FF1C48"/>
    <w:rsid w:val="00FF1F2D"/>
    <w:rsid w:val="00FF462F"/>
    <w:rsid w:val="00FF5F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4B89B"/>
  <w15:chartTrackingRefBased/>
  <w15:docId w15:val="{88D1DF87-729A-4233-9A0F-C4972624C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1D33"/>
  </w:style>
  <w:style w:type="paragraph" w:styleId="Heading1">
    <w:name w:val="heading 1"/>
    <w:basedOn w:val="Normal"/>
    <w:next w:val="Normal"/>
    <w:link w:val="Heading1Char"/>
    <w:uiPriority w:val="9"/>
    <w:qFormat/>
    <w:rsid w:val="000C52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8D6E3C"/>
    <w:pPr>
      <w:widowControl w:val="0"/>
      <w:autoSpaceDE w:val="0"/>
      <w:autoSpaceDN w:val="0"/>
      <w:spacing w:after="0" w:line="240" w:lineRule="auto"/>
      <w:ind w:left="124"/>
      <w:outlineLvl w:val="1"/>
    </w:pPr>
    <w:rPr>
      <w:rFonts w:ascii="Arial" w:eastAsia="Arial" w:hAnsi="Arial" w:cs="Arial"/>
      <w:b/>
      <w:bCs/>
    </w:rPr>
  </w:style>
  <w:style w:type="paragraph" w:styleId="Heading3">
    <w:name w:val="heading 3"/>
    <w:basedOn w:val="Normal"/>
    <w:link w:val="Heading3Char"/>
    <w:uiPriority w:val="9"/>
    <w:qFormat/>
    <w:rsid w:val="000C52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21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8D6E3C"/>
    <w:rPr>
      <w:rFonts w:ascii="Arial" w:eastAsia="Arial" w:hAnsi="Arial" w:cs="Arial"/>
      <w:b/>
      <w:bCs/>
    </w:rPr>
  </w:style>
  <w:style w:type="character" w:customStyle="1" w:styleId="Heading3Char">
    <w:name w:val="Heading 3 Char"/>
    <w:basedOn w:val="DefaultParagraphFont"/>
    <w:link w:val="Heading3"/>
    <w:uiPriority w:val="9"/>
    <w:rsid w:val="000C5211"/>
    <w:rPr>
      <w:rFonts w:ascii="Times New Roman" w:eastAsia="Times New Roman" w:hAnsi="Times New Roman" w:cs="Times New Roman"/>
      <w:b/>
      <w:bCs/>
      <w:sz w:val="27"/>
      <w:szCs w:val="27"/>
    </w:rPr>
  </w:style>
  <w:style w:type="table" w:styleId="TableGrid">
    <w:name w:val="Table Grid"/>
    <w:basedOn w:val="TableNormal"/>
    <w:uiPriority w:val="59"/>
    <w:rsid w:val="00E17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46977"/>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045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5D4"/>
  </w:style>
  <w:style w:type="paragraph" w:styleId="Footer">
    <w:name w:val="footer"/>
    <w:basedOn w:val="Normal"/>
    <w:link w:val="FooterChar"/>
    <w:uiPriority w:val="99"/>
    <w:unhideWhenUsed/>
    <w:rsid w:val="005045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5D4"/>
  </w:style>
  <w:style w:type="paragraph" w:customStyle="1" w:styleId="EndNoteBibliographyTitle">
    <w:name w:val="EndNote Bibliography Title"/>
    <w:basedOn w:val="Normal"/>
    <w:link w:val="EndNoteBibliographyTitleChar"/>
    <w:rsid w:val="00DD6E7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D6E76"/>
    <w:rPr>
      <w:rFonts w:ascii="Calibri" w:hAnsi="Calibri" w:cs="Calibri"/>
      <w:noProof/>
    </w:rPr>
  </w:style>
  <w:style w:type="paragraph" w:customStyle="1" w:styleId="EndNoteBibliography">
    <w:name w:val="EndNote Bibliography"/>
    <w:basedOn w:val="Normal"/>
    <w:link w:val="EndNoteBibliographyChar"/>
    <w:rsid w:val="00DD6E7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D6E76"/>
    <w:rPr>
      <w:rFonts w:ascii="Calibri" w:hAnsi="Calibri" w:cs="Calibri"/>
      <w:noProof/>
    </w:rPr>
  </w:style>
  <w:style w:type="character" w:styleId="Hyperlink">
    <w:name w:val="Hyperlink"/>
    <w:basedOn w:val="DefaultParagraphFont"/>
    <w:uiPriority w:val="99"/>
    <w:unhideWhenUsed/>
    <w:rsid w:val="00DD6E76"/>
    <w:rPr>
      <w:color w:val="0563C1" w:themeColor="hyperlink"/>
      <w:u w:val="single"/>
    </w:rPr>
  </w:style>
  <w:style w:type="paragraph" w:styleId="ListParagraph">
    <w:name w:val="List Paragraph"/>
    <w:basedOn w:val="Normal"/>
    <w:link w:val="ListParagraphChar"/>
    <w:uiPriority w:val="34"/>
    <w:qFormat/>
    <w:rsid w:val="00D62142"/>
    <w:pPr>
      <w:ind w:left="720"/>
      <w:contextualSpacing/>
    </w:pPr>
  </w:style>
  <w:style w:type="character" w:customStyle="1" w:styleId="ListParagraphChar">
    <w:name w:val="List Paragraph Char"/>
    <w:basedOn w:val="DefaultParagraphFont"/>
    <w:link w:val="ListParagraph"/>
    <w:uiPriority w:val="34"/>
    <w:rsid w:val="008D6E3C"/>
  </w:style>
  <w:style w:type="paragraph" w:customStyle="1" w:styleId="Default">
    <w:name w:val="Default"/>
    <w:link w:val="DefaultChar"/>
    <w:rsid w:val="00D621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D32FCD"/>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B2B0A"/>
    <w:rPr>
      <w:sz w:val="16"/>
      <w:szCs w:val="16"/>
    </w:rPr>
  </w:style>
  <w:style w:type="paragraph" w:styleId="CommentText">
    <w:name w:val="annotation text"/>
    <w:basedOn w:val="Normal"/>
    <w:link w:val="CommentTextChar"/>
    <w:uiPriority w:val="99"/>
    <w:semiHidden/>
    <w:unhideWhenUsed/>
    <w:rsid w:val="00BB2B0A"/>
    <w:pPr>
      <w:spacing w:line="240" w:lineRule="auto"/>
    </w:pPr>
    <w:rPr>
      <w:sz w:val="20"/>
      <w:szCs w:val="20"/>
    </w:rPr>
  </w:style>
  <w:style w:type="character" w:customStyle="1" w:styleId="CommentTextChar">
    <w:name w:val="Comment Text Char"/>
    <w:basedOn w:val="DefaultParagraphFont"/>
    <w:link w:val="CommentText"/>
    <w:uiPriority w:val="99"/>
    <w:semiHidden/>
    <w:rsid w:val="00BB2B0A"/>
    <w:rPr>
      <w:sz w:val="20"/>
      <w:szCs w:val="20"/>
    </w:rPr>
  </w:style>
  <w:style w:type="paragraph" w:styleId="CommentSubject">
    <w:name w:val="annotation subject"/>
    <w:basedOn w:val="CommentText"/>
    <w:next w:val="CommentText"/>
    <w:link w:val="CommentSubjectChar"/>
    <w:uiPriority w:val="99"/>
    <w:semiHidden/>
    <w:unhideWhenUsed/>
    <w:rsid w:val="00BB2B0A"/>
    <w:rPr>
      <w:b/>
      <w:bCs/>
    </w:rPr>
  </w:style>
  <w:style w:type="character" w:customStyle="1" w:styleId="CommentSubjectChar">
    <w:name w:val="Comment Subject Char"/>
    <w:basedOn w:val="CommentTextChar"/>
    <w:link w:val="CommentSubject"/>
    <w:uiPriority w:val="99"/>
    <w:semiHidden/>
    <w:rsid w:val="00BB2B0A"/>
    <w:rPr>
      <w:b/>
      <w:bCs/>
      <w:sz w:val="20"/>
      <w:szCs w:val="20"/>
    </w:rPr>
  </w:style>
  <w:style w:type="paragraph" w:styleId="BalloonText">
    <w:name w:val="Balloon Text"/>
    <w:basedOn w:val="Normal"/>
    <w:link w:val="BalloonTextChar"/>
    <w:uiPriority w:val="99"/>
    <w:semiHidden/>
    <w:unhideWhenUsed/>
    <w:rsid w:val="00BB2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B0A"/>
    <w:rPr>
      <w:rFonts w:ascii="Segoe UI" w:hAnsi="Segoe UI" w:cs="Segoe UI"/>
      <w:sz w:val="18"/>
      <w:szCs w:val="18"/>
    </w:rPr>
  </w:style>
  <w:style w:type="character" w:styleId="LineNumber">
    <w:name w:val="line number"/>
    <w:basedOn w:val="DefaultParagraphFont"/>
    <w:uiPriority w:val="99"/>
    <w:semiHidden/>
    <w:unhideWhenUsed/>
    <w:rsid w:val="00BB2B0A"/>
  </w:style>
  <w:style w:type="paragraph" w:styleId="NormalWeb">
    <w:name w:val="Normal (Web)"/>
    <w:basedOn w:val="Normal"/>
    <w:link w:val="NormalWebChar"/>
    <w:uiPriority w:val="99"/>
    <w:unhideWhenUsed/>
    <w:rsid w:val="00CB10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8D6E3C"/>
    <w:rPr>
      <w:rFonts w:ascii="Times New Roman" w:eastAsia="Times New Roman" w:hAnsi="Times New Roman" w:cs="Times New Roman"/>
      <w:sz w:val="24"/>
      <w:szCs w:val="24"/>
    </w:rPr>
  </w:style>
  <w:style w:type="paragraph" w:customStyle="1" w:styleId="PaperTitle">
    <w:name w:val="Paper Title"/>
    <w:next w:val="Normal"/>
    <w:qFormat/>
    <w:rsid w:val="00D32FCD"/>
    <w:pPr>
      <w:spacing w:after="0" w:line="480" w:lineRule="auto"/>
      <w:jc w:val="center"/>
    </w:pPr>
    <w:rPr>
      <w:rFonts w:ascii="Times New Roman" w:hAnsi="Times New Roman"/>
      <w:b/>
      <w:color w:val="000000" w:themeColor="text1"/>
      <w:sz w:val="24"/>
    </w:rPr>
  </w:style>
  <w:style w:type="paragraph" w:styleId="Revision">
    <w:name w:val="Revision"/>
    <w:hidden/>
    <w:uiPriority w:val="99"/>
    <w:semiHidden/>
    <w:rsid w:val="00AD1798"/>
    <w:pPr>
      <w:spacing w:after="0" w:line="240" w:lineRule="auto"/>
    </w:pPr>
  </w:style>
  <w:style w:type="character" w:customStyle="1" w:styleId="UnresolvedMention">
    <w:name w:val="Unresolved Mention"/>
    <w:basedOn w:val="DefaultParagraphFont"/>
    <w:uiPriority w:val="99"/>
    <w:semiHidden/>
    <w:unhideWhenUsed/>
    <w:rsid w:val="00A554C5"/>
    <w:rPr>
      <w:color w:val="605E5C"/>
      <w:shd w:val="clear" w:color="auto" w:fill="E1DFDD"/>
    </w:rPr>
  </w:style>
  <w:style w:type="paragraph" w:customStyle="1" w:styleId="Affiliation">
    <w:name w:val="Affiliation"/>
    <w:qFormat/>
    <w:rsid w:val="00C67B23"/>
    <w:pPr>
      <w:spacing w:after="0" w:line="480" w:lineRule="auto"/>
      <w:jc w:val="center"/>
    </w:pPr>
    <w:rPr>
      <w:rFonts w:ascii="Times New Roman" w:hAnsi="Times New Roman"/>
      <w:color w:val="000000" w:themeColor="text1"/>
      <w:sz w:val="24"/>
    </w:rPr>
  </w:style>
  <w:style w:type="paragraph" w:customStyle="1" w:styleId="Abstract">
    <w:name w:val="Abstract"/>
    <w:qFormat/>
    <w:rsid w:val="00C67B23"/>
    <w:pPr>
      <w:spacing w:after="0" w:line="480" w:lineRule="auto"/>
      <w:jc w:val="both"/>
    </w:pPr>
    <w:rPr>
      <w:rFonts w:ascii="Times New Roman" w:hAnsi="Times New Roman"/>
      <w:color w:val="000000" w:themeColor="text1"/>
      <w:sz w:val="24"/>
    </w:rPr>
  </w:style>
  <w:style w:type="character" w:styleId="Emphasis">
    <w:name w:val="Emphasis"/>
    <w:basedOn w:val="DefaultParagraphFont"/>
    <w:uiPriority w:val="20"/>
    <w:qFormat/>
    <w:rsid w:val="008D6E3C"/>
    <w:rPr>
      <w:i/>
      <w:iCs/>
    </w:rPr>
  </w:style>
  <w:style w:type="paragraph" w:customStyle="1" w:styleId="xl66">
    <w:name w:val="xl66"/>
    <w:basedOn w:val="Normal"/>
    <w:rsid w:val="008D6E3C"/>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67">
    <w:name w:val="xl67"/>
    <w:basedOn w:val="Normal"/>
    <w:rsid w:val="008D6E3C"/>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8">
    <w:name w:val="xl68"/>
    <w:basedOn w:val="Normal"/>
    <w:rsid w:val="008D6E3C"/>
    <w:pPr>
      <w:shd w:val="clear" w:color="000000" w:fill="FFFFFF"/>
      <w:spacing w:before="100" w:beforeAutospacing="1" w:after="100" w:afterAutospacing="1" w:line="240" w:lineRule="auto"/>
    </w:pPr>
    <w:rPr>
      <w:rFonts w:ascii="Times New Roman" w:eastAsia="Times New Roman" w:hAnsi="Times New Roman" w:cs="Times New Roman"/>
      <w:b/>
      <w:bCs/>
      <w:sz w:val="18"/>
      <w:szCs w:val="18"/>
    </w:rPr>
  </w:style>
  <w:style w:type="paragraph" w:styleId="FootnoteText">
    <w:name w:val="footnote text"/>
    <w:basedOn w:val="Normal"/>
    <w:link w:val="FootnoteTextChar"/>
    <w:uiPriority w:val="99"/>
    <w:semiHidden/>
    <w:unhideWhenUsed/>
    <w:rsid w:val="008D6E3C"/>
    <w:pPr>
      <w:bidi/>
      <w:spacing w:after="0" w:line="240" w:lineRule="auto"/>
      <w:ind w:firstLine="454"/>
      <w:jc w:val="both"/>
    </w:pPr>
    <w:rPr>
      <w:sz w:val="20"/>
      <w:szCs w:val="20"/>
    </w:rPr>
  </w:style>
  <w:style w:type="character" w:customStyle="1" w:styleId="FootnoteTextChar">
    <w:name w:val="Footnote Text Char"/>
    <w:basedOn w:val="DefaultParagraphFont"/>
    <w:link w:val="FootnoteText"/>
    <w:uiPriority w:val="99"/>
    <w:semiHidden/>
    <w:rsid w:val="008D6E3C"/>
    <w:rPr>
      <w:sz w:val="20"/>
      <w:szCs w:val="20"/>
    </w:rPr>
  </w:style>
  <w:style w:type="character" w:customStyle="1" w:styleId="label">
    <w:name w:val="label"/>
    <w:basedOn w:val="DefaultParagraphFont"/>
    <w:rsid w:val="008D6E3C"/>
  </w:style>
  <w:style w:type="character" w:customStyle="1" w:styleId="value">
    <w:name w:val="value"/>
    <w:basedOn w:val="DefaultParagraphFont"/>
    <w:rsid w:val="008D6E3C"/>
  </w:style>
  <w:style w:type="table" w:styleId="TableSimple2">
    <w:name w:val="Table Simple 2"/>
    <w:basedOn w:val="TableNormal"/>
    <w:uiPriority w:val="99"/>
    <w:rsid w:val="008D6E3C"/>
    <w:rPr>
      <w:rFonts w:eastAsiaTheme="minorEastAsia"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NoSpacing">
    <w:name w:val="No Spacing"/>
    <w:uiPriority w:val="1"/>
    <w:qFormat/>
    <w:rsid w:val="008D6E3C"/>
    <w:pPr>
      <w:spacing w:after="0" w:line="240" w:lineRule="auto"/>
    </w:pPr>
  </w:style>
  <w:style w:type="paragraph" w:customStyle="1" w:styleId="Papermain">
    <w:name w:val="Paper main"/>
    <w:qFormat/>
    <w:rsid w:val="008D6E3C"/>
    <w:pPr>
      <w:spacing w:after="0" w:line="480" w:lineRule="auto"/>
      <w:jc w:val="both"/>
    </w:pPr>
    <w:rPr>
      <w:rFonts w:ascii="Times New Roman" w:hAnsi="Times New Roman"/>
      <w:color w:val="000000" w:themeColor="text1"/>
      <w:sz w:val="24"/>
    </w:rPr>
  </w:style>
  <w:style w:type="paragraph" w:styleId="BodyText">
    <w:name w:val="Body Text"/>
    <w:basedOn w:val="Normal"/>
    <w:link w:val="BodyTextChar"/>
    <w:uiPriority w:val="1"/>
    <w:qFormat/>
    <w:rsid w:val="008D6E3C"/>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8D6E3C"/>
    <w:rPr>
      <w:rFonts w:ascii="Times New Roman" w:eastAsia="Times New Roman" w:hAnsi="Times New Roman" w:cs="Times New Roman"/>
      <w:sz w:val="20"/>
      <w:szCs w:val="20"/>
    </w:rPr>
  </w:style>
  <w:style w:type="character" w:customStyle="1" w:styleId="authors-list-item">
    <w:name w:val="authors-list-item"/>
    <w:basedOn w:val="DefaultParagraphFont"/>
    <w:rsid w:val="008D6E3C"/>
  </w:style>
  <w:style w:type="character" w:customStyle="1" w:styleId="author-sup-separator">
    <w:name w:val="author-sup-separator"/>
    <w:basedOn w:val="DefaultParagraphFont"/>
    <w:rsid w:val="008D6E3C"/>
  </w:style>
  <w:style w:type="character" w:customStyle="1" w:styleId="comma">
    <w:name w:val="comma"/>
    <w:basedOn w:val="DefaultParagraphFont"/>
    <w:rsid w:val="008D6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83944">
      <w:bodyDiv w:val="1"/>
      <w:marLeft w:val="0"/>
      <w:marRight w:val="0"/>
      <w:marTop w:val="0"/>
      <w:marBottom w:val="0"/>
      <w:divBdr>
        <w:top w:val="none" w:sz="0" w:space="0" w:color="auto"/>
        <w:left w:val="none" w:sz="0" w:space="0" w:color="auto"/>
        <w:bottom w:val="none" w:sz="0" w:space="0" w:color="auto"/>
        <w:right w:val="none" w:sz="0" w:space="0" w:color="auto"/>
      </w:divBdr>
    </w:div>
    <w:div w:id="412508161">
      <w:bodyDiv w:val="1"/>
      <w:marLeft w:val="0"/>
      <w:marRight w:val="0"/>
      <w:marTop w:val="0"/>
      <w:marBottom w:val="0"/>
      <w:divBdr>
        <w:top w:val="none" w:sz="0" w:space="0" w:color="auto"/>
        <w:left w:val="none" w:sz="0" w:space="0" w:color="auto"/>
        <w:bottom w:val="none" w:sz="0" w:space="0" w:color="auto"/>
        <w:right w:val="none" w:sz="0" w:space="0" w:color="auto"/>
      </w:divBdr>
    </w:div>
    <w:div w:id="650137614">
      <w:bodyDiv w:val="1"/>
      <w:marLeft w:val="0"/>
      <w:marRight w:val="0"/>
      <w:marTop w:val="0"/>
      <w:marBottom w:val="0"/>
      <w:divBdr>
        <w:top w:val="none" w:sz="0" w:space="0" w:color="auto"/>
        <w:left w:val="none" w:sz="0" w:space="0" w:color="auto"/>
        <w:bottom w:val="none" w:sz="0" w:space="0" w:color="auto"/>
        <w:right w:val="none" w:sz="0" w:space="0" w:color="auto"/>
      </w:divBdr>
    </w:div>
    <w:div w:id="1105466267">
      <w:bodyDiv w:val="1"/>
      <w:marLeft w:val="0"/>
      <w:marRight w:val="0"/>
      <w:marTop w:val="0"/>
      <w:marBottom w:val="0"/>
      <w:divBdr>
        <w:top w:val="none" w:sz="0" w:space="0" w:color="auto"/>
        <w:left w:val="none" w:sz="0" w:space="0" w:color="auto"/>
        <w:bottom w:val="none" w:sz="0" w:space="0" w:color="auto"/>
        <w:right w:val="none" w:sz="0" w:space="0" w:color="auto"/>
      </w:divBdr>
    </w:div>
    <w:div w:id="1358582328">
      <w:bodyDiv w:val="1"/>
      <w:marLeft w:val="0"/>
      <w:marRight w:val="0"/>
      <w:marTop w:val="0"/>
      <w:marBottom w:val="0"/>
      <w:divBdr>
        <w:top w:val="none" w:sz="0" w:space="0" w:color="auto"/>
        <w:left w:val="none" w:sz="0" w:space="0" w:color="auto"/>
        <w:bottom w:val="none" w:sz="0" w:space="0" w:color="auto"/>
        <w:right w:val="none" w:sz="0" w:space="0" w:color="auto"/>
      </w:divBdr>
    </w:div>
    <w:div w:id="1385064248">
      <w:bodyDiv w:val="1"/>
      <w:marLeft w:val="0"/>
      <w:marRight w:val="0"/>
      <w:marTop w:val="0"/>
      <w:marBottom w:val="0"/>
      <w:divBdr>
        <w:top w:val="none" w:sz="0" w:space="0" w:color="auto"/>
        <w:left w:val="none" w:sz="0" w:space="0" w:color="auto"/>
        <w:bottom w:val="none" w:sz="0" w:space="0" w:color="auto"/>
        <w:right w:val="none" w:sz="0" w:space="0" w:color="auto"/>
      </w:divBdr>
    </w:div>
    <w:div w:id="1657950179">
      <w:bodyDiv w:val="1"/>
      <w:marLeft w:val="0"/>
      <w:marRight w:val="0"/>
      <w:marTop w:val="0"/>
      <w:marBottom w:val="0"/>
      <w:divBdr>
        <w:top w:val="none" w:sz="0" w:space="0" w:color="auto"/>
        <w:left w:val="none" w:sz="0" w:space="0" w:color="auto"/>
        <w:bottom w:val="none" w:sz="0" w:space="0" w:color="auto"/>
        <w:right w:val="none" w:sz="0" w:space="0" w:color="auto"/>
      </w:divBdr>
    </w:div>
    <w:div w:id="1714113680">
      <w:bodyDiv w:val="1"/>
      <w:marLeft w:val="0"/>
      <w:marRight w:val="0"/>
      <w:marTop w:val="0"/>
      <w:marBottom w:val="0"/>
      <w:divBdr>
        <w:top w:val="none" w:sz="0" w:space="0" w:color="auto"/>
        <w:left w:val="none" w:sz="0" w:space="0" w:color="auto"/>
        <w:bottom w:val="none" w:sz="0" w:space="0" w:color="auto"/>
        <w:right w:val="none" w:sz="0" w:space="0" w:color="auto"/>
      </w:divBdr>
    </w:div>
    <w:div w:id="187735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dehghan@shahed.ac.ir" TargetMode="Externa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a.beyraghdar@modares.ac.ir" TargetMode="External"/><Relationship Id="rId19" Type="http://schemas.openxmlformats.org/officeDocument/2006/relationships/image" Target="media/image7.jpe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mailto:a.beyraghdar@gmail.com"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oter" Target="footer3.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12725-6B7B-4226-B7D0-9F553F29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1</Pages>
  <Words>17345</Words>
  <Characters>98867</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Nikoocom</dc:creator>
  <cp:keywords/>
  <dc:description/>
  <cp:lastModifiedBy>Microsoft account</cp:lastModifiedBy>
  <cp:revision>188</cp:revision>
  <dcterms:created xsi:type="dcterms:W3CDTF">2025-05-15T08:00:00Z</dcterms:created>
  <dcterms:modified xsi:type="dcterms:W3CDTF">2025-11-21T06:00:00Z</dcterms:modified>
</cp:coreProperties>
</file>