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C16455" w14:textId="77777777" w:rsidR="002259C0" w:rsidRDefault="002259C0" w:rsidP="002259C0">
      <w:pPr>
        <w:pStyle w:val="NormalWeb"/>
        <w:widowControl/>
        <w:spacing w:before="100" w:after="100"/>
        <w:rPr>
          <w:rFonts w:ascii="Times New Roman" w:eastAsia="SimSun" w:hAnsi="Times New Roman"/>
          <w:b/>
          <w:bCs/>
        </w:rPr>
      </w:pPr>
      <w:r>
        <w:rPr>
          <w:rFonts w:ascii="Times New Roman" w:eastAsia="SimSun" w:hAnsi="Times New Roman"/>
          <w:b/>
          <w:bCs/>
        </w:rPr>
        <w:t>Appendix</w:t>
      </w:r>
    </w:p>
    <w:p w14:paraId="4132D9EF" w14:textId="77777777" w:rsidR="002259C0" w:rsidRDefault="002259C0" w:rsidP="002259C0">
      <w:pPr>
        <w:pStyle w:val="NormalWeb"/>
        <w:widowControl/>
        <w:spacing w:before="100" w:after="100"/>
        <w:jc w:val="center"/>
        <w:rPr>
          <w:rFonts w:ascii="Times New Roman" w:eastAsia="SimSun" w:hAnsi="Times New Roman"/>
          <w:b/>
          <w:bCs/>
        </w:rPr>
      </w:pPr>
      <w:r>
        <w:rPr>
          <w:rFonts w:ascii="Times New Roman" w:eastAsia="SimSun" w:hAnsi="Times New Roman"/>
          <w:b/>
          <w:bCs/>
        </w:rPr>
        <w:t xml:space="preserve">Table </w:t>
      </w:r>
      <w:r>
        <w:rPr>
          <w:rFonts w:ascii="Times New Roman" w:eastAsia="SimSun" w:hAnsi="Times New Roman" w:hint="eastAsia"/>
          <w:b/>
          <w:bCs/>
        </w:rPr>
        <w:t>A1</w:t>
      </w:r>
      <w:r>
        <w:rPr>
          <w:rFonts w:ascii="Times New Roman" w:eastAsia="SimSun" w:hAnsi="Times New Roman"/>
          <w:b/>
          <w:bCs/>
        </w:rPr>
        <w:t>:  Preliminary Sustainable Supply Chain Performance (SSCP) indicators</w:t>
      </w:r>
    </w:p>
    <w:tbl>
      <w:tblPr>
        <w:tblW w:w="16027" w:type="dxa"/>
        <w:tblInd w:w="-184" w:type="dxa"/>
        <w:tblLook w:val="04A0" w:firstRow="1" w:lastRow="0" w:firstColumn="1" w:lastColumn="0" w:noHBand="0" w:noVBand="1"/>
      </w:tblPr>
      <w:tblGrid>
        <w:gridCol w:w="1710"/>
        <w:gridCol w:w="1643"/>
        <w:gridCol w:w="3011"/>
        <w:gridCol w:w="9663"/>
      </w:tblGrid>
      <w:tr w:rsidR="002259C0" w14:paraId="0573D64F" w14:textId="77777777" w:rsidTr="00AE6100">
        <w:trPr>
          <w:trHeight w:val="277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6DF837C" w14:textId="77777777" w:rsidR="002259C0" w:rsidRDefault="002259C0" w:rsidP="00AE610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lang w:bidi="ar"/>
              </w:rPr>
              <w:t>Variable Category</w:t>
            </w: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7C407D5" w14:textId="77777777" w:rsidR="002259C0" w:rsidRDefault="002259C0" w:rsidP="00AE610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lang w:bidi="ar"/>
              </w:rPr>
              <w:t>Dimension Name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66D63C7" w14:textId="77777777" w:rsidR="002259C0" w:rsidRDefault="002259C0" w:rsidP="00AE610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lang w:bidi="ar"/>
              </w:rPr>
              <w:t>Dimension Description</w:t>
            </w:r>
          </w:p>
        </w:tc>
        <w:tc>
          <w:tcPr>
            <w:tcW w:w="9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D998442" w14:textId="77777777" w:rsidR="002259C0" w:rsidRDefault="002259C0" w:rsidP="00AE610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lang w:bidi="ar"/>
              </w:rPr>
              <w:t>Source (APA 7th)</w:t>
            </w:r>
          </w:p>
        </w:tc>
      </w:tr>
      <w:tr w:rsidR="002259C0" w14:paraId="14E605AC" w14:textId="77777777" w:rsidTr="00AE6100">
        <w:trPr>
          <w:trHeight w:val="277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7F151C4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Environmental Performance</w:t>
            </w: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FDAA778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GHG Emissions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2576336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Carbon emissions from supply chain activities and their measurement</w:t>
            </w:r>
          </w:p>
        </w:tc>
        <w:tc>
          <w:tcPr>
            <w:tcW w:w="9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D85E66E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Acquaye, A., Ibn-Mohammed, T., Genovese, A., Afrifa, G.A., Yamoah, F.A., &amp; Oppon, E. (2018). A quantitative model for environmentally sustainable supply chain performance measurement.</w:t>
            </w:r>
          </w:p>
        </w:tc>
      </w:tr>
      <w:tr w:rsidR="002259C0" w14:paraId="46FF5EDF" w14:textId="77777777" w:rsidTr="00AE6100">
        <w:trPr>
          <w:trHeight w:val="277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77446C3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Environmental Performance</w:t>
            </w: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2CB9849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Energy Usage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79DDC24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Effective management of energy consumption across operations</w:t>
            </w:r>
          </w:p>
        </w:tc>
        <w:tc>
          <w:tcPr>
            <w:tcW w:w="9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E13570C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Oubrahim, I., &amp; Sefiani, N. (2024). An integrated multi-criteria decision-making approach for sustainable supply chain performance evaluation.</w:t>
            </w:r>
          </w:p>
        </w:tc>
      </w:tr>
      <w:tr w:rsidR="002259C0" w14:paraId="54071B8A" w14:textId="77777777" w:rsidTr="00AE6100">
        <w:trPr>
          <w:trHeight w:val="277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DE7600F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Environmental Performance</w:t>
            </w: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05D117E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Waste Disposal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D74D3C8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Proper waste management and disposal practices</w:t>
            </w:r>
          </w:p>
        </w:tc>
        <w:tc>
          <w:tcPr>
            <w:tcW w:w="9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5ED84AA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Oubrahim, I., &amp; Sefiani, N. (2024). An integrated multi-criteria decision-making approach for sustainable supply chain performance evaluation.</w:t>
            </w:r>
          </w:p>
        </w:tc>
      </w:tr>
      <w:tr w:rsidR="002259C0" w14:paraId="38C9ECAA" w14:textId="77777777" w:rsidTr="00AE6100">
        <w:trPr>
          <w:trHeight w:val="277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FB8564C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Environmental Performance</w:t>
            </w: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DD3814B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Resource Conservation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613F25D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Efficient use of natural resources in production</w:t>
            </w:r>
          </w:p>
        </w:tc>
        <w:tc>
          <w:tcPr>
            <w:tcW w:w="9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645A4A4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Shibin, K.T., Dubey, R., Gunasekaran, A., Hazen, B., Roubaud, D., Gupta, S., &amp; Foropon, C. (2020). Examining sustainable supply chain management of SMEs using resource based view and institutional theory.</w:t>
            </w:r>
          </w:p>
        </w:tc>
      </w:tr>
      <w:tr w:rsidR="002259C0" w14:paraId="147D73FB" w14:textId="77777777" w:rsidTr="00AE6100">
        <w:trPr>
          <w:trHeight w:val="277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588FB5E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Environmental Performance</w:t>
            </w: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320152C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Environmental Innovation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0D91286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Development of environmentally friendly processes</w:t>
            </w:r>
          </w:p>
        </w:tc>
        <w:tc>
          <w:tcPr>
            <w:tcW w:w="9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2A87AD8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Li, L., Zhu, W., Chen, L., &amp; Liu, Y. (2024). Generative AI usage and sustainable supply chain performance: A practice-based view.</w:t>
            </w:r>
          </w:p>
        </w:tc>
      </w:tr>
      <w:tr w:rsidR="002259C0" w14:paraId="45563024" w14:textId="77777777" w:rsidTr="00AE6100">
        <w:trPr>
          <w:trHeight w:val="277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BD730EA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Environmental Performance</w:t>
            </w: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97C4B7C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Green Technology Adoption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068C304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Implementation of environmentally friendly technologies</w:t>
            </w:r>
          </w:p>
        </w:tc>
        <w:tc>
          <w:tcPr>
            <w:tcW w:w="9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E0E4ABE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Singh, R.K. (2024). Building sustainable supply chains: Role of supply chain flexibility in leveraging information system flexibility.</w:t>
            </w:r>
          </w:p>
        </w:tc>
      </w:tr>
      <w:tr w:rsidR="002259C0" w14:paraId="1708BA80" w14:textId="77777777" w:rsidTr="00AE6100">
        <w:trPr>
          <w:trHeight w:val="277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681BC1B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Environmental Performance</w:t>
            </w: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A1A2849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Environmental Compliance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8882F25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Meeting environmental regulations and standards</w:t>
            </w:r>
          </w:p>
        </w:tc>
        <w:tc>
          <w:tcPr>
            <w:tcW w:w="9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B8561E1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Panigrahi, S.S., Bahinipati, B.K., Govindan, K., &amp; Parhi, S. (2024). An advanced dual-layered framework for sustainable supply chain performance.</w:t>
            </w:r>
          </w:p>
        </w:tc>
      </w:tr>
      <w:tr w:rsidR="002259C0" w14:paraId="59C1D92B" w14:textId="77777777" w:rsidTr="00AE6100">
        <w:trPr>
          <w:trHeight w:val="277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4E77819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Social Performance</w:t>
            </w: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EF72860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Work Health &amp; Safety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AD4EE26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Ensuring workplace safety and employee health protection</w:t>
            </w:r>
          </w:p>
        </w:tc>
        <w:tc>
          <w:tcPr>
            <w:tcW w:w="9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5C10AA4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Oubrahim, I., &amp; Sefiani, N. (2024). An integrated multi-criteria decision-making approach for sustainable supply chain performance evaluation.</w:t>
            </w:r>
          </w:p>
        </w:tc>
      </w:tr>
      <w:tr w:rsidR="002259C0" w14:paraId="4C2200B1" w14:textId="77777777" w:rsidTr="00AE6100">
        <w:trPr>
          <w:trHeight w:val="277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CB52B2C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Social Performance</w:t>
            </w: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D462E0C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Employee Training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8614DF7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Personnel development and skill enhancement</w:t>
            </w:r>
          </w:p>
        </w:tc>
        <w:tc>
          <w:tcPr>
            <w:tcW w:w="9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7F8BAC5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Murad, M., &amp; Zou, S. (2024). Untangling the influence of green human capital on green supply chain management practices.</w:t>
            </w:r>
          </w:p>
        </w:tc>
      </w:tr>
      <w:tr w:rsidR="002259C0" w14:paraId="743E2332" w14:textId="77777777" w:rsidTr="00AE6100">
        <w:trPr>
          <w:trHeight w:val="277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F815A12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Social Performance</w:t>
            </w: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069413A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Social Compliance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0F81BFF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Adherence to social standards and regulations</w:t>
            </w:r>
          </w:p>
        </w:tc>
        <w:tc>
          <w:tcPr>
            <w:tcW w:w="9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956DBE1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Bahizire, G.M., Sun, H., &amp; Chen, T. (2024). Exploring the role of managerial green commitment in enhancing sustainability.</w:t>
            </w:r>
          </w:p>
        </w:tc>
      </w:tr>
      <w:tr w:rsidR="002259C0" w14:paraId="3CAC43F3" w14:textId="77777777" w:rsidTr="00AE6100">
        <w:trPr>
          <w:trHeight w:val="277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ED93AEA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lastRenderedPageBreak/>
              <w:t>Social Performance</w:t>
            </w: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EB5DF53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Community Engagement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2455575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Involvement and support of local communities</w:t>
            </w:r>
          </w:p>
        </w:tc>
        <w:tc>
          <w:tcPr>
            <w:tcW w:w="9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8EC4F56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Kumar, G., &amp; Subramanian, N. (2019). Sustainable supply chain performance, its practice and impact on barriers to collaboration.</w:t>
            </w:r>
          </w:p>
        </w:tc>
      </w:tr>
      <w:tr w:rsidR="002259C0" w14:paraId="1B4D348E" w14:textId="77777777" w:rsidTr="00AE6100">
        <w:trPr>
          <w:trHeight w:val="277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7B79379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Social Performance</w:t>
            </w: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8A16CC4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Employee Satisfaction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3D64C96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Worker wellbeing and job satisfaction levels</w:t>
            </w:r>
          </w:p>
        </w:tc>
        <w:tc>
          <w:tcPr>
            <w:tcW w:w="9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F44BE81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Javed, A., Basit, A., Ejaz, F., &amp; Hameed, A. (2024). The role of advanced technologies and supply chain collaboration.</w:t>
            </w:r>
          </w:p>
        </w:tc>
      </w:tr>
      <w:tr w:rsidR="002259C0" w14:paraId="3A5BD3B9" w14:textId="77777777" w:rsidTr="00AE6100">
        <w:trPr>
          <w:trHeight w:val="277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BE5EF51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Social Performance</w:t>
            </w: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F1AFE6C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Stakeholder Management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99F42CA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Effective engagement with various stakeholders</w:t>
            </w:r>
          </w:p>
        </w:tc>
        <w:tc>
          <w:tcPr>
            <w:tcW w:w="9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DD1F2C9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Tipu, S.A.A., &amp; Fantazy, K. (2024). Examining the relationships between big data analytics capability.</w:t>
            </w:r>
          </w:p>
        </w:tc>
      </w:tr>
      <w:tr w:rsidR="002259C0" w14:paraId="3A24299E" w14:textId="77777777" w:rsidTr="00AE6100">
        <w:trPr>
          <w:trHeight w:val="277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FD63DB7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Social Performance</w:t>
            </w: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90A89B3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Social Innovation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4514103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Development of socially beneficial practices</w:t>
            </w:r>
          </w:p>
        </w:tc>
        <w:tc>
          <w:tcPr>
            <w:tcW w:w="9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C37F7A3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Li, L., Zhu, W., Chen, L., &amp; Liu, Y. (2024). Generative AI usage and sustainable supply chain performance.</w:t>
            </w:r>
          </w:p>
        </w:tc>
      </w:tr>
      <w:tr w:rsidR="002259C0" w14:paraId="6F42F9EF" w14:textId="77777777" w:rsidTr="00AE6100">
        <w:trPr>
          <w:trHeight w:val="277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85D608D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Operational Performance</w:t>
            </w: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14DC602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Manufacturing Lead Time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FB20AD4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Production cycle time from start to completion</w:t>
            </w:r>
          </w:p>
        </w:tc>
        <w:tc>
          <w:tcPr>
            <w:tcW w:w="9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C562129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Oubrahim, I., &amp; Sefiani, N. (2024). An integrated multi-criteria decision-making approach for sustainable supply chain performance evaluation.</w:t>
            </w:r>
          </w:p>
        </w:tc>
      </w:tr>
      <w:tr w:rsidR="002259C0" w14:paraId="104DD699" w14:textId="77777777" w:rsidTr="00AE6100">
        <w:trPr>
          <w:trHeight w:val="277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77B3012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Operational Performance</w:t>
            </w: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BF01242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On-time Delivery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3F94139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Meeting delivery schedules and commitments</w:t>
            </w:r>
          </w:p>
        </w:tc>
        <w:tc>
          <w:tcPr>
            <w:tcW w:w="9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C47F9FB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Oubrahim, I., &amp; Sefiani, N. (2024). An integrated multi-criteria decision-making approach for sustainable supply chain performance evaluation.</w:t>
            </w:r>
          </w:p>
        </w:tc>
      </w:tr>
      <w:tr w:rsidR="002259C0" w14:paraId="3EA91F51" w14:textId="77777777" w:rsidTr="00AE6100">
        <w:trPr>
          <w:trHeight w:val="277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52E58D7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Operational Performance</w:t>
            </w: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E12FEDB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Product Quality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9C7EDBA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Conformance to quality specifications</w:t>
            </w:r>
          </w:p>
        </w:tc>
        <w:tc>
          <w:tcPr>
            <w:tcW w:w="9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5F7CE0F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Oubrahim, I., &amp; Sefiani, N. (2024). An integrated multi-criteria decision-making approach for sustainable supply chain performance evaluation.</w:t>
            </w:r>
          </w:p>
        </w:tc>
      </w:tr>
      <w:tr w:rsidR="002259C0" w14:paraId="02622F7A" w14:textId="77777777" w:rsidTr="00AE6100">
        <w:trPr>
          <w:trHeight w:val="277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92348A7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Operational Performance</w:t>
            </w: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9A733E4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Supply Chain Flexibility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E7E8A2A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Adaptability to changes in demand and supply</w:t>
            </w:r>
          </w:p>
        </w:tc>
        <w:tc>
          <w:tcPr>
            <w:tcW w:w="9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7877361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Singh, R.K. (2024). Building sustainable supply chains: Role of supply chain flexibility.</w:t>
            </w:r>
          </w:p>
        </w:tc>
      </w:tr>
      <w:tr w:rsidR="002259C0" w14:paraId="642865E6" w14:textId="77777777" w:rsidTr="00AE6100">
        <w:trPr>
          <w:trHeight w:val="277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BC409A1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Operational Performance</w:t>
            </w: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AB222B4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Process Innovation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EEA5396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Implementation of improved operational processes</w:t>
            </w:r>
          </w:p>
        </w:tc>
        <w:tc>
          <w:tcPr>
            <w:tcW w:w="9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E9563F5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Le, P.L., Nguyen, M.Q., &amp; Pham, H.T. (2024). The roles of supply chain integration, eco-design and digital transformation.</w:t>
            </w:r>
          </w:p>
        </w:tc>
      </w:tr>
      <w:tr w:rsidR="002259C0" w14:paraId="6A7FF35A" w14:textId="77777777" w:rsidTr="00AE6100">
        <w:trPr>
          <w:trHeight w:val="277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CDA15B9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Operational Performance</w:t>
            </w: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5804CFF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Resource Efficiency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616B6F7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Optimal use of available resources</w:t>
            </w:r>
          </w:p>
        </w:tc>
        <w:tc>
          <w:tcPr>
            <w:tcW w:w="9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07603E4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Wang, M., Chan, R.Y.K., Kumar, M., &amp; Tsolakis, N. (2024). Does Increasing Supply Chain Flexibility Contribute to the Enhancement.</w:t>
            </w:r>
          </w:p>
        </w:tc>
      </w:tr>
      <w:tr w:rsidR="002259C0" w14:paraId="1C988AA7" w14:textId="77777777" w:rsidTr="00AE6100">
        <w:trPr>
          <w:trHeight w:val="277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9A7C65F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Operational Performance</w:t>
            </w: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471FBF5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Technology Integration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3DBD0DA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Adoption and use of advanced technologies</w:t>
            </w:r>
          </w:p>
        </w:tc>
        <w:tc>
          <w:tcPr>
            <w:tcW w:w="9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2E815CA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Li, L., Zhu, W., Chen, L., &amp; Liu, Y. (2024). Generative AI usage and sustainable supply chain performance.</w:t>
            </w:r>
          </w:p>
        </w:tc>
      </w:tr>
      <w:tr w:rsidR="002259C0" w14:paraId="629515EB" w14:textId="77777777" w:rsidTr="00AE6100">
        <w:trPr>
          <w:trHeight w:val="277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30BD8DA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Economic Performance</w:t>
            </w: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88AE5CF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Return on Investment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39EFC09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Financial performance relative to investments</w:t>
            </w:r>
          </w:p>
        </w:tc>
        <w:tc>
          <w:tcPr>
            <w:tcW w:w="9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537A3D6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Oubrahim, I., &amp; Sefiani, N. (2024). An integrated multi-criteria decision-making approach for sustainable supply chain performance evaluation.</w:t>
            </w:r>
          </w:p>
        </w:tc>
      </w:tr>
      <w:tr w:rsidR="002259C0" w14:paraId="319639C2" w14:textId="77777777" w:rsidTr="00AE6100">
        <w:trPr>
          <w:trHeight w:val="277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C76B5A9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Economic Performance</w:t>
            </w: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123CD57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Asset Utilization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5895E3F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Efficiency in using organizational assets</w:t>
            </w:r>
          </w:p>
        </w:tc>
        <w:tc>
          <w:tcPr>
            <w:tcW w:w="9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1F14FFB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Oubrahim, I., &amp; Sefiani, N. (2024). An integrated multi-criteria decision-making approach for sustainable supply chain performance evaluation.</w:t>
            </w:r>
          </w:p>
        </w:tc>
      </w:tr>
      <w:tr w:rsidR="002259C0" w14:paraId="747A90CD" w14:textId="77777777" w:rsidTr="00AE6100">
        <w:trPr>
          <w:trHeight w:val="277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B329EB1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Economic Performance</w:t>
            </w: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FFED6A1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Market Performance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E7C8860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Market share and competitive position</w:t>
            </w:r>
          </w:p>
        </w:tc>
        <w:tc>
          <w:tcPr>
            <w:tcW w:w="9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A8892F5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Deng, Q., Huang, X., Zou, J., &amp; He, Y. (2024). Screening of sustainable supply chain performance evaluation indicators.</w:t>
            </w:r>
          </w:p>
        </w:tc>
      </w:tr>
      <w:tr w:rsidR="002259C0" w14:paraId="6DDCE995" w14:textId="77777777" w:rsidTr="00AE6100">
        <w:trPr>
          <w:trHeight w:val="277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D11F379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Economic Performance</w:t>
            </w: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4B62B1E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Cost Management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BA106A5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Effective control of operational costs</w:t>
            </w:r>
          </w:p>
        </w:tc>
        <w:tc>
          <w:tcPr>
            <w:tcW w:w="9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B88E599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Khan, S.A.R., Sheikh, A.A., Hassan, N.M., &amp; Yu, Z. (2024). Modeling the Intricate Association between Sustainable Service Quality.</w:t>
            </w:r>
          </w:p>
        </w:tc>
      </w:tr>
      <w:tr w:rsidR="002259C0" w14:paraId="1FAD8184" w14:textId="77777777" w:rsidTr="00AE6100">
        <w:trPr>
          <w:trHeight w:val="277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EF9F283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Economic Performance</w:t>
            </w: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5D96F51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Revenue Growth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1906D8F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Increase in sales and revenue</w:t>
            </w:r>
          </w:p>
        </w:tc>
        <w:tc>
          <w:tcPr>
            <w:tcW w:w="9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CC7FFCE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Jum'a, L., Zimon, D., Madzik, P., et al. (2024). Impact of big data technological and personal capabilities.</w:t>
            </w:r>
          </w:p>
        </w:tc>
      </w:tr>
      <w:tr w:rsidR="002259C0" w14:paraId="0E7CE76C" w14:textId="77777777" w:rsidTr="00AE6100">
        <w:trPr>
          <w:trHeight w:val="277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E4E6C35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lastRenderedPageBreak/>
              <w:t>Economic Performance</w:t>
            </w: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19A237F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Financial Stability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1506461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Long-term financial sustainability</w:t>
            </w:r>
          </w:p>
        </w:tc>
        <w:tc>
          <w:tcPr>
            <w:tcW w:w="9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4279B47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Yao, F., Yan, Y., Liu, L., &amp; Sun, J. (2024). Green design strategies for sustainable supply chain considering channel leadership.</w:t>
            </w:r>
          </w:p>
        </w:tc>
      </w:tr>
      <w:tr w:rsidR="002259C0" w14:paraId="436739CB" w14:textId="77777777" w:rsidTr="00AE6100">
        <w:trPr>
          <w:trHeight w:val="277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8C6D653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Economic Performance</w:t>
            </w: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F1921EB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Profitability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2370032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Overall profit generation and margins</w:t>
            </w:r>
          </w:p>
        </w:tc>
        <w:tc>
          <w:tcPr>
            <w:tcW w:w="9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30F7779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Panigrahi, S.S., Bahinipati, B.K., Govindan, K., &amp; Parhi, S. (2024). An advanced dual-layered framework for sustainable supply chain performance.</w:t>
            </w:r>
          </w:p>
        </w:tc>
      </w:tr>
    </w:tbl>
    <w:p w14:paraId="6A20FC9B" w14:textId="77777777" w:rsidR="002259C0" w:rsidRDefault="002259C0" w:rsidP="002259C0">
      <w:pPr>
        <w:pStyle w:val="NormalWeb"/>
        <w:widowControl/>
        <w:spacing w:before="100" w:after="100"/>
        <w:ind w:hanging="284"/>
        <w:jc w:val="center"/>
        <w:rPr>
          <w:rFonts w:ascii="Times New Roman" w:eastAsia="SimSun" w:hAnsi="Times New Roman"/>
          <w:b/>
          <w:bCs/>
        </w:rPr>
      </w:pPr>
      <w:r>
        <w:rPr>
          <w:rFonts w:ascii="Times New Roman" w:eastAsia="SimSun" w:hAnsi="Times New Roman"/>
          <w:b/>
          <w:bCs/>
        </w:rPr>
        <w:t>Table</w:t>
      </w:r>
      <w:r>
        <w:rPr>
          <w:rFonts w:ascii="Times New Roman" w:eastAsia="SimSun" w:hAnsi="Times New Roman" w:hint="eastAsia"/>
          <w:b/>
          <w:bCs/>
        </w:rPr>
        <w:t xml:space="preserve"> A2</w:t>
      </w:r>
      <w:r>
        <w:rPr>
          <w:rFonts w:ascii="Times New Roman" w:eastAsia="SimSun" w:hAnsi="Times New Roman"/>
          <w:b/>
          <w:bCs/>
        </w:rPr>
        <w:t>:  Higher Education Sustainable Supply Chain Performance (SSCP) indicators</w:t>
      </w:r>
    </w:p>
    <w:tbl>
      <w:tblPr>
        <w:tblW w:w="5000" w:type="pct"/>
        <w:tblInd w:w="-176" w:type="dxa"/>
        <w:tblLook w:val="04A0" w:firstRow="1" w:lastRow="0" w:firstColumn="1" w:lastColumn="0" w:noHBand="0" w:noVBand="1"/>
      </w:tblPr>
      <w:tblGrid>
        <w:gridCol w:w="1564"/>
        <w:gridCol w:w="1637"/>
        <w:gridCol w:w="4060"/>
        <w:gridCol w:w="6863"/>
      </w:tblGrid>
      <w:tr w:rsidR="002259C0" w14:paraId="60A72858" w14:textId="77777777" w:rsidTr="00AE6100">
        <w:trPr>
          <w:trHeight w:val="277"/>
        </w:trPr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E87BAAD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Original Supply Chain Dimension</w:t>
            </w:r>
          </w:p>
        </w:tc>
        <w:tc>
          <w:tcPr>
            <w:tcW w:w="5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81135B3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Higher Education Dimension</w:t>
            </w:r>
          </w:p>
        </w:tc>
        <w:tc>
          <w:tcPr>
            <w:tcW w:w="14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745C602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Higher Education Definition</w:t>
            </w:r>
          </w:p>
        </w:tc>
        <w:tc>
          <w:tcPr>
            <w:tcW w:w="2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AC9F41F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Source (APA 7th)</w:t>
            </w:r>
          </w:p>
        </w:tc>
      </w:tr>
      <w:tr w:rsidR="002259C0" w14:paraId="5E248EC4" w14:textId="77777777" w:rsidTr="00AE6100">
        <w:trPr>
          <w:trHeight w:val="277"/>
        </w:trPr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7C3A525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GHG Emissions</w:t>
            </w:r>
          </w:p>
        </w:tc>
        <w:tc>
          <w:tcPr>
            <w:tcW w:w="5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7A32280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Campus Carbon Footprint</w:t>
            </w:r>
          </w:p>
        </w:tc>
        <w:tc>
          <w:tcPr>
            <w:tcW w:w="14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86F9331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Measurement and reduction of greenhouse gas emissions from university operations and facilities</w:t>
            </w:r>
          </w:p>
        </w:tc>
        <w:tc>
          <w:tcPr>
            <w:tcW w:w="2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B6EA107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Martínez-Acosta, M., et al. (2023). The implementation of SDG12 in and from higher education institutions: universities as laboratories for generating sustainable cities.</w:t>
            </w:r>
          </w:p>
        </w:tc>
      </w:tr>
      <w:tr w:rsidR="002259C0" w14:paraId="792EF04C" w14:textId="77777777" w:rsidTr="00AE6100">
        <w:trPr>
          <w:trHeight w:val="277"/>
        </w:trPr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B85CD8B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Energy Usage</w:t>
            </w:r>
          </w:p>
        </w:tc>
        <w:tc>
          <w:tcPr>
            <w:tcW w:w="5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72B2D42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Educational Energy Efficiency</w:t>
            </w:r>
          </w:p>
        </w:tc>
        <w:tc>
          <w:tcPr>
            <w:tcW w:w="14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E73F5B2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Management of energy consumption in teaching and research facilities</w:t>
            </w:r>
          </w:p>
        </w:tc>
        <w:tc>
          <w:tcPr>
            <w:tcW w:w="2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1A59AC2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Martínez-Acosta, M., et al. (2023). The implementation of SDG12 in and from higher education institutions: universities as laboratories for generating sustainable cities.</w:t>
            </w:r>
          </w:p>
        </w:tc>
      </w:tr>
      <w:tr w:rsidR="002259C0" w14:paraId="0EE2E2DB" w14:textId="77777777" w:rsidTr="00AE6100">
        <w:trPr>
          <w:trHeight w:val="277"/>
        </w:trPr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8C57C23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Waste Disposal</w:t>
            </w:r>
          </w:p>
        </w:tc>
        <w:tc>
          <w:tcPr>
            <w:tcW w:w="5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B380D2D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Educational Waste Management</w:t>
            </w:r>
          </w:p>
        </w:tc>
        <w:tc>
          <w:tcPr>
            <w:tcW w:w="14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05E559B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Implementation of waste reduction and recycling programs in academic settings</w:t>
            </w:r>
          </w:p>
        </w:tc>
        <w:tc>
          <w:tcPr>
            <w:tcW w:w="2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E0708A2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Innella, C., Jorizzo, M., Pentassuglia R., &amp; Tronci C. (2023). Circular cities: Schools as a driver for the green transition process.</w:t>
            </w:r>
          </w:p>
        </w:tc>
      </w:tr>
      <w:tr w:rsidR="002259C0" w14:paraId="67810143" w14:textId="77777777" w:rsidTr="00AE6100">
        <w:trPr>
          <w:trHeight w:val="277"/>
        </w:trPr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125A149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Resource Conservation</w:t>
            </w:r>
          </w:p>
        </w:tc>
        <w:tc>
          <w:tcPr>
            <w:tcW w:w="5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BA92A11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Educational Resource Management</w:t>
            </w:r>
          </w:p>
        </w:tc>
        <w:tc>
          <w:tcPr>
            <w:tcW w:w="14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3BF78A8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Efficient use of educational resources including materials and equipment</w:t>
            </w:r>
          </w:p>
        </w:tc>
        <w:tc>
          <w:tcPr>
            <w:tcW w:w="2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384C4DD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Rosi M., &amp; Obrecht M. (2023). Sustainability Topics Integration in Supply Chain and Logistics Higher Education.</w:t>
            </w:r>
          </w:p>
        </w:tc>
      </w:tr>
      <w:tr w:rsidR="002259C0" w14:paraId="659BD025" w14:textId="77777777" w:rsidTr="00AE6100">
        <w:trPr>
          <w:trHeight w:val="277"/>
        </w:trPr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B1A6345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Environmental Innovation</w:t>
            </w:r>
          </w:p>
        </w:tc>
        <w:tc>
          <w:tcPr>
            <w:tcW w:w="5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E5F388B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Green Campus Initiatives</w:t>
            </w:r>
          </w:p>
        </w:tc>
        <w:tc>
          <w:tcPr>
            <w:tcW w:w="14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608E43E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Development of environmentally friendly campus practices and programs</w:t>
            </w:r>
          </w:p>
        </w:tc>
        <w:tc>
          <w:tcPr>
            <w:tcW w:w="2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E28FDC1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Garcia-Saravia Ortiz-de-Montellano C., et al. (2023). The CIRCULAR pathway: a new educational methodology.</w:t>
            </w:r>
          </w:p>
        </w:tc>
      </w:tr>
      <w:tr w:rsidR="002259C0" w14:paraId="69C5E472" w14:textId="77777777" w:rsidTr="00AE6100">
        <w:trPr>
          <w:trHeight w:val="277"/>
        </w:trPr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58CFF06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Green Technology Adoption</w:t>
            </w:r>
          </w:p>
        </w:tc>
        <w:tc>
          <w:tcPr>
            <w:tcW w:w="5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D204C04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Educational Green Technology</w:t>
            </w:r>
          </w:p>
        </w:tc>
        <w:tc>
          <w:tcPr>
            <w:tcW w:w="14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B111031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Implementation of environmentally sustainable technologies in teaching and research</w:t>
            </w:r>
          </w:p>
        </w:tc>
        <w:tc>
          <w:tcPr>
            <w:tcW w:w="2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8A7005D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Salinas-Navarro D.E., et al. (2024). Experiential Learning Labs for the Post-COVID-19 Pandemic Era.</w:t>
            </w:r>
          </w:p>
        </w:tc>
      </w:tr>
      <w:tr w:rsidR="002259C0" w14:paraId="734AAEA2" w14:textId="77777777" w:rsidTr="00AE6100">
        <w:trPr>
          <w:trHeight w:val="277"/>
        </w:trPr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7D9E27F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Environmental Compliance</w:t>
            </w:r>
          </w:p>
        </w:tc>
        <w:tc>
          <w:tcPr>
            <w:tcW w:w="5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CD3105C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Environmental Education Standards</w:t>
            </w:r>
          </w:p>
        </w:tc>
        <w:tc>
          <w:tcPr>
            <w:tcW w:w="14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8275451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Adherence to environmental regulations in educational operations</w:t>
            </w:r>
          </w:p>
        </w:tc>
        <w:tc>
          <w:tcPr>
            <w:tcW w:w="2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7DA786C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Stek K., et al. (2024). Rethinking purchasing and supply management education for sustainability.</w:t>
            </w:r>
          </w:p>
        </w:tc>
      </w:tr>
      <w:tr w:rsidR="002259C0" w14:paraId="6946659A" w14:textId="77777777" w:rsidTr="00AE6100">
        <w:trPr>
          <w:trHeight w:val="277"/>
        </w:trPr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31A702B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lastRenderedPageBreak/>
              <w:t>Work Health &amp; Safety</w:t>
            </w:r>
          </w:p>
        </w:tc>
        <w:tc>
          <w:tcPr>
            <w:tcW w:w="5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84DEA13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Campus Safety Standards</w:t>
            </w:r>
          </w:p>
        </w:tc>
        <w:tc>
          <w:tcPr>
            <w:tcW w:w="14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019CD8A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Implementation of health and safety measures in academic environments</w:t>
            </w:r>
          </w:p>
        </w:tc>
        <w:tc>
          <w:tcPr>
            <w:tcW w:w="2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8EF2409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Jin X., et al. (2024). Challenges of sustainable public procurement in Chinese higher education institutions.</w:t>
            </w:r>
          </w:p>
        </w:tc>
      </w:tr>
      <w:tr w:rsidR="002259C0" w14:paraId="7B40B8FF" w14:textId="77777777" w:rsidTr="00AE6100">
        <w:trPr>
          <w:trHeight w:val="277"/>
        </w:trPr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CB4BA35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Employee Training</w:t>
            </w:r>
          </w:p>
        </w:tc>
        <w:tc>
          <w:tcPr>
            <w:tcW w:w="5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C58675C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Faculty Development Programs</w:t>
            </w:r>
          </w:p>
        </w:tc>
        <w:tc>
          <w:tcPr>
            <w:tcW w:w="14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68201AC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Professional development and training initiatives for academic staff</w:t>
            </w:r>
          </w:p>
        </w:tc>
        <w:tc>
          <w:tcPr>
            <w:tcW w:w="2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48707BC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McPhail R., et al. (2024). Indigenising a business curriculum in Australian higher education.</w:t>
            </w:r>
          </w:p>
        </w:tc>
      </w:tr>
      <w:tr w:rsidR="002259C0" w14:paraId="5838A218" w14:textId="77777777" w:rsidTr="00AE6100">
        <w:trPr>
          <w:trHeight w:val="277"/>
        </w:trPr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D05F8A8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Social Compliance</w:t>
            </w:r>
          </w:p>
        </w:tc>
        <w:tc>
          <w:tcPr>
            <w:tcW w:w="5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9214621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Educational Social Standards</w:t>
            </w:r>
          </w:p>
        </w:tc>
        <w:tc>
          <w:tcPr>
            <w:tcW w:w="14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C8C5EFE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Compliance with educational and social regulations</w:t>
            </w:r>
          </w:p>
        </w:tc>
        <w:tc>
          <w:tcPr>
            <w:tcW w:w="2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0250B8A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Salinas-Navarro D.E., et al. (2024). Integrating Circular Supply Chains into Experiential Learning.</w:t>
            </w:r>
          </w:p>
        </w:tc>
      </w:tr>
      <w:tr w:rsidR="002259C0" w14:paraId="6A493906" w14:textId="77777777" w:rsidTr="00AE6100">
        <w:trPr>
          <w:trHeight w:val="277"/>
        </w:trPr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FAF6164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Community Engagement</w:t>
            </w:r>
          </w:p>
        </w:tc>
        <w:tc>
          <w:tcPr>
            <w:tcW w:w="5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637F7AB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University-Community Relations</w:t>
            </w:r>
          </w:p>
        </w:tc>
        <w:tc>
          <w:tcPr>
            <w:tcW w:w="14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C2539C2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Engagement with local communities through educational initiatives</w:t>
            </w:r>
          </w:p>
        </w:tc>
        <w:tc>
          <w:tcPr>
            <w:tcW w:w="2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B258AC2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Campbell C.G. (2023). Values-based institutional food procurement programs: A narrative review.</w:t>
            </w:r>
          </w:p>
        </w:tc>
      </w:tr>
      <w:tr w:rsidR="002259C0" w14:paraId="6FE18208" w14:textId="77777777" w:rsidTr="00AE6100">
        <w:trPr>
          <w:trHeight w:val="277"/>
        </w:trPr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61D8176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Employee Satisfaction</w:t>
            </w:r>
          </w:p>
        </w:tc>
        <w:tc>
          <w:tcPr>
            <w:tcW w:w="5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4FC3D06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University Staff Satisfaction</w:t>
            </w:r>
          </w:p>
        </w:tc>
        <w:tc>
          <w:tcPr>
            <w:tcW w:w="14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BBDC8A6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Measurement of faculty and staff satisfaction with work environment</w:t>
            </w:r>
          </w:p>
        </w:tc>
        <w:tc>
          <w:tcPr>
            <w:tcW w:w="2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AC76E5C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Sutawaidjaya A.H., et al. (2024). Building Sustainability in Higher Education through Green Management and Innovation.</w:t>
            </w:r>
          </w:p>
        </w:tc>
      </w:tr>
      <w:tr w:rsidR="002259C0" w14:paraId="2079070A" w14:textId="77777777" w:rsidTr="00AE6100">
        <w:trPr>
          <w:trHeight w:val="277"/>
        </w:trPr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946591A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Stakeholder Management</w:t>
            </w:r>
          </w:p>
        </w:tc>
        <w:tc>
          <w:tcPr>
            <w:tcW w:w="5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AD51F5F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Educational Stakeholder Relations</w:t>
            </w:r>
          </w:p>
        </w:tc>
        <w:tc>
          <w:tcPr>
            <w:tcW w:w="14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D21730D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Management of relationships with students, staff, and external partners</w:t>
            </w:r>
          </w:p>
        </w:tc>
        <w:tc>
          <w:tcPr>
            <w:tcW w:w="2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7479702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Sawalha I.H., &amp; Anchor J.R. (2024). Interpretations of business continuity management in the light of COVID-19.</w:t>
            </w:r>
          </w:p>
        </w:tc>
      </w:tr>
      <w:tr w:rsidR="002259C0" w14:paraId="513FF86A" w14:textId="77777777" w:rsidTr="00AE6100">
        <w:trPr>
          <w:trHeight w:val="277"/>
        </w:trPr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E0FBFE8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Social Innovation</w:t>
            </w:r>
          </w:p>
        </w:tc>
        <w:tc>
          <w:tcPr>
            <w:tcW w:w="5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D4206BE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Educational Innovation</w:t>
            </w:r>
          </w:p>
        </w:tc>
        <w:tc>
          <w:tcPr>
            <w:tcW w:w="14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9096A3D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Development of innovative teaching and learning practices</w:t>
            </w:r>
          </w:p>
        </w:tc>
        <w:tc>
          <w:tcPr>
            <w:tcW w:w="2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93D5703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Fodor S., et al. (2021). Competence-oriented, data-driven approach for sustainable development in university-level education.</w:t>
            </w:r>
          </w:p>
        </w:tc>
      </w:tr>
      <w:tr w:rsidR="002259C0" w14:paraId="4D7DF3C2" w14:textId="77777777" w:rsidTr="00AE6100">
        <w:trPr>
          <w:trHeight w:val="277"/>
        </w:trPr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E29CAAF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Manufacturing Lead Time</w:t>
            </w:r>
          </w:p>
        </w:tc>
        <w:tc>
          <w:tcPr>
            <w:tcW w:w="5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4515CB0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Program Delivery Efficiency</w:t>
            </w:r>
          </w:p>
        </w:tc>
        <w:tc>
          <w:tcPr>
            <w:tcW w:w="14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05D9FDD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Time efficiency in academic program delivery and completion</w:t>
            </w:r>
          </w:p>
        </w:tc>
        <w:tc>
          <w:tcPr>
            <w:tcW w:w="2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2CA7F2F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Salinas-Navarro D.E., et al. (2022). Experiential Learning for Sustainability in Supply Chain Management Education.</w:t>
            </w:r>
          </w:p>
        </w:tc>
      </w:tr>
      <w:tr w:rsidR="002259C0" w14:paraId="591259A7" w14:textId="77777777" w:rsidTr="00AE6100">
        <w:trPr>
          <w:trHeight w:val="277"/>
        </w:trPr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3FD3EDA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On-time Delivery</w:t>
            </w:r>
          </w:p>
        </w:tc>
        <w:tc>
          <w:tcPr>
            <w:tcW w:w="5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561282E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Education Service Timeliness</w:t>
            </w:r>
          </w:p>
        </w:tc>
        <w:tc>
          <w:tcPr>
            <w:tcW w:w="14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B4F57A3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Meeting education schedules and program timelines</w:t>
            </w:r>
          </w:p>
        </w:tc>
        <w:tc>
          <w:tcPr>
            <w:tcW w:w="2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DE1C368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Tominaga L.K.G., et al. (2020). Critical analysis of engineering education focused on sustainability in supply chain management.</w:t>
            </w:r>
          </w:p>
        </w:tc>
      </w:tr>
      <w:tr w:rsidR="002259C0" w14:paraId="7A5033AD" w14:textId="77777777" w:rsidTr="00AE6100">
        <w:trPr>
          <w:trHeight w:val="277"/>
        </w:trPr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00632A9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Product Quality</w:t>
            </w:r>
          </w:p>
        </w:tc>
        <w:tc>
          <w:tcPr>
            <w:tcW w:w="5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8D252CF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Educational Service Quality</w:t>
            </w:r>
          </w:p>
        </w:tc>
        <w:tc>
          <w:tcPr>
            <w:tcW w:w="14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7BFD21A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Maintaining standards in teaching and learning delivery</w:t>
            </w:r>
          </w:p>
        </w:tc>
        <w:tc>
          <w:tcPr>
            <w:tcW w:w="2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4EBEF82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Tasdemir C., &amp; Gazo R. (2020). Integrating sustainability into higher education curriculum.</w:t>
            </w:r>
          </w:p>
        </w:tc>
      </w:tr>
      <w:tr w:rsidR="002259C0" w14:paraId="4B08C556" w14:textId="77777777" w:rsidTr="00AE6100">
        <w:trPr>
          <w:trHeight w:val="277"/>
        </w:trPr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1DB71CD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Supply Chain Flexibility</w:t>
            </w:r>
          </w:p>
        </w:tc>
        <w:tc>
          <w:tcPr>
            <w:tcW w:w="5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AA9AC5A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Eductional Program Adaptability</w:t>
            </w:r>
          </w:p>
        </w:tc>
        <w:tc>
          <w:tcPr>
            <w:tcW w:w="14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A45BB4F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Flexibility in educational program delivery and structure</w:t>
            </w:r>
          </w:p>
        </w:tc>
        <w:tc>
          <w:tcPr>
            <w:tcW w:w="2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02F8B88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Larsson J., &amp; Holmberg J. (2018). Learning while creating value for sustainability transitions.</w:t>
            </w:r>
          </w:p>
        </w:tc>
      </w:tr>
      <w:tr w:rsidR="002259C0" w14:paraId="2E27538F" w14:textId="77777777" w:rsidTr="00AE6100">
        <w:trPr>
          <w:trHeight w:val="277"/>
        </w:trPr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A87416C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lastRenderedPageBreak/>
              <w:t>Process Innovation</w:t>
            </w:r>
          </w:p>
        </w:tc>
        <w:tc>
          <w:tcPr>
            <w:tcW w:w="5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1E58329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Educational Process Improvement</w:t>
            </w:r>
          </w:p>
        </w:tc>
        <w:tc>
          <w:tcPr>
            <w:tcW w:w="14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CE574D6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Enhancement of teaching and administrative processes</w:t>
            </w:r>
          </w:p>
        </w:tc>
        <w:tc>
          <w:tcPr>
            <w:tcW w:w="2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9C037BF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de Andrade Guerra J.B.S.O., et al. (2018). A proposal of a Balanced Scorecard for an environmental education program.</w:t>
            </w:r>
          </w:p>
        </w:tc>
      </w:tr>
      <w:tr w:rsidR="002259C0" w14:paraId="7C7F3390" w14:textId="77777777" w:rsidTr="00AE6100">
        <w:trPr>
          <w:trHeight w:val="277"/>
        </w:trPr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5BD5F21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Resource Efficiency</w:t>
            </w:r>
          </w:p>
        </w:tc>
        <w:tc>
          <w:tcPr>
            <w:tcW w:w="5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CF74816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Educational Resource Optimization</w:t>
            </w:r>
          </w:p>
        </w:tc>
        <w:tc>
          <w:tcPr>
            <w:tcW w:w="14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5953853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Optimal use of academic resources and facilities</w:t>
            </w:r>
          </w:p>
        </w:tc>
        <w:tc>
          <w:tcPr>
            <w:tcW w:w="2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89EBB2A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Hugé J., et al. (2018). Maturation of sustainability in engineering faculties.</w:t>
            </w:r>
          </w:p>
        </w:tc>
      </w:tr>
      <w:tr w:rsidR="002259C0" w14:paraId="4574D86D" w14:textId="77777777" w:rsidTr="00AE6100">
        <w:trPr>
          <w:trHeight w:val="277"/>
        </w:trPr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6EA1E83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Technology Integration</w:t>
            </w:r>
          </w:p>
        </w:tc>
        <w:tc>
          <w:tcPr>
            <w:tcW w:w="5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EA16387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Educational Technology Adoption</w:t>
            </w:r>
          </w:p>
        </w:tc>
        <w:tc>
          <w:tcPr>
            <w:tcW w:w="14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0740704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Integration of technology in teaching and learning processes</w:t>
            </w:r>
          </w:p>
        </w:tc>
        <w:tc>
          <w:tcPr>
            <w:tcW w:w="2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E3DD72F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Kapitulčinová D., et al. (2018). Towards integrated sustainability in higher education.</w:t>
            </w:r>
          </w:p>
        </w:tc>
      </w:tr>
      <w:tr w:rsidR="002259C0" w14:paraId="6724FCF1" w14:textId="77777777" w:rsidTr="00AE6100">
        <w:trPr>
          <w:trHeight w:val="277"/>
        </w:trPr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E9FA9D6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Return on Investment</w:t>
            </w:r>
          </w:p>
        </w:tc>
        <w:tc>
          <w:tcPr>
            <w:tcW w:w="5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E434139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Educational Investment Returns</w:t>
            </w:r>
          </w:p>
        </w:tc>
        <w:tc>
          <w:tcPr>
            <w:tcW w:w="14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529F050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Financial returns on investments in educational programs</w:t>
            </w:r>
          </w:p>
        </w:tc>
        <w:tc>
          <w:tcPr>
            <w:tcW w:w="2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4F50747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Basu G., et al. (2016). Education supply chain management model to achieve sustainability in private Universities.</w:t>
            </w:r>
          </w:p>
        </w:tc>
      </w:tr>
      <w:tr w:rsidR="002259C0" w14:paraId="6EC725A6" w14:textId="77777777" w:rsidTr="00AE6100">
        <w:trPr>
          <w:trHeight w:val="277"/>
        </w:trPr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10894B4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Asset Utilization</w:t>
            </w:r>
          </w:p>
        </w:tc>
        <w:tc>
          <w:tcPr>
            <w:tcW w:w="5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13D6721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Education Asset Efficiency</w:t>
            </w:r>
          </w:p>
        </w:tc>
        <w:tc>
          <w:tcPr>
            <w:tcW w:w="14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BAA1721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Efficient use of educational facilities and resources</w:t>
            </w:r>
          </w:p>
        </w:tc>
        <w:tc>
          <w:tcPr>
            <w:tcW w:w="2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7464B64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Purnomo M.R.A., et al. (2020). Sustainable supply chain management framework in higher education laboratory.</w:t>
            </w:r>
          </w:p>
        </w:tc>
      </w:tr>
      <w:tr w:rsidR="002259C0" w14:paraId="2BEA41A3" w14:textId="77777777" w:rsidTr="00AE6100">
        <w:trPr>
          <w:trHeight w:val="277"/>
        </w:trPr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8FC47D7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Market Performance</w:t>
            </w:r>
          </w:p>
        </w:tc>
        <w:tc>
          <w:tcPr>
            <w:tcW w:w="5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15CEABC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Educational Market Performance</w:t>
            </w:r>
          </w:p>
        </w:tc>
        <w:tc>
          <w:tcPr>
            <w:tcW w:w="14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4A5E9CA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Institution's competitive position in education sector</w:t>
            </w:r>
          </w:p>
        </w:tc>
        <w:tc>
          <w:tcPr>
            <w:tcW w:w="2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C06CCC3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Al Kaabi B.R., &amp; Jowmer B. (2018). The use of sustainable balanced scorecard for strategic planning.</w:t>
            </w:r>
          </w:p>
        </w:tc>
      </w:tr>
      <w:tr w:rsidR="002259C0" w14:paraId="74C5136B" w14:textId="77777777" w:rsidTr="00AE6100">
        <w:trPr>
          <w:trHeight w:val="277"/>
        </w:trPr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4E4DA2A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Cost Management</w:t>
            </w:r>
          </w:p>
        </w:tc>
        <w:tc>
          <w:tcPr>
            <w:tcW w:w="5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A924FD4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Education Opertional Cost Control</w:t>
            </w:r>
          </w:p>
        </w:tc>
        <w:tc>
          <w:tcPr>
            <w:tcW w:w="14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A0D584D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Management of educational operational costs</w:t>
            </w:r>
          </w:p>
        </w:tc>
        <w:tc>
          <w:tcPr>
            <w:tcW w:w="2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D01451C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Jauhar S.K., et al. (2018). Performance measurement of an Indian higher education institute.</w:t>
            </w:r>
          </w:p>
        </w:tc>
      </w:tr>
      <w:tr w:rsidR="002259C0" w14:paraId="07A7312B" w14:textId="77777777" w:rsidTr="00AE6100">
        <w:trPr>
          <w:trHeight w:val="277"/>
        </w:trPr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786DE51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Revenue Growth</w:t>
            </w:r>
          </w:p>
        </w:tc>
        <w:tc>
          <w:tcPr>
            <w:tcW w:w="5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C0B9960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Educational Program Growth</w:t>
            </w:r>
          </w:p>
        </w:tc>
        <w:tc>
          <w:tcPr>
            <w:tcW w:w="14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407CA73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Curriculum setup matches market demand well</w:t>
            </w:r>
          </w:p>
        </w:tc>
        <w:tc>
          <w:tcPr>
            <w:tcW w:w="2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9EE57B3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Govindaraju B., et al. (2018). Factors that contribute to the achievement of sustainability in private universities.</w:t>
            </w:r>
          </w:p>
        </w:tc>
      </w:tr>
      <w:tr w:rsidR="002259C0" w14:paraId="51DB54E0" w14:textId="77777777" w:rsidTr="00AE6100">
        <w:trPr>
          <w:trHeight w:val="277"/>
        </w:trPr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415E882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Financial Stability</w:t>
            </w:r>
          </w:p>
        </w:tc>
        <w:tc>
          <w:tcPr>
            <w:tcW w:w="5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7858B4F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Academic Financial Sustainability</w:t>
            </w:r>
          </w:p>
        </w:tc>
        <w:tc>
          <w:tcPr>
            <w:tcW w:w="14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93E257F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Long-term financial sustainability of educational programs</w:t>
            </w:r>
          </w:p>
        </w:tc>
        <w:tc>
          <w:tcPr>
            <w:tcW w:w="2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0316423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Bryan T.W., &amp; Middlecamp C.H. (2017). Learning through Eating: Bringing Campus Dining Operations.</w:t>
            </w:r>
          </w:p>
        </w:tc>
      </w:tr>
      <w:tr w:rsidR="002259C0" w14:paraId="4181261B" w14:textId="77777777" w:rsidTr="00AE6100">
        <w:trPr>
          <w:trHeight w:val="277"/>
        </w:trPr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653FE1F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Profitability</w:t>
            </w:r>
          </w:p>
        </w:tc>
        <w:tc>
          <w:tcPr>
            <w:tcW w:w="5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F48E8EB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Educational Value Creation</w:t>
            </w:r>
          </w:p>
        </w:tc>
        <w:tc>
          <w:tcPr>
            <w:tcW w:w="14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B1C4A4C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Creation of educational and financial value</w:t>
            </w:r>
          </w:p>
        </w:tc>
        <w:tc>
          <w:tcPr>
            <w:tcW w:w="2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75B3807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Govindaraju B., et al. (2018). Factors that contribute to the achievement of sustainability in private universities.</w:t>
            </w:r>
          </w:p>
        </w:tc>
      </w:tr>
    </w:tbl>
    <w:p w14:paraId="129FB12E" w14:textId="77777777" w:rsidR="002259C0" w:rsidRDefault="002259C0" w:rsidP="002259C0">
      <w:pPr>
        <w:pStyle w:val="NormalWeb"/>
        <w:widowControl/>
        <w:spacing w:before="100" w:after="100"/>
        <w:ind w:left="-284"/>
        <w:jc w:val="center"/>
        <w:rPr>
          <w:rFonts w:ascii="Times New Roman" w:eastAsia="SimSun" w:hAnsi="Times New Roman"/>
          <w:b/>
          <w:bCs/>
        </w:rPr>
      </w:pPr>
      <w:r>
        <w:rPr>
          <w:rFonts w:ascii="Times New Roman" w:eastAsia="SimSun" w:hAnsi="Times New Roman"/>
          <w:b/>
          <w:bCs/>
        </w:rPr>
        <w:t xml:space="preserve">Table </w:t>
      </w:r>
      <w:r>
        <w:rPr>
          <w:rFonts w:ascii="Times New Roman" w:eastAsia="SimSun" w:hAnsi="Times New Roman" w:hint="eastAsia"/>
          <w:b/>
          <w:bCs/>
        </w:rPr>
        <w:t>A3</w:t>
      </w:r>
      <w:r>
        <w:rPr>
          <w:rFonts w:ascii="Times New Roman" w:eastAsia="SimSun" w:hAnsi="Times New Roman"/>
          <w:b/>
          <w:bCs/>
        </w:rPr>
        <w:t>:  Items for questionnaire</w:t>
      </w:r>
    </w:p>
    <w:tbl>
      <w:tblPr>
        <w:tblW w:w="15026" w:type="dxa"/>
        <w:tblInd w:w="-176" w:type="dxa"/>
        <w:tblLook w:val="04A0" w:firstRow="1" w:lastRow="0" w:firstColumn="1" w:lastColumn="0" w:noHBand="0" w:noVBand="1"/>
      </w:tblPr>
      <w:tblGrid>
        <w:gridCol w:w="15026"/>
      </w:tblGrid>
      <w:tr w:rsidR="002259C0" w14:paraId="6CA081D1" w14:textId="77777777" w:rsidTr="00AE6100">
        <w:trPr>
          <w:trHeight w:val="278"/>
        </w:trPr>
        <w:tc>
          <w:tcPr>
            <w:tcW w:w="15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5CDD3F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lang w:bidi="ar"/>
              </w:rPr>
              <w:lastRenderedPageBreak/>
              <w:t>Environmental Performance Questions:</w:t>
            </w:r>
          </w:p>
        </w:tc>
      </w:tr>
      <w:tr w:rsidR="002259C0" w14:paraId="1302001F" w14:textId="77777777" w:rsidTr="00AE6100">
        <w:trPr>
          <w:trHeight w:val="555"/>
        </w:trPr>
        <w:tc>
          <w:tcPr>
            <w:tcW w:w="15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A11726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Our institution effectively measures and reduces its carbon emissions (e.g., greenhouse gas monitoring systems, annual emission reduction targets, energy efficiency renovation projects)</w:t>
            </w:r>
          </w:p>
        </w:tc>
      </w:tr>
      <w:tr w:rsidR="002259C0" w14:paraId="6D3A183F" w14:textId="77777777" w:rsidTr="00AE6100">
        <w:trPr>
          <w:trHeight w:val="555"/>
        </w:trPr>
        <w:tc>
          <w:tcPr>
            <w:tcW w:w="15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CB6DA4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Our institution actively monitors and manages energy consumption in all facilities (e.g., smart building management systems, energy-efficient equipment usage, real-time energy consumption monitoring)</w:t>
            </w:r>
          </w:p>
        </w:tc>
      </w:tr>
      <w:tr w:rsidR="002259C0" w14:paraId="556C07DD" w14:textId="77777777" w:rsidTr="00AE6100">
        <w:trPr>
          <w:trHeight w:val="555"/>
        </w:trPr>
        <w:tc>
          <w:tcPr>
            <w:tcW w:w="15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C129C3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Our institution has implemented effective waste reduction and recycling programs (e.g., campus waste sorting, laboratory waste treatment, electronic waste recycling)</w:t>
            </w:r>
          </w:p>
        </w:tc>
      </w:tr>
      <w:tr w:rsidR="002259C0" w14:paraId="59B0D2DF" w14:textId="77777777" w:rsidTr="00AE6100">
        <w:trPr>
          <w:trHeight w:val="555"/>
        </w:trPr>
        <w:tc>
          <w:tcPr>
            <w:tcW w:w="15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7683F3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Our institution efficiently manages and conserves educational resources (e.g., digital teaching resources, shared laboratory equipment platforms, integrated library resources)</w:t>
            </w:r>
          </w:p>
        </w:tc>
      </w:tr>
      <w:tr w:rsidR="002259C0" w14:paraId="02963D76" w14:textId="77777777" w:rsidTr="00AE6100">
        <w:trPr>
          <w:trHeight w:val="555"/>
        </w:trPr>
        <w:tc>
          <w:tcPr>
            <w:tcW w:w="15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96ADCB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Our institution actively implements environmentally friendly campus practices (e.g., green building renovations, renewable energy usage, water conservation projects)</w:t>
            </w:r>
          </w:p>
        </w:tc>
      </w:tr>
      <w:tr w:rsidR="002259C0" w14:paraId="6B869979" w14:textId="77777777" w:rsidTr="00AE6100">
        <w:trPr>
          <w:trHeight w:val="555"/>
        </w:trPr>
        <w:tc>
          <w:tcPr>
            <w:tcW w:w="15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C07CF5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Our institution adopts sustainable technologies in teaching and research activities (e.g., distance learning platforms, paperless office systems, smart classroom construction)</w:t>
            </w:r>
          </w:p>
        </w:tc>
      </w:tr>
      <w:tr w:rsidR="002259C0" w14:paraId="028B05B0" w14:textId="77777777" w:rsidTr="00AE6100">
        <w:trPr>
          <w:trHeight w:val="555"/>
        </w:trPr>
        <w:tc>
          <w:tcPr>
            <w:tcW w:w="15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BA98F7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Our institution adheres to environmental regulations in all operations (e.g., environmental impact assessments, pollution emission standards compliance, environmental facility maintenance)</w:t>
            </w:r>
          </w:p>
        </w:tc>
      </w:tr>
      <w:tr w:rsidR="002259C0" w14:paraId="239395B1" w14:textId="77777777" w:rsidTr="00AE6100">
        <w:trPr>
          <w:trHeight w:val="278"/>
        </w:trPr>
        <w:tc>
          <w:tcPr>
            <w:tcW w:w="15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65EF21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Other Comments about environmental performance:</w:t>
            </w:r>
          </w:p>
        </w:tc>
      </w:tr>
      <w:tr w:rsidR="002259C0" w14:paraId="5B0EC6F6" w14:textId="77777777" w:rsidTr="00AE6100">
        <w:trPr>
          <w:trHeight w:val="278"/>
        </w:trPr>
        <w:tc>
          <w:tcPr>
            <w:tcW w:w="15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E26377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lang w:bidi="ar"/>
              </w:rPr>
              <w:t>Social Performance Questions:</w:t>
            </w:r>
          </w:p>
        </w:tc>
      </w:tr>
      <w:tr w:rsidR="002259C0" w14:paraId="012390C1" w14:textId="77777777" w:rsidTr="00AE6100">
        <w:trPr>
          <w:trHeight w:val="555"/>
        </w:trPr>
        <w:tc>
          <w:tcPr>
            <w:tcW w:w="15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F3B996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Our institution maintains high standards of campus safety and health protection (e.g., safety management systems, epidemic prevention measures, mental health services)</w:t>
            </w:r>
          </w:p>
        </w:tc>
      </w:tr>
      <w:tr w:rsidR="002259C0" w14:paraId="3BC514CA" w14:textId="77777777" w:rsidTr="00AE6100">
        <w:trPr>
          <w:trHeight w:val="555"/>
        </w:trPr>
        <w:tc>
          <w:tcPr>
            <w:tcW w:w="15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74E6BF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Our institution provides comprehensive professional development opportunities for academic staff (e.g., teacher training programs, academic exchange projects, research capacity enhancement)</w:t>
            </w:r>
          </w:p>
        </w:tc>
      </w:tr>
      <w:tr w:rsidR="002259C0" w14:paraId="39A3B5D6" w14:textId="77777777" w:rsidTr="00AE6100">
        <w:trPr>
          <w:trHeight w:val="555"/>
        </w:trPr>
        <w:tc>
          <w:tcPr>
            <w:tcW w:w="15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BB61CD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Our institution effectively complies with educational and social regulations (e.g., education policy implementation, academic norm compliance, faculty professional ethics)</w:t>
            </w:r>
          </w:p>
        </w:tc>
      </w:tr>
      <w:tr w:rsidR="002259C0" w14:paraId="4EABBFDC" w14:textId="77777777" w:rsidTr="00AE6100">
        <w:trPr>
          <w:trHeight w:val="555"/>
        </w:trPr>
        <w:tc>
          <w:tcPr>
            <w:tcW w:w="15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83ADB4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Our institution actively engages with and contributes to local communities (e.g., community service projects, industry-university collaboration, cultural outreach activities)</w:t>
            </w:r>
          </w:p>
        </w:tc>
      </w:tr>
      <w:tr w:rsidR="002259C0" w14:paraId="5BDBB58D" w14:textId="77777777" w:rsidTr="00AE6100">
        <w:trPr>
          <w:trHeight w:val="555"/>
        </w:trPr>
        <w:tc>
          <w:tcPr>
            <w:tcW w:w="15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EC4339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Our institution maintains a positive and satisfying work environment for staff (e.g., compensation and benefits system, career development paths, work-life balance initiatives)</w:t>
            </w:r>
          </w:p>
        </w:tc>
      </w:tr>
      <w:tr w:rsidR="002259C0" w14:paraId="6244128A" w14:textId="77777777" w:rsidTr="00AE6100">
        <w:trPr>
          <w:trHeight w:val="555"/>
        </w:trPr>
        <w:tc>
          <w:tcPr>
            <w:tcW w:w="15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D0C5E1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Our institution effectively manages relationships with all stakeholders (e.g., university-enterprise cooperation mechanisms, alumni networks, government communication channels)</w:t>
            </w:r>
          </w:p>
        </w:tc>
      </w:tr>
      <w:tr w:rsidR="002259C0" w14:paraId="4C6A7279" w14:textId="77777777" w:rsidTr="00AE6100">
        <w:trPr>
          <w:trHeight w:val="555"/>
        </w:trPr>
        <w:tc>
          <w:tcPr>
            <w:tcW w:w="15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88351C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Our institution implements innovative teaching and learning practices (e.g., blended learning models, innovation and entrepreneurship education, interdisciplinary course design)</w:t>
            </w:r>
          </w:p>
        </w:tc>
      </w:tr>
      <w:tr w:rsidR="002259C0" w14:paraId="35EA0C90" w14:textId="77777777" w:rsidTr="00AE6100">
        <w:trPr>
          <w:trHeight w:val="278"/>
        </w:trPr>
        <w:tc>
          <w:tcPr>
            <w:tcW w:w="15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B67D1A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lastRenderedPageBreak/>
              <w:t>Other Comments about social performance:</w:t>
            </w:r>
          </w:p>
        </w:tc>
      </w:tr>
      <w:tr w:rsidR="002259C0" w14:paraId="241E07A6" w14:textId="77777777" w:rsidTr="00AE6100">
        <w:trPr>
          <w:trHeight w:val="278"/>
        </w:trPr>
        <w:tc>
          <w:tcPr>
            <w:tcW w:w="15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F0BA0A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lang w:bidi="ar"/>
              </w:rPr>
              <w:t>Operational Performance Questions:</w:t>
            </w:r>
          </w:p>
        </w:tc>
      </w:tr>
      <w:tr w:rsidR="002259C0" w14:paraId="4BE02AA3" w14:textId="77777777" w:rsidTr="00AE6100">
        <w:trPr>
          <w:trHeight w:val="555"/>
        </w:trPr>
        <w:tc>
          <w:tcPr>
            <w:tcW w:w="15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182214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Our institution delivers academic programs efficiently and on schedule (e.g., teaching plan execution rate, course completion rate, teaching quality achievement rate)</w:t>
            </w:r>
          </w:p>
        </w:tc>
      </w:tr>
      <w:tr w:rsidR="002259C0" w14:paraId="69A7DE6D" w14:textId="77777777" w:rsidTr="00AE6100">
        <w:trPr>
          <w:trHeight w:val="555"/>
        </w:trPr>
        <w:tc>
          <w:tcPr>
            <w:tcW w:w="15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D09317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Our institution consistently meets academic schedule requirements (e.g., teaching progress management, examination arrangement execution, semester plan completion)</w:t>
            </w:r>
          </w:p>
        </w:tc>
      </w:tr>
      <w:tr w:rsidR="002259C0" w14:paraId="52CED40B" w14:textId="77777777" w:rsidTr="00AE6100">
        <w:trPr>
          <w:trHeight w:val="555"/>
        </w:trPr>
        <w:tc>
          <w:tcPr>
            <w:tcW w:w="15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0CEC36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Our institution maintains high teaching and learning quality standards (e.g., teaching evaluation systems, student satisfaction surveys, course quality monitoring)</w:t>
            </w:r>
          </w:p>
        </w:tc>
      </w:tr>
      <w:tr w:rsidR="002259C0" w14:paraId="7B1C246D" w14:textId="77777777" w:rsidTr="00AE6100">
        <w:trPr>
          <w:trHeight w:val="555"/>
        </w:trPr>
        <w:tc>
          <w:tcPr>
            <w:tcW w:w="15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A99092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Our institution demonstrates flexibility in adapting programs to changing needs (e.g., curriculum update mechanisms, major adjustment plans, training program optimization)</w:t>
            </w:r>
          </w:p>
        </w:tc>
      </w:tr>
      <w:tr w:rsidR="002259C0" w14:paraId="198B4154" w14:textId="77777777" w:rsidTr="00AE6100">
        <w:trPr>
          <w:trHeight w:val="555"/>
        </w:trPr>
        <w:tc>
          <w:tcPr>
            <w:tcW w:w="15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AE5F50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Our institution continuously improves teaching and administrative processes (e.g., teaching method innovation, management process optimization, service efficiency enhancement)</w:t>
            </w:r>
          </w:p>
        </w:tc>
      </w:tr>
      <w:tr w:rsidR="002259C0" w14:paraId="11BF191D" w14:textId="77777777" w:rsidTr="00AE6100">
        <w:trPr>
          <w:trHeight w:val="555"/>
        </w:trPr>
        <w:tc>
          <w:tcPr>
            <w:tcW w:w="15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55EF04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Our institution optimizes the use of academic resources and facilities (e.g., classroom utilization efficiency, laboratory open management, library resource utilization)</w:t>
            </w:r>
          </w:p>
        </w:tc>
      </w:tr>
      <w:tr w:rsidR="002259C0" w14:paraId="2501B0B1" w14:textId="77777777" w:rsidTr="00AE6100">
        <w:trPr>
          <w:trHeight w:val="555"/>
        </w:trPr>
        <w:tc>
          <w:tcPr>
            <w:tcW w:w="15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332AE6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Our institution effectively integrates modern educational technologies (e.g., smart campus construction, online education platforms, teaching informatization)</w:t>
            </w:r>
          </w:p>
        </w:tc>
      </w:tr>
      <w:tr w:rsidR="002259C0" w14:paraId="6CCF532A" w14:textId="77777777" w:rsidTr="00AE6100">
        <w:trPr>
          <w:trHeight w:val="278"/>
        </w:trPr>
        <w:tc>
          <w:tcPr>
            <w:tcW w:w="15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E448F2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lang w:bidi="ar"/>
              </w:rPr>
              <w:t>Other Comments about operational performance:</w:t>
            </w:r>
          </w:p>
        </w:tc>
      </w:tr>
      <w:tr w:rsidR="002259C0" w14:paraId="364CD8EA" w14:textId="77777777" w:rsidTr="00AE6100">
        <w:trPr>
          <w:trHeight w:val="278"/>
        </w:trPr>
        <w:tc>
          <w:tcPr>
            <w:tcW w:w="15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B657A2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lang w:bidi="ar"/>
              </w:rPr>
              <w:t>Economic Performance Questions:</w:t>
            </w:r>
          </w:p>
        </w:tc>
      </w:tr>
      <w:tr w:rsidR="002259C0" w14:paraId="1BF9E935" w14:textId="77777777" w:rsidTr="00AE6100">
        <w:trPr>
          <w:trHeight w:val="278"/>
        </w:trPr>
        <w:tc>
          <w:tcPr>
            <w:tcW w:w="15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2A5489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Our institution achieves good returns on educational investments (e.g., educational benefits, research funding efficiency, resource input-output ratio)</w:t>
            </w:r>
          </w:p>
        </w:tc>
      </w:tr>
      <w:tr w:rsidR="002259C0" w14:paraId="5425DB1C" w14:textId="77777777" w:rsidTr="00AE6100">
        <w:trPr>
          <w:trHeight w:val="278"/>
        </w:trPr>
        <w:tc>
          <w:tcPr>
            <w:tcW w:w="15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745D22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Our institution efficiently utilizes educational facilities and resources (e.g., asset utilization efficiency, equipment usage rate, space utilization rate)</w:t>
            </w:r>
          </w:p>
        </w:tc>
      </w:tr>
      <w:tr w:rsidR="002259C0" w14:paraId="6262E8C4" w14:textId="77777777" w:rsidTr="00AE6100">
        <w:trPr>
          <w:trHeight w:val="555"/>
        </w:trPr>
        <w:tc>
          <w:tcPr>
            <w:tcW w:w="15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53A161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Our institution maintains a strong competitive position in the education sector (e.g., discipline rankings, enrollment competitiveness, social reputation)</w:t>
            </w:r>
          </w:p>
        </w:tc>
      </w:tr>
      <w:tr w:rsidR="002259C0" w14:paraId="1FB93BE5" w14:textId="77777777" w:rsidTr="00AE6100">
        <w:trPr>
          <w:trHeight w:val="278"/>
        </w:trPr>
        <w:tc>
          <w:tcPr>
            <w:tcW w:w="15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88A1F0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Our institution effectively manages operational costs (e.g., budget execution rate, cost control measures, fund utilization efficiency)</w:t>
            </w:r>
          </w:p>
        </w:tc>
      </w:tr>
      <w:tr w:rsidR="002259C0" w14:paraId="2896E1D5" w14:textId="77777777" w:rsidTr="00AE6100">
        <w:trPr>
          <w:trHeight w:val="555"/>
        </w:trPr>
        <w:tc>
          <w:tcPr>
            <w:tcW w:w="15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3B9384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Our institution achieves sustainable growth in programs and enrollment (e.g., professional layout optimization, student source quality improvement, education scale expansion)</w:t>
            </w:r>
          </w:p>
        </w:tc>
      </w:tr>
      <w:tr w:rsidR="002259C0" w14:paraId="3D563C1E" w14:textId="77777777" w:rsidTr="00AE6100">
        <w:trPr>
          <w:trHeight w:val="555"/>
        </w:trPr>
        <w:tc>
          <w:tcPr>
            <w:tcW w:w="15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6268AB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Our institution maintains long-term financial stability (e.g., financial risk control, revenue-expenditure balance management, sustainable development capacity)</w:t>
            </w:r>
          </w:p>
        </w:tc>
      </w:tr>
      <w:tr w:rsidR="002259C0" w14:paraId="1856B18E" w14:textId="77777777" w:rsidTr="00AE6100">
        <w:trPr>
          <w:trHeight w:val="555"/>
        </w:trPr>
        <w:tc>
          <w:tcPr>
            <w:tcW w:w="15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4D1621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Our institution creates significant educational and financial value (e.g., talent training quality, research achievement transformation, social service contribution)</w:t>
            </w:r>
          </w:p>
        </w:tc>
      </w:tr>
      <w:tr w:rsidR="002259C0" w14:paraId="2D0883C1" w14:textId="77777777" w:rsidTr="00AE6100">
        <w:trPr>
          <w:trHeight w:val="278"/>
        </w:trPr>
        <w:tc>
          <w:tcPr>
            <w:tcW w:w="15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E64597" w14:textId="77777777" w:rsidR="002259C0" w:rsidRDefault="002259C0" w:rsidP="00AE6100">
            <w:pPr>
              <w:widowControl/>
              <w:spacing w:before="100" w:beforeAutospacing="1" w:after="100" w:afterAutospacing="1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Other Comments about Economic performance:</w:t>
            </w:r>
          </w:p>
        </w:tc>
      </w:tr>
    </w:tbl>
    <w:p w14:paraId="3AB34B0C" w14:textId="77777777" w:rsidR="002259C0" w:rsidRDefault="002259C0" w:rsidP="002259C0">
      <w:pPr>
        <w:spacing w:before="100" w:beforeAutospacing="1" w:after="100" w:afterAutospacing="1"/>
        <w:rPr>
          <w:rFonts w:ascii="Times New Roman" w:hAnsi="Times New Roman" w:cs="Times New Roman"/>
          <w:sz w:val="24"/>
        </w:rPr>
      </w:pPr>
    </w:p>
    <w:p w14:paraId="0B52CD3A" w14:textId="77777777" w:rsidR="002259C0" w:rsidRDefault="002259C0" w:rsidP="002259C0">
      <w:pPr>
        <w:spacing w:before="100" w:beforeAutospacing="1" w:after="100" w:afterAutospacing="1"/>
        <w:rPr>
          <w:rFonts w:ascii="Times New Roman" w:hAnsi="Times New Roman" w:cs="Times New Roman"/>
          <w:sz w:val="24"/>
        </w:rPr>
      </w:pPr>
    </w:p>
    <w:p w14:paraId="7357DE86" w14:textId="0297D096" w:rsidR="00EB4A2D" w:rsidRDefault="002259C0">
      <w:r>
        <w:t>a</w:t>
      </w:r>
    </w:p>
    <w:sectPr w:rsidR="00EB4A2D" w:rsidSect="002259C0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59C0"/>
    <w:rsid w:val="00217852"/>
    <w:rsid w:val="002259C0"/>
    <w:rsid w:val="002C7D54"/>
    <w:rsid w:val="0033371E"/>
    <w:rsid w:val="005C0D39"/>
    <w:rsid w:val="0070406C"/>
    <w:rsid w:val="00724754"/>
    <w:rsid w:val="00C321FA"/>
    <w:rsid w:val="00C97210"/>
    <w:rsid w:val="00EB4A2D"/>
    <w:rsid w:val="00EE513F"/>
    <w:rsid w:val="00FC5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D029C6"/>
  <w15:chartTrackingRefBased/>
  <w15:docId w15:val="{06C10029-9F50-4172-B98A-318211AC31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59C0"/>
    <w:pPr>
      <w:widowControl w:val="0"/>
      <w:spacing w:after="0" w:line="240" w:lineRule="auto"/>
      <w:jc w:val="both"/>
    </w:pPr>
    <w:rPr>
      <w:rFonts w:eastAsiaTheme="minorEastAsia"/>
      <w:sz w:val="21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259C0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259C0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259C0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259C0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259C0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259C0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259C0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259C0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259C0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59C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259C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259C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259C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259C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259C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259C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259C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259C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259C0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259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259C0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259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259C0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259C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259C0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259C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259C0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259C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259C0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link w:val="NormalWebChar"/>
    <w:qFormat/>
    <w:rsid w:val="002259C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NormalWebChar">
    <w:name w:val="Normal (Web) Char"/>
    <w:basedOn w:val="DefaultParagraphFont"/>
    <w:link w:val="NormalWeb"/>
    <w:qFormat/>
    <w:rsid w:val="002259C0"/>
    <w:rPr>
      <w:rFonts w:eastAsiaTheme="minorEastAsia" w:cs="Times New Roman"/>
      <w:kern w:val="0"/>
      <w:lang w:val="en-US"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2399</Words>
  <Characters>15575</Characters>
  <Application>Microsoft Office Word</Application>
  <DocSecurity>0</DocSecurity>
  <Lines>576</Lines>
  <Paragraphs>438</Paragraphs>
  <ScaleCrop>false</ScaleCrop>
  <Company/>
  <LinksUpToDate>false</LinksUpToDate>
  <CharactersWithSpaces>17536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2026-03-15T09:16:00Z</dcterms:created>
  <dcterms:modified xsi:type="dcterms:W3CDTF">2026-03-15T09:16:00Z</dcterms:modified>
</cp:coreProperties>
</file>