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7A3873">
      <w:pPr>
        <w:pStyle w:val="4"/>
        <w:bidi w:val="0"/>
        <w:spacing w:line="480" w:lineRule="auto"/>
        <w:jc w:val="center"/>
        <w:rPr>
          <w:rFonts w:hint="default"/>
          <w:i/>
          <w:iCs/>
        </w:rPr>
      </w:pPr>
      <w:r>
        <w:rPr>
          <w:rFonts w:hint="eastAsia"/>
          <w:i/>
          <w:iCs/>
          <w:lang w:val="en-US" w:eastAsia="zh-CN"/>
        </w:rPr>
        <w:t>Supplementary Information</w:t>
      </w:r>
    </w:p>
    <w:p w14:paraId="7C2868C3">
      <w:pPr>
        <w:pStyle w:val="3"/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Coal </w:t>
      </w:r>
      <w:r>
        <w:rPr>
          <w:rFonts w:hint="default" w:ascii="Times New Roman" w:hAnsi="Times New Roman" w:cs="Times New Roman"/>
        </w:rPr>
        <w:t>Fly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Ash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Derived NaX Zeolite for Arid-Soil Water Retention: A Kinetic and Performance Study</w:t>
      </w:r>
    </w:p>
    <w:p w14:paraId="0493EB92">
      <w:pPr>
        <w:keepNext w:val="0"/>
        <w:keepLines w:val="0"/>
        <w:widowControl/>
        <w:suppressLineNumbers w:val="0"/>
        <w:jc w:val="center"/>
        <w:rPr>
          <w:rFonts w:hint="eastAsia" w:eastAsia="STIX-Bold" w:cs="Times New Roman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Guohui HE</w:t>
      </w:r>
      <w:r>
        <w:rPr>
          <w:rFonts w:hint="eastAsia" w:cs="Times New Roman"/>
          <w:b/>
          <w:bCs/>
          <w:vertAlign w:val="superscript"/>
          <w:lang w:val="en-US" w:eastAsia="zh-CN"/>
        </w:rPr>
        <w:t>1,2</w:t>
      </w:r>
      <w:r>
        <w:rPr>
          <w:rFonts w:hint="eastAsia" w:cs="Times New Roman"/>
          <w:b/>
          <w:bCs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ZHANG Yu</w:t>
      </w:r>
      <w:r>
        <w:rPr>
          <w:rFonts w:hint="eastAsia" w:cs="Times New Roman"/>
          <w:b/>
          <w:bCs/>
          <w:vertAlign w:val="superscript"/>
          <w:lang w:val="en-US" w:eastAsia="zh-CN"/>
        </w:rPr>
        <w:t>1,2</w:t>
      </w:r>
      <w:r>
        <w:rPr>
          <w:rFonts w:hint="eastAsia"/>
          <w:vertAlign w:val="superscript"/>
          <w:lang w:val="en-US" w:eastAsia="zh-CN"/>
        </w:rPr>
        <w:t>*</w:t>
      </w:r>
      <w:r>
        <w:rPr>
          <w:rFonts w:hint="eastAsia" w:cs="Times New Roman"/>
          <w:b/>
          <w:bCs/>
          <w:vertAlign w:val="baseline"/>
          <w:lang w:val="en-US" w:eastAsia="zh-CN"/>
        </w:rPr>
        <w:t>,</w:t>
      </w:r>
      <w:r>
        <w:rPr>
          <w:rFonts w:hint="default" w:ascii="Times New Roman" w:hAnsi="Times New Roman" w:eastAsia="STIX-Bold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eastAsia="STIX-Bold" w:cs="Times New Roman"/>
          <w:b/>
          <w:bCs/>
          <w:color w:val="000000"/>
          <w:kern w:val="0"/>
          <w:sz w:val="20"/>
          <w:szCs w:val="20"/>
          <w:lang w:val="en-US" w:eastAsia="zh-CN" w:bidi="ar"/>
        </w:rPr>
        <w:t>Jiti Zhou</w:t>
      </w:r>
      <w:r>
        <w:rPr>
          <w:rFonts w:hint="eastAsia" w:cs="Times New Roman"/>
          <w:b/>
          <w:bCs/>
          <w:vertAlign w:val="superscript"/>
          <w:lang w:val="en-US" w:eastAsia="zh-CN"/>
        </w:rPr>
        <w:t>1,2</w:t>
      </w:r>
    </w:p>
    <w:p w14:paraId="1DE49C64">
      <w:pPr>
        <w:jc w:val="center"/>
        <w:rPr>
          <w:sz w:val="20"/>
          <w:szCs w:val="20"/>
        </w:rPr>
      </w:pPr>
      <w:r>
        <w:rPr>
          <w:sz w:val="20"/>
          <w:szCs w:val="20"/>
        </w:rPr>
        <w:t>Key Laboratory of Industrial Ecology and Environmental Engineering, School of Environmental Science and Technology, Dalian University of Technology, Dalian 116024, China</w:t>
      </w:r>
    </w:p>
    <w:p w14:paraId="06828238">
      <w:pPr>
        <w:jc w:val="center"/>
        <w:rPr>
          <w:rStyle w:val="12"/>
          <w:rFonts w:hint="eastAsia"/>
          <w:color w:val="0000FF"/>
          <w:lang w:val="en-US" w:eastAsia="zh-CN"/>
          <w:woUserID w:val="0"/>
        </w:rPr>
      </w:pPr>
      <w:r>
        <w:rPr>
          <w:rFonts w:hint="eastAsia"/>
          <w:vertAlign w:val="baseline"/>
          <w:lang w:val="en-US" w:eastAsia="zh-CN"/>
        </w:rPr>
        <w:t>*Corresponding author(s). E-mail(s):</w:t>
      </w:r>
      <w:r>
        <w:rPr>
          <w:rFonts w:hint="eastAsia"/>
          <w:color w:val="0000FF"/>
          <w:vertAlign w:val="baseline"/>
          <w:lang w:val="en-US" w:eastAsia="zh-CN"/>
        </w:rPr>
        <w:t>zhangyu@dlut.edu.cn;</w:t>
      </w:r>
    </w:p>
    <w:p w14:paraId="78C1ECBF">
      <w:pPr>
        <w:jc w:val="center"/>
        <w:rPr>
          <w:rFonts w:hint="eastAsia"/>
          <w:color w:val="1D41D5"/>
          <w:vertAlign w:val="baseline"/>
          <w:lang w:val="en-US" w:eastAsia="zh-CN"/>
        </w:rPr>
      </w:pPr>
      <w:r>
        <w:rPr>
          <w:rFonts w:hint="default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Contributing authors:</w:t>
      </w:r>
      <w:r>
        <w:rPr>
          <w:rFonts w:hint="eastAsia"/>
          <w:color w:val="0000FF"/>
          <w:vertAlign w:val="baseline"/>
          <w:lang w:val="en-US" w:eastAsia="zh-CN"/>
        </w:rPr>
        <w:t>2862014452@mail.dlut.edu.cn;</w:t>
      </w:r>
    </w:p>
    <w:p w14:paraId="443825DA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br w:type="page"/>
      </w:r>
    </w:p>
    <w:p w14:paraId="6560CAA6">
      <w:pPr>
        <w:pStyle w:val="13"/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 xml:space="preserve">Table </w:t>
      </w:r>
      <w:r>
        <w:rPr>
          <w:rFonts w:hint="eastAsia" w:cs="Times New Roman"/>
          <w:b/>
          <w:bCs/>
          <w:lang w:val="en-US" w:eastAsia="zh-CN"/>
        </w:rPr>
        <w:t>S1</w:t>
      </w:r>
      <w:r>
        <w:rPr>
          <w:rFonts w:hint="default" w:ascii="Times New Roman" w:hAnsi="Times New Roman" w:cs="Times New Roman"/>
          <w:b/>
          <w:bCs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</w:rPr>
        <w:t>Quality changes of soil samples with different mixing ratios</w:t>
      </w:r>
      <w:r>
        <w:rPr>
          <w:rFonts w:hint="default" w:ascii="Times New Roman" w:hAnsi="Times New Roman" w:cs="Times New Roman"/>
          <w:b/>
          <w:bCs/>
        </w:rPr>
        <w:t xml:space="preserve"> </w:t>
      </w:r>
      <w:r>
        <w:rPr>
          <w:rFonts w:hint="default" w:ascii="Times New Roman" w:hAnsi="Times New Roman" w:cs="Times New Roman"/>
        </w:rPr>
        <w:t xml:space="preserve">                                                          </w:t>
      </w:r>
    </w:p>
    <w:tbl>
      <w:tblPr>
        <w:tblStyle w:val="8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1948"/>
        <w:gridCol w:w="1137"/>
        <w:gridCol w:w="1137"/>
        <w:gridCol w:w="1137"/>
        <w:gridCol w:w="1137"/>
        <w:gridCol w:w="1137"/>
      </w:tblGrid>
      <w:tr w14:paraId="2A9EE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single" w:color="auto" w:sz="8" w:space="0"/>
              <w:left w:val="nil"/>
              <w:right w:val="nil"/>
            </w:tcBorders>
            <w:noWrap w:val="0"/>
            <w:vAlign w:val="top"/>
          </w:tcPr>
          <w:p w14:paraId="5BD86CC9">
            <w:pPr>
              <w:pStyle w:val="13"/>
              <w:widowControl w:val="0"/>
              <w:jc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0"/>
                <w:szCs w:val="20"/>
                <w:lang w:val="en-US" w:eastAsia="zh-CN"/>
              </w:rPr>
              <w:t>No.</w:t>
            </w:r>
          </w:p>
        </w:tc>
        <w:tc>
          <w:tcPr>
            <w:tcW w:w="1143" w:type="pct"/>
            <w:tcBorders>
              <w:top w:val="single" w:color="auto" w:sz="8" w:space="0"/>
              <w:left w:val="nil"/>
              <w:right w:val="nil"/>
            </w:tcBorders>
            <w:noWrap w:val="0"/>
            <w:vAlign w:val="top"/>
          </w:tcPr>
          <w:p w14:paraId="41A198F2">
            <w:pPr>
              <w:pStyle w:val="13"/>
              <w:widowControl w:val="0"/>
              <w:jc w:val="center"/>
              <w:rPr>
                <w:rFonts w:hint="eastAsia" w:ascii="Times New Roman" w:hAnsi="Times New Roman" w:cs="Times New Roman" w:eastAsiaTheme="minorEastAsia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cs="Times New Roman"/>
                <w:color w:val="000000"/>
                <w:sz w:val="20"/>
                <w:szCs w:val="20"/>
                <w:lang w:val="en-US" w:eastAsia="zh-CN"/>
              </w:rPr>
              <w:t>Dry Weight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（</w:t>
            </w:r>
            <w:r>
              <w:rPr>
                <w:rFonts w:hint="eastAsia" w:cs="Times New Roman"/>
                <w:color w:val="000000"/>
                <w:sz w:val="20"/>
                <w:szCs w:val="20"/>
                <w:lang w:val="en-US" w:eastAsia="zh-CN"/>
              </w:rPr>
              <w:t>g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667" w:type="pct"/>
            <w:tcBorders>
              <w:top w:val="single" w:color="auto" w:sz="8" w:space="0"/>
              <w:left w:val="nil"/>
              <w:right w:val="nil"/>
            </w:tcBorders>
            <w:noWrap w:val="0"/>
            <w:vAlign w:val="top"/>
          </w:tcPr>
          <w:p w14:paraId="7173AA20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D1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（</w:t>
            </w:r>
            <w:r>
              <w:rPr>
                <w:rFonts w:hint="eastAsia" w:cs="Times New Roman"/>
                <w:color w:val="000000"/>
                <w:sz w:val="20"/>
                <w:szCs w:val="20"/>
                <w:lang w:val="en-US" w:eastAsia="zh-CN"/>
              </w:rPr>
              <w:t>g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667" w:type="pct"/>
            <w:tcBorders>
              <w:top w:val="single" w:color="auto" w:sz="8" w:space="0"/>
              <w:left w:val="nil"/>
              <w:right w:val="nil"/>
            </w:tcBorders>
            <w:noWrap w:val="0"/>
            <w:vAlign w:val="top"/>
          </w:tcPr>
          <w:p w14:paraId="1E1750D9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D2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（</w:t>
            </w:r>
            <w:r>
              <w:rPr>
                <w:rFonts w:hint="eastAsia" w:cs="Times New Roman"/>
                <w:color w:val="000000"/>
                <w:sz w:val="20"/>
                <w:szCs w:val="20"/>
                <w:lang w:val="en-US" w:eastAsia="zh-CN"/>
              </w:rPr>
              <w:t>g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667" w:type="pct"/>
            <w:tcBorders>
              <w:top w:val="single" w:color="auto" w:sz="8" w:space="0"/>
              <w:left w:val="nil"/>
              <w:right w:val="nil"/>
            </w:tcBorders>
            <w:noWrap w:val="0"/>
            <w:vAlign w:val="top"/>
          </w:tcPr>
          <w:p w14:paraId="5C82CC37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D3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（</w:t>
            </w:r>
            <w:r>
              <w:rPr>
                <w:rFonts w:hint="eastAsia" w:cs="Times New Roman"/>
                <w:color w:val="000000"/>
                <w:sz w:val="20"/>
                <w:szCs w:val="20"/>
                <w:lang w:val="en-US" w:eastAsia="zh-CN"/>
              </w:rPr>
              <w:t>g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667" w:type="pct"/>
            <w:tcBorders>
              <w:top w:val="single" w:color="auto" w:sz="8" w:space="0"/>
              <w:left w:val="nil"/>
              <w:right w:val="nil"/>
            </w:tcBorders>
            <w:noWrap w:val="0"/>
            <w:vAlign w:val="top"/>
          </w:tcPr>
          <w:p w14:paraId="7A39233F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D4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（</w:t>
            </w:r>
            <w:r>
              <w:rPr>
                <w:rFonts w:hint="eastAsia" w:cs="Times New Roman"/>
                <w:color w:val="000000"/>
                <w:sz w:val="20"/>
                <w:szCs w:val="20"/>
                <w:lang w:val="en-US" w:eastAsia="zh-CN"/>
              </w:rPr>
              <w:t>g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667" w:type="pct"/>
            <w:tcBorders>
              <w:top w:val="single" w:color="auto" w:sz="8" w:space="0"/>
              <w:left w:val="nil"/>
              <w:right w:val="nil"/>
            </w:tcBorders>
            <w:noWrap w:val="0"/>
            <w:vAlign w:val="top"/>
          </w:tcPr>
          <w:p w14:paraId="39B66A03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D5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（</w:t>
            </w:r>
            <w:r>
              <w:rPr>
                <w:rFonts w:hint="eastAsia" w:cs="Times New Roman"/>
                <w:color w:val="000000"/>
                <w:sz w:val="20"/>
                <w:szCs w:val="20"/>
                <w:lang w:val="en-US" w:eastAsia="zh-CN"/>
              </w:rPr>
              <w:t>g</w:t>
            </w:r>
            <w:r>
              <w:rPr>
                <w:rFonts w:hint="eastAsia" w:cs="Times New Roman"/>
                <w:color w:val="000000"/>
                <w:sz w:val="20"/>
                <w:szCs w:val="20"/>
                <w:lang w:eastAsia="zh-CN"/>
              </w:rPr>
              <w:t>）</w:t>
            </w:r>
          </w:p>
        </w:tc>
      </w:tr>
      <w:tr w14:paraId="453B6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20" w:type="pct"/>
            <w:tcBorders>
              <w:left w:val="nil"/>
              <w:bottom w:val="nil"/>
              <w:right w:val="nil"/>
            </w:tcBorders>
            <w:noWrap w:val="0"/>
            <w:vAlign w:val="top"/>
          </w:tcPr>
          <w:p w14:paraId="6F71BF3B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CK-1</w:t>
            </w:r>
          </w:p>
        </w:tc>
        <w:tc>
          <w:tcPr>
            <w:tcW w:w="1143" w:type="pct"/>
            <w:tcBorders>
              <w:left w:val="nil"/>
              <w:bottom w:val="nil"/>
              <w:right w:val="nil"/>
            </w:tcBorders>
            <w:noWrap w:val="0"/>
            <w:vAlign w:val="top"/>
          </w:tcPr>
          <w:p w14:paraId="63A44F8D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122.40</w:t>
            </w:r>
          </w:p>
        </w:tc>
        <w:tc>
          <w:tcPr>
            <w:tcW w:w="667" w:type="pct"/>
            <w:tcBorders>
              <w:left w:val="nil"/>
              <w:bottom w:val="nil"/>
              <w:right w:val="nil"/>
            </w:tcBorders>
            <w:noWrap w:val="0"/>
            <w:vAlign w:val="top"/>
          </w:tcPr>
          <w:p w14:paraId="4D990247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172.61</w:t>
            </w:r>
          </w:p>
        </w:tc>
        <w:tc>
          <w:tcPr>
            <w:tcW w:w="667" w:type="pct"/>
            <w:tcBorders>
              <w:left w:val="nil"/>
              <w:bottom w:val="nil"/>
              <w:right w:val="nil"/>
            </w:tcBorders>
            <w:noWrap w:val="0"/>
            <w:vAlign w:val="top"/>
          </w:tcPr>
          <w:p w14:paraId="0E4DF71E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162.70</w:t>
            </w:r>
          </w:p>
        </w:tc>
        <w:tc>
          <w:tcPr>
            <w:tcW w:w="667" w:type="pct"/>
            <w:tcBorders>
              <w:left w:val="nil"/>
              <w:bottom w:val="nil"/>
              <w:right w:val="nil"/>
            </w:tcBorders>
            <w:noWrap w:val="0"/>
            <w:vAlign w:val="top"/>
          </w:tcPr>
          <w:p w14:paraId="01A2E2D8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152.46</w:t>
            </w:r>
          </w:p>
        </w:tc>
        <w:tc>
          <w:tcPr>
            <w:tcW w:w="667" w:type="pct"/>
            <w:tcBorders>
              <w:left w:val="nil"/>
              <w:bottom w:val="nil"/>
              <w:right w:val="nil"/>
            </w:tcBorders>
            <w:noWrap w:val="0"/>
            <w:vAlign w:val="top"/>
          </w:tcPr>
          <w:p w14:paraId="0AE643EC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142.74</w:t>
            </w:r>
          </w:p>
        </w:tc>
        <w:tc>
          <w:tcPr>
            <w:tcW w:w="667" w:type="pct"/>
            <w:tcBorders>
              <w:left w:val="nil"/>
              <w:bottom w:val="nil"/>
              <w:right w:val="nil"/>
            </w:tcBorders>
            <w:noWrap w:val="0"/>
            <w:vAlign w:val="top"/>
          </w:tcPr>
          <w:p w14:paraId="4FA26DB2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124.41</w:t>
            </w:r>
          </w:p>
        </w:tc>
      </w:tr>
      <w:tr w14:paraId="227FC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73D6998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CK-2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985FA4B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122.42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09E9B14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172.21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3B42F9F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159.21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60494BB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145.81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2061804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134.95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B1A3E17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127.53</w:t>
            </w:r>
          </w:p>
        </w:tc>
      </w:tr>
      <w:tr w14:paraId="7841F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2C5A08D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CK-3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74AB602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123.43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67DAF78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172.54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708E71F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163.21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F649520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152.08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1A7308C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141.67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AD46BB8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127.14</w:t>
            </w:r>
          </w:p>
        </w:tc>
      </w:tr>
      <w:tr w14:paraId="0DFA4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531D245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EG1-1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AD6BF5E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124.03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8D74FBA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176.15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1210CAA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166.12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6CE7426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155.96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6F1851A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142.98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43105A1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135.30</w:t>
            </w:r>
          </w:p>
        </w:tc>
      </w:tr>
      <w:tr w14:paraId="61D2E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18945D1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EG1-2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D1050BF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123.82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CC51AC6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177.23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D89FCFA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165.75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89006C1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156.11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0012BBF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144.67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E3D3713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135.63</w:t>
            </w:r>
          </w:p>
        </w:tc>
      </w:tr>
      <w:tr w14:paraId="37F6E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E92833F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EG1-3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4A3BBA6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122.58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49C142E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176.18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C4139E4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164.70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70E4E7D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153.45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176B400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143.86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35BB39D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131.54</w:t>
            </w:r>
          </w:p>
        </w:tc>
      </w:tr>
      <w:tr w14:paraId="742E7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3060441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EG2-1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578A64A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123.43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76B97BB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178.04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C247557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164.90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5091EB7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155.23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22112B3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146.88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7681C07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140.68</w:t>
            </w:r>
          </w:p>
        </w:tc>
      </w:tr>
      <w:tr w14:paraId="4BC30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BEF956A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EG2-2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85AB390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124.46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A40CA63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179.31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2B974BF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166.88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420E3B5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156.27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B35E897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147.95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723D9E9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141.30</w:t>
            </w:r>
          </w:p>
        </w:tc>
      </w:tr>
      <w:tr w14:paraId="405C0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45DFFBA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EG2-3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ECF98BD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123.82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98602A6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178.30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FC298FB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167.70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3FD2130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156.53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3B22FDC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146.45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A21F6B4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140.80</w:t>
            </w:r>
          </w:p>
        </w:tc>
      </w:tr>
      <w:tr w14:paraId="56CDC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332B9DC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EG3-1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D2D1A6C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124.43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5A191EF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188.90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9F8E539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180.01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2889EF7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171.87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6E76E70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162.26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F03C4A3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151.59</w:t>
            </w:r>
          </w:p>
        </w:tc>
      </w:tr>
      <w:tr w14:paraId="3AC9E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1F86485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EG3-2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E8EF160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123.72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BAE4C3A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187.42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BF946ED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179.92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FE3C138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170.07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24F0A0C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160.09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A7866BC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150.86</w:t>
            </w:r>
          </w:p>
        </w:tc>
      </w:tr>
      <w:tr w14:paraId="7AB57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640DEC4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EG3-3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A3C244D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122.65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2C14CD6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186.21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21947CD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178.31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EB5FBC1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169.44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6314DDB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159.13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EE36A5B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148.51</w:t>
            </w:r>
          </w:p>
        </w:tc>
      </w:tr>
      <w:tr w14:paraId="728FE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07FD419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EG4-1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0803544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123.93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ACE98E5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189.40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23E3CEF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180.44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D1357E2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171.19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243596F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162.21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BD091D7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153.69</w:t>
            </w:r>
          </w:p>
        </w:tc>
      </w:tr>
      <w:tr w14:paraId="3E303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A071974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EG4-2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EE3B228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123.14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16585C9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189.34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EEB814D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180.93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986CF46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172.09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0F3B2BA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161.44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1A15D02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152.57</w:t>
            </w:r>
          </w:p>
        </w:tc>
      </w:tr>
      <w:tr w14:paraId="4A8CF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20" w:type="pct"/>
            <w:tcBorders>
              <w:top w:val="nil"/>
              <w:left w:val="nil"/>
              <w:bottom w:val="single" w:color="auto" w:sz="8" w:space="0"/>
              <w:right w:val="nil"/>
            </w:tcBorders>
            <w:noWrap w:val="0"/>
            <w:vAlign w:val="top"/>
          </w:tcPr>
          <w:p w14:paraId="4F145CD3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EG4-3</w:t>
            </w:r>
          </w:p>
        </w:tc>
        <w:tc>
          <w:tcPr>
            <w:tcW w:w="1143" w:type="pct"/>
            <w:tcBorders>
              <w:top w:val="nil"/>
              <w:left w:val="nil"/>
              <w:bottom w:val="single" w:color="auto" w:sz="8" w:space="0"/>
              <w:right w:val="nil"/>
            </w:tcBorders>
            <w:noWrap w:val="0"/>
            <w:vAlign w:val="top"/>
          </w:tcPr>
          <w:p w14:paraId="6C4333FC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122.18</w:t>
            </w:r>
          </w:p>
        </w:tc>
        <w:tc>
          <w:tcPr>
            <w:tcW w:w="667" w:type="pct"/>
            <w:tcBorders>
              <w:top w:val="nil"/>
              <w:left w:val="nil"/>
              <w:bottom w:val="single" w:color="auto" w:sz="8" w:space="0"/>
              <w:right w:val="nil"/>
            </w:tcBorders>
            <w:noWrap w:val="0"/>
            <w:vAlign w:val="top"/>
          </w:tcPr>
          <w:p w14:paraId="1F57B5B1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188.18</w:t>
            </w:r>
          </w:p>
        </w:tc>
        <w:tc>
          <w:tcPr>
            <w:tcW w:w="667" w:type="pct"/>
            <w:tcBorders>
              <w:top w:val="nil"/>
              <w:left w:val="nil"/>
              <w:bottom w:val="single" w:color="auto" w:sz="8" w:space="0"/>
              <w:right w:val="nil"/>
            </w:tcBorders>
            <w:noWrap w:val="0"/>
            <w:vAlign w:val="top"/>
          </w:tcPr>
          <w:p w14:paraId="3262C021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181.51</w:t>
            </w:r>
          </w:p>
        </w:tc>
        <w:tc>
          <w:tcPr>
            <w:tcW w:w="667" w:type="pct"/>
            <w:tcBorders>
              <w:top w:val="nil"/>
              <w:left w:val="nil"/>
              <w:bottom w:val="single" w:color="auto" w:sz="8" w:space="0"/>
              <w:right w:val="nil"/>
            </w:tcBorders>
            <w:noWrap w:val="0"/>
            <w:vAlign w:val="top"/>
          </w:tcPr>
          <w:p w14:paraId="39B11B3C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172.36</w:t>
            </w:r>
          </w:p>
        </w:tc>
        <w:tc>
          <w:tcPr>
            <w:tcW w:w="667" w:type="pct"/>
            <w:tcBorders>
              <w:top w:val="nil"/>
              <w:left w:val="nil"/>
              <w:bottom w:val="single" w:color="auto" w:sz="8" w:space="0"/>
              <w:right w:val="nil"/>
            </w:tcBorders>
            <w:noWrap w:val="0"/>
            <w:vAlign w:val="top"/>
          </w:tcPr>
          <w:p w14:paraId="28C72733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160.10</w:t>
            </w:r>
          </w:p>
        </w:tc>
        <w:tc>
          <w:tcPr>
            <w:tcW w:w="667" w:type="pct"/>
            <w:tcBorders>
              <w:top w:val="nil"/>
              <w:left w:val="nil"/>
              <w:bottom w:val="single" w:color="auto" w:sz="8" w:space="0"/>
              <w:right w:val="nil"/>
            </w:tcBorders>
            <w:noWrap w:val="0"/>
            <w:vAlign w:val="top"/>
          </w:tcPr>
          <w:p w14:paraId="2154819A">
            <w:pPr>
              <w:pStyle w:val="13"/>
              <w:widowControl w:val="0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150.17</w:t>
            </w:r>
          </w:p>
        </w:tc>
      </w:tr>
    </w:tbl>
    <w:p w14:paraId="5BF3379F">
      <w:pPr>
        <w:tabs>
          <w:tab w:val="left" w:pos="377"/>
        </w:tabs>
        <w:spacing w:line="480" w:lineRule="auto"/>
        <w:ind w:firstLine="400" w:firstLineChars="200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(Note: CK denotes "Control Check", with the numbering indicating three parallel control samples; EG denotes "Experimental Group", with the numbering indicating different zeolite-to-soil ratios and three parallel experimental replicates for each ratio. D1-D5 represent the sample mass measured on days 1 to 5.)</w:t>
      </w:r>
    </w:p>
    <w:p w14:paraId="6B10AB35"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br w:type="page"/>
      </w:r>
    </w:p>
    <w:p w14:paraId="258403B0">
      <w:pPr>
        <w:tabs>
          <w:tab w:val="left" w:pos="377"/>
        </w:tabs>
        <w:ind w:firstLine="400" w:firstLineChars="200"/>
        <w:rPr>
          <w:rFonts w:hint="eastAsia"/>
          <w:color w:val="000000"/>
          <w:lang w:val="en-US" w:eastAsia="zh-CN"/>
        </w:rPr>
      </w:pPr>
    </w:p>
    <w:p w14:paraId="71561E8E">
      <w:pPr>
        <w:pStyle w:val="13"/>
        <w:bidi w:val="0"/>
        <w:rPr>
          <w:rFonts w:hint="eastAsia"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Table </w:t>
      </w:r>
      <w:r>
        <w:rPr>
          <w:rFonts w:hint="eastAsia"/>
          <w:b/>
          <w:bCs/>
          <w:lang w:val="en-US" w:eastAsia="zh-CN"/>
        </w:rPr>
        <w:t xml:space="preserve">S2 </w:t>
      </w:r>
      <w:r>
        <w:rPr>
          <w:rFonts w:hint="default"/>
        </w:rPr>
        <w:t>Water-Retention Metrics for Each Treatment :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Maximum Water-Holding Capacity, Daily Water Retention R(t)</w:t>
      </w:r>
    </w:p>
    <w:tbl>
      <w:tblPr>
        <w:tblStyle w:val="9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842"/>
        <w:gridCol w:w="825"/>
        <w:gridCol w:w="861"/>
        <w:gridCol w:w="1318"/>
        <w:gridCol w:w="1318"/>
        <w:gridCol w:w="1318"/>
        <w:gridCol w:w="1318"/>
      </w:tblGrid>
      <w:tr w14:paraId="4F7C9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0" w:type="pct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1E54B000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Group</w:t>
            </w:r>
          </w:p>
        </w:tc>
        <w:tc>
          <w:tcPr>
            <w:tcW w:w="494" w:type="pct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01BC5162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Zeolite content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（%）</w:t>
            </w:r>
          </w:p>
        </w:tc>
        <w:tc>
          <w:tcPr>
            <w:tcW w:w="484" w:type="pct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7BBD309A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Δm (g, mean ± SD)</w:t>
            </w:r>
          </w:p>
        </w:tc>
        <w:tc>
          <w:tcPr>
            <w:tcW w:w="505" w:type="pct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41B3E43A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R(1)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(%)</w:t>
            </w:r>
          </w:p>
        </w:tc>
        <w:tc>
          <w:tcPr>
            <w:tcW w:w="773" w:type="pct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5CD16FA5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R(2)mean±SD (%)</w:t>
            </w:r>
          </w:p>
        </w:tc>
        <w:tc>
          <w:tcPr>
            <w:tcW w:w="773" w:type="pct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15A1D398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R(3)mean±SD (%)</w:t>
            </w:r>
          </w:p>
        </w:tc>
        <w:tc>
          <w:tcPr>
            <w:tcW w:w="773" w:type="pct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4820AE68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R(4)mean±SD (%)</w:t>
            </w:r>
          </w:p>
        </w:tc>
        <w:tc>
          <w:tcPr>
            <w:tcW w:w="773" w:type="pct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3619818D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R(5)mean±SD (%)</w:t>
            </w:r>
          </w:p>
        </w:tc>
      </w:tr>
      <w:tr w14:paraId="30794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pct"/>
            <w:tcBorders>
              <w:left w:val="nil"/>
              <w:bottom w:val="nil"/>
              <w:right w:val="nil"/>
            </w:tcBorders>
            <w:vAlign w:val="center"/>
          </w:tcPr>
          <w:p w14:paraId="60A5EACE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CK</w:t>
            </w:r>
          </w:p>
        </w:tc>
        <w:tc>
          <w:tcPr>
            <w:tcW w:w="494" w:type="pct"/>
            <w:tcBorders>
              <w:left w:val="nil"/>
              <w:bottom w:val="nil"/>
              <w:right w:val="nil"/>
            </w:tcBorders>
            <w:vAlign w:val="center"/>
          </w:tcPr>
          <w:p w14:paraId="4DE7FD91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</w:p>
        </w:tc>
        <w:tc>
          <w:tcPr>
            <w:tcW w:w="484" w:type="pct"/>
            <w:tcBorders>
              <w:left w:val="nil"/>
              <w:bottom w:val="nil"/>
              <w:right w:val="nil"/>
            </w:tcBorders>
            <w:vAlign w:val="center"/>
          </w:tcPr>
          <w:p w14:paraId="232AD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49.70 ± 0.56</w:t>
            </w:r>
          </w:p>
        </w:tc>
        <w:tc>
          <w:tcPr>
            <w:tcW w:w="505" w:type="pct"/>
            <w:tcBorders>
              <w:left w:val="nil"/>
              <w:bottom w:val="nil"/>
              <w:right w:val="nil"/>
            </w:tcBorders>
            <w:vAlign w:val="center"/>
          </w:tcPr>
          <w:p w14:paraId="0207D17C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100</w:t>
            </w:r>
            <w:r>
              <w:rPr>
                <w:rFonts w:hint="eastAsia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.00</w:t>
            </w:r>
          </w:p>
        </w:tc>
        <w:tc>
          <w:tcPr>
            <w:tcW w:w="773" w:type="pct"/>
            <w:tcBorders>
              <w:left w:val="nil"/>
              <w:bottom w:val="nil"/>
              <w:right w:val="nil"/>
            </w:tcBorders>
            <w:vAlign w:val="center"/>
          </w:tcPr>
          <w:p w14:paraId="5355E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78.38 ± 3.91</w:t>
            </w:r>
          </w:p>
        </w:tc>
        <w:tc>
          <w:tcPr>
            <w:tcW w:w="773" w:type="pct"/>
            <w:tcBorders>
              <w:left w:val="nil"/>
              <w:bottom w:val="nil"/>
              <w:right w:val="nil"/>
            </w:tcBorders>
            <w:vAlign w:val="center"/>
          </w:tcPr>
          <w:p w14:paraId="2AD43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55.06 ± 7.04</w:t>
            </w:r>
          </w:p>
        </w:tc>
        <w:tc>
          <w:tcPr>
            <w:tcW w:w="773" w:type="pct"/>
            <w:tcBorders>
              <w:left w:val="nil"/>
              <w:bottom w:val="nil"/>
              <w:right w:val="nil"/>
            </w:tcBorders>
            <w:vAlign w:val="center"/>
          </w:tcPr>
          <w:p w14:paraId="2AA11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34.27 ± 8.06</w:t>
            </w:r>
          </w:p>
        </w:tc>
        <w:tc>
          <w:tcPr>
            <w:tcW w:w="773" w:type="pct"/>
            <w:tcBorders>
              <w:left w:val="nil"/>
              <w:bottom w:val="nil"/>
              <w:right w:val="nil"/>
            </w:tcBorders>
            <w:vAlign w:val="center"/>
          </w:tcPr>
          <w:p w14:paraId="79000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7.27 ± 3.14</w:t>
            </w:r>
          </w:p>
        </w:tc>
      </w:tr>
      <w:tr w14:paraId="12F3B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1257E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EG1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8DA86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85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53.04 ± 0.81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14AAC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100</w:t>
            </w:r>
            <w:r>
              <w:rPr>
                <w:rFonts w:hint="eastAsia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.00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C4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 ± 1.2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50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59.77 ± 1.93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B7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38.37 ± 1.77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AA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20.15 ± 2.98</w:t>
            </w:r>
          </w:p>
        </w:tc>
      </w:tr>
      <w:tr w14:paraId="3C155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2F63A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EG2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214B0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A3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54.65 ± 0.19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4E378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100</w:t>
            </w:r>
            <w:r>
              <w:rPr>
                <w:rFonts w:hint="eastAsia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.00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0D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2.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F8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58.7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1.12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BF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0.78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21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</w:tr>
      <w:tr w14:paraId="7C1AC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ECBFA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EG3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ECB22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82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0.4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167B4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100</w:t>
            </w:r>
            <w:r>
              <w:rPr>
                <w:rFonts w:hint="eastAsia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.00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CE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1.03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6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0.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EB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0.8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ED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</w:t>
            </w:r>
          </w:p>
        </w:tc>
      </w:tr>
      <w:tr w14:paraId="351B5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380B26D6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EG4</w:t>
            </w:r>
          </w:p>
        </w:tc>
        <w:tc>
          <w:tcPr>
            <w:tcW w:w="494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7D73C18C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20</w:t>
            </w:r>
          </w:p>
        </w:tc>
        <w:tc>
          <w:tcPr>
            <w:tcW w:w="484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053A2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0.3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05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47F2E89D">
            <w:pPr>
              <w:numPr>
                <w:ilvl w:val="0"/>
                <w:numId w:val="0"/>
              </w:numPr>
              <w:bidi w:val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100</w:t>
            </w:r>
            <w:r>
              <w:rPr>
                <w:rFonts w:hint="eastAsia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.00</w:t>
            </w:r>
          </w:p>
        </w:tc>
        <w:tc>
          <w:tcPr>
            <w:tcW w:w="773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41779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1.8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73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1E413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74.0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1.9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73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56C4C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57.9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0.5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73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15F0E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44.1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± 1.5</w:t>
            </w: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</w:tr>
    </w:tbl>
    <w:p w14:paraId="63331E3A">
      <w:pPr>
        <w:bidi w:val="0"/>
        <w:ind w:firstLine="400" w:firstLineChars="200"/>
        <w:rPr>
          <w:rFonts w:hint="default" w:ascii="Times New Roman" w:hAnsi="Times New Roman" w:cs="Times New Roman"/>
          <w:color w:val="000000"/>
          <w:lang w:val="en-US" w:eastAsia="zh-CN"/>
        </w:rPr>
      </w:pPr>
    </w:p>
    <w:p w14:paraId="6CDCC530">
      <w:pPr>
        <w:rPr>
          <w:rFonts w:hint="eastAsia"/>
          <w:color w:val="1D41D5"/>
          <w:vertAlign w:val="baseline"/>
          <w:lang w:val="en-US" w:eastAsia="zh-CN"/>
        </w:rPr>
      </w:pPr>
      <w:r>
        <w:rPr>
          <w:rFonts w:hint="eastAsia"/>
          <w:color w:val="1D41D5"/>
          <w:vertAlign w:val="baseline"/>
          <w:lang w:val="en-US" w:eastAsia="zh-CN"/>
        </w:rPr>
        <w:br w:type="page"/>
      </w:r>
    </w:p>
    <w:p w14:paraId="3F272D7F">
      <w:pPr>
        <w:spacing w:line="480" w:lineRule="auto"/>
        <w:rPr>
          <w:rFonts w:hint="default"/>
        </w:rPr>
      </w:pPr>
      <w:r>
        <w:rPr>
          <w:rFonts w:hint="eastAsia" w:ascii="Times New Roman" w:hAnsi="Times New Roman" w:cs="Times New Roman"/>
          <w:b/>
          <w:bCs/>
          <w:color w:val="000000"/>
          <w:lang w:val="en-US" w:eastAsia="zh-CN"/>
        </w:rPr>
        <w:t>Fig</w:t>
      </w:r>
      <w:r>
        <w:rPr>
          <w:rFonts w:hint="eastAsia" w:cs="Times New Roman"/>
          <w:b/>
          <w:bCs/>
          <w:color w:val="000000"/>
          <w:lang w:val="en-US" w:eastAsia="zh-CN"/>
        </w:rPr>
        <w:t xml:space="preserve">.S1 </w:t>
      </w:r>
      <w:r>
        <w:t xml:space="preserve">XRD patterns and SEM images of NaX zeolite synthesized under different synthesis conditions. The figure shows representative phase compositions (XRD) and corresponding morphologies (SEM) for various NaOH/CFA ratios, liquid-to-solid ratios, and crystallization times. 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E956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63E28BB">
            <w:pPr>
              <w:pStyle w:val="13"/>
              <w:bidi w:val="0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6055" cy="2232025"/>
                  <wp:effectExtent l="0" t="0" r="6985" b="8255"/>
                  <wp:docPr id="4" name="图片 4" descr="碱灰比（小论文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碱灰比（小论文）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8A8E8">
            <w:pPr>
              <w:pStyle w:val="13"/>
              <w:bidi w:val="0"/>
              <w:jc w:val="both"/>
              <w:rPr>
                <w:rFonts w:hint="default" w:eastAsiaTheme="minorEastAsia"/>
                <w:lang w:val="en-US" w:eastAsia="zh-CN"/>
              </w:rPr>
            </w:pPr>
          </w:p>
        </w:tc>
      </w:tr>
      <w:tr w14:paraId="37304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FD0A217">
            <w:pPr>
              <w:pStyle w:val="13"/>
              <w:bidi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5269865" cy="2251710"/>
                  <wp:effectExtent l="0" t="0" r="3175" b="3810"/>
                  <wp:docPr id="6" name="图片 6" descr="液固比（小论文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液固比（小论文）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C6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CDDDF83">
            <w:pPr>
              <w:pStyle w:val="13"/>
              <w:bidi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5273675" cy="2216150"/>
                  <wp:effectExtent l="0" t="0" r="14605" b="8890"/>
                  <wp:docPr id="7" name="图片 7" descr="晶化时间（小论文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晶化时间（小论文）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4BE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2" w:firstLineChars="200"/>
        <w:textAlignment w:val="auto"/>
        <w:rPr>
          <w:rFonts w:hint="eastAsia" w:ascii="Times New Roman" w:hAnsi="Times New Roman" w:cs="Times New Roman"/>
          <w:color w:val="00000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00000"/>
          <w:lang w:val="en-US" w:eastAsia="zh-CN"/>
        </w:rPr>
        <w:t xml:space="preserve">Fig </w:t>
      </w:r>
      <w:r>
        <w:rPr>
          <w:rFonts w:hint="eastAsia" w:cs="Times New Roman"/>
          <w:b/>
          <w:bCs/>
          <w:color w:val="000000"/>
          <w:lang w:val="en-US" w:eastAsia="zh-CN"/>
        </w:rPr>
        <w:t>S1</w:t>
      </w:r>
      <w:r>
        <w:rPr>
          <w:rFonts w:hint="eastAsia" w:ascii="Times New Roman" w:hAnsi="Times New Roman" w:cs="Times New Roman"/>
          <w:b/>
          <w:bCs/>
          <w:color w:val="000000"/>
          <w:lang w:val="en-US" w:eastAsia="zh-CN"/>
        </w:rPr>
        <w:t>.</w:t>
      </w:r>
      <w:r>
        <w:rPr>
          <w:rFonts w:hint="eastAsia" w:ascii="Times New Roman" w:hAnsi="Times New Roman" w:cs="Times New Roman"/>
          <w:color w:val="000000"/>
          <w:lang w:val="en-US" w:eastAsia="zh-CN"/>
        </w:rPr>
        <w:t>XRD images of Zeolites Synthesized from Fly Ash via Alkaline Fusion: (a) Alkali-to-Ash Ratios; (c) Liquid-to-Solid Ratios; (e)Crystallization Times. SEM images of Zeolites Synthesized from Fly Ash via Alkaline Fusion:(b) Alkali-to-Ash Ratios; (d) Liquid-to-Solid Ratios; (f)Crystallization Times.</w:t>
      </w:r>
    </w:p>
    <w:p w14:paraId="245368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02" w:firstLineChars="200"/>
        <w:textAlignment w:val="auto"/>
        <w:rPr>
          <w:rFonts w:hint="default" w:ascii="Times New Roman" w:hAnsi="Times New Roman" w:cs="Times New Roman"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  <w:lang w:val="en-US" w:eastAsia="zh-CN"/>
        </w:rPr>
        <w:t>Table S</w:t>
      </w:r>
      <w:r>
        <w:rPr>
          <w:rFonts w:hint="eastAsia" w:cs="Times New Roman"/>
          <w:b/>
          <w:bCs/>
          <w:color w:val="000000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. Synthesis conditions and phase characteristics of NaX zeolite from CFA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03"/>
        <w:gridCol w:w="558"/>
        <w:gridCol w:w="604"/>
        <w:gridCol w:w="1054"/>
        <w:gridCol w:w="1231"/>
        <w:gridCol w:w="1250"/>
        <w:gridCol w:w="1709"/>
      </w:tblGrid>
      <w:tr w14:paraId="5A194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vAlign w:val="center"/>
          </w:tcPr>
          <w:p w14:paraId="04917E22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Run ID</w:t>
            </w:r>
          </w:p>
        </w:tc>
        <w:tc>
          <w:tcPr>
            <w:tcW w:w="647" w:type="pct"/>
            <w:vAlign w:val="center"/>
          </w:tcPr>
          <w:p w14:paraId="571BDF71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NaOH/CFA (mass ratio)</w:t>
            </w:r>
          </w:p>
        </w:tc>
        <w:tc>
          <w:tcPr>
            <w:tcW w:w="327" w:type="pct"/>
            <w:vAlign w:val="center"/>
          </w:tcPr>
          <w:p w14:paraId="356C0416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L/S ratio</w:t>
            </w:r>
          </w:p>
        </w:tc>
        <w:tc>
          <w:tcPr>
            <w:tcW w:w="354" w:type="pct"/>
            <w:vAlign w:val="center"/>
          </w:tcPr>
          <w:p w14:paraId="7BB16CAE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Time (h)</w:t>
            </w:r>
          </w:p>
        </w:tc>
        <w:tc>
          <w:tcPr>
            <w:tcW w:w="618" w:type="pct"/>
            <w:vAlign w:val="center"/>
          </w:tcPr>
          <w:p w14:paraId="79290D34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Dominant phase (XRD)</w:t>
            </w:r>
          </w:p>
        </w:tc>
        <w:tc>
          <w:tcPr>
            <w:tcW w:w="722" w:type="pct"/>
            <w:vAlign w:val="center"/>
          </w:tcPr>
          <w:p w14:paraId="5747F341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Secondary phase</w:t>
            </w:r>
          </w:p>
        </w:tc>
        <w:tc>
          <w:tcPr>
            <w:tcW w:w="733" w:type="pct"/>
            <w:vAlign w:val="center"/>
          </w:tcPr>
          <w:p w14:paraId="40ABCD89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SEM note (morphology)</w:t>
            </w:r>
          </w:p>
        </w:tc>
        <w:tc>
          <w:tcPr>
            <w:tcW w:w="1002" w:type="pct"/>
            <w:vAlign w:val="center"/>
          </w:tcPr>
          <w:p w14:paraId="4CA845A6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Remark</w:t>
            </w:r>
          </w:p>
        </w:tc>
      </w:tr>
      <w:tr w14:paraId="67E98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vAlign w:val="center"/>
          </w:tcPr>
          <w:p w14:paraId="1C3F05D5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A1</w:t>
            </w:r>
          </w:p>
        </w:tc>
        <w:tc>
          <w:tcPr>
            <w:tcW w:w="647" w:type="pct"/>
            <w:vAlign w:val="center"/>
          </w:tcPr>
          <w:p w14:paraId="0CE32CA4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0.6</w:t>
            </w:r>
          </w:p>
        </w:tc>
        <w:tc>
          <w:tcPr>
            <w:tcW w:w="327" w:type="pct"/>
            <w:vAlign w:val="center"/>
          </w:tcPr>
          <w:p w14:paraId="699417B9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6:1</w:t>
            </w:r>
          </w:p>
        </w:tc>
        <w:tc>
          <w:tcPr>
            <w:tcW w:w="354" w:type="pct"/>
            <w:vAlign w:val="center"/>
          </w:tcPr>
          <w:p w14:paraId="710C097C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12</w:t>
            </w:r>
          </w:p>
        </w:tc>
        <w:tc>
          <w:tcPr>
            <w:tcW w:w="618" w:type="pct"/>
            <w:vAlign w:val="center"/>
          </w:tcPr>
          <w:p w14:paraId="54EABDC7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LTA</w:t>
            </w:r>
          </w:p>
        </w:tc>
        <w:tc>
          <w:tcPr>
            <w:tcW w:w="722" w:type="pct"/>
            <w:vAlign w:val="center"/>
          </w:tcPr>
          <w:p w14:paraId="11319E69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–</w:t>
            </w:r>
          </w:p>
        </w:tc>
        <w:tc>
          <w:tcPr>
            <w:tcW w:w="733" w:type="pct"/>
            <w:vAlign w:val="center"/>
          </w:tcPr>
          <w:p w14:paraId="344F1FAC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cubic LTA</w:t>
            </w:r>
          </w:p>
        </w:tc>
        <w:tc>
          <w:tcPr>
            <w:tcW w:w="1002" w:type="pct"/>
            <w:vAlign w:val="center"/>
          </w:tcPr>
          <w:p w14:paraId="6CA305B8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low FAU yield</w:t>
            </w:r>
          </w:p>
        </w:tc>
      </w:tr>
      <w:tr w14:paraId="7F014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vAlign w:val="center"/>
          </w:tcPr>
          <w:p w14:paraId="665B16B2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A2</w:t>
            </w:r>
          </w:p>
        </w:tc>
        <w:tc>
          <w:tcPr>
            <w:tcW w:w="647" w:type="pct"/>
            <w:vAlign w:val="center"/>
          </w:tcPr>
          <w:p w14:paraId="38F0B1E3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0.8</w:t>
            </w:r>
          </w:p>
        </w:tc>
        <w:tc>
          <w:tcPr>
            <w:tcW w:w="327" w:type="pct"/>
            <w:vAlign w:val="center"/>
          </w:tcPr>
          <w:p w14:paraId="22DD5D28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6:1</w:t>
            </w:r>
          </w:p>
        </w:tc>
        <w:tc>
          <w:tcPr>
            <w:tcW w:w="354" w:type="pct"/>
            <w:vAlign w:val="center"/>
          </w:tcPr>
          <w:p w14:paraId="76D3418D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12</w:t>
            </w:r>
          </w:p>
        </w:tc>
        <w:tc>
          <w:tcPr>
            <w:tcW w:w="618" w:type="pct"/>
            <w:vAlign w:val="center"/>
          </w:tcPr>
          <w:p w14:paraId="7F832FFA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LTA+FAU</w:t>
            </w:r>
          </w:p>
        </w:tc>
        <w:tc>
          <w:tcPr>
            <w:tcW w:w="722" w:type="pct"/>
            <w:vAlign w:val="center"/>
          </w:tcPr>
          <w:p w14:paraId="6B36BF6D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FAU minor</w:t>
            </w:r>
          </w:p>
        </w:tc>
        <w:tc>
          <w:tcPr>
            <w:tcW w:w="733" w:type="pct"/>
            <w:vAlign w:val="center"/>
          </w:tcPr>
          <w:p w14:paraId="063AD65E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mixed cubic + octahedral</w:t>
            </w:r>
          </w:p>
        </w:tc>
        <w:tc>
          <w:tcPr>
            <w:tcW w:w="1002" w:type="pct"/>
            <w:vAlign w:val="center"/>
          </w:tcPr>
          <w:p w14:paraId="31ADC480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transition regime</w:t>
            </w:r>
          </w:p>
        </w:tc>
      </w:tr>
      <w:tr w14:paraId="792CD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vAlign w:val="center"/>
          </w:tcPr>
          <w:p w14:paraId="628B24E1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A3 (optimum)</w:t>
            </w:r>
          </w:p>
        </w:tc>
        <w:tc>
          <w:tcPr>
            <w:tcW w:w="647" w:type="pct"/>
            <w:vAlign w:val="center"/>
          </w:tcPr>
          <w:p w14:paraId="6D5B6C41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1.0</w:t>
            </w:r>
          </w:p>
        </w:tc>
        <w:tc>
          <w:tcPr>
            <w:tcW w:w="327" w:type="pct"/>
            <w:vAlign w:val="center"/>
          </w:tcPr>
          <w:p w14:paraId="40FC38FE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6:1</w:t>
            </w:r>
          </w:p>
        </w:tc>
        <w:tc>
          <w:tcPr>
            <w:tcW w:w="354" w:type="pct"/>
            <w:vAlign w:val="center"/>
          </w:tcPr>
          <w:p w14:paraId="50A0534E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12</w:t>
            </w:r>
          </w:p>
        </w:tc>
        <w:tc>
          <w:tcPr>
            <w:tcW w:w="618" w:type="pct"/>
            <w:vAlign w:val="center"/>
          </w:tcPr>
          <w:p w14:paraId="467FEBA6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FAU-NaX</w:t>
            </w:r>
          </w:p>
        </w:tc>
        <w:tc>
          <w:tcPr>
            <w:tcW w:w="722" w:type="pct"/>
            <w:vAlign w:val="center"/>
          </w:tcPr>
          <w:p w14:paraId="5E7E4138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–</w:t>
            </w:r>
          </w:p>
        </w:tc>
        <w:tc>
          <w:tcPr>
            <w:tcW w:w="733" w:type="pct"/>
            <w:vAlign w:val="center"/>
          </w:tcPr>
          <w:p w14:paraId="444EA0B7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well-defined FAU octahedra</w:t>
            </w:r>
          </w:p>
        </w:tc>
        <w:tc>
          <w:tcPr>
            <w:tcW w:w="1002" w:type="pct"/>
            <w:vAlign w:val="center"/>
          </w:tcPr>
          <w:p w14:paraId="597C1845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optimum condition</w:t>
            </w:r>
          </w:p>
        </w:tc>
      </w:tr>
      <w:tr w14:paraId="4E5A0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vAlign w:val="center"/>
          </w:tcPr>
          <w:p w14:paraId="7EC2376D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A4</w:t>
            </w:r>
          </w:p>
        </w:tc>
        <w:tc>
          <w:tcPr>
            <w:tcW w:w="647" w:type="pct"/>
            <w:vAlign w:val="center"/>
          </w:tcPr>
          <w:p w14:paraId="637959B9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1.2</w:t>
            </w:r>
          </w:p>
        </w:tc>
        <w:tc>
          <w:tcPr>
            <w:tcW w:w="327" w:type="pct"/>
            <w:vAlign w:val="center"/>
          </w:tcPr>
          <w:p w14:paraId="19E25C79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6:1</w:t>
            </w:r>
          </w:p>
        </w:tc>
        <w:tc>
          <w:tcPr>
            <w:tcW w:w="354" w:type="pct"/>
            <w:vAlign w:val="center"/>
          </w:tcPr>
          <w:p w14:paraId="7421D17F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12</w:t>
            </w:r>
          </w:p>
        </w:tc>
        <w:tc>
          <w:tcPr>
            <w:tcW w:w="618" w:type="pct"/>
            <w:vAlign w:val="center"/>
          </w:tcPr>
          <w:p w14:paraId="555E57CA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FAU+SOD</w:t>
            </w:r>
          </w:p>
        </w:tc>
        <w:tc>
          <w:tcPr>
            <w:tcW w:w="722" w:type="pct"/>
            <w:vAlign w:val="center"/>
          </w:tcPr>
          <w:p w14:paraId="615F35F3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SOD</w:t>
            </w:r>
          </w:p>
        </w:tc>
        <w:tc>
          <w:tcPr>
            <w:tcW w:w="733" w:type="pct"/>
            <w:vAlign w:val="center"/>
          </w:tcPr>
          <w:p w14:paraId="4422615E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dense sodalite coating</w:t>
            </w:r>
          </w:p>
        </w:tc>
        <w:tc>
          <w:tcPr>
            <w:tcW w:w="1002" w:type="pct"/>
            <w:vAlign w:val="center"/>
          </w:tcPr>
          <w:p w14:paraId="10779BCF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excess alkali favors SOD</w:t>
            </w:r>
          </w:p>
        </w:tc>
      </w:tr>
      <w:tr w14:paraId="4D38A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vAlign w:val="center"/>
          </w:tcPr>
          <w:p w14:paraId="5CC70637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A5</w:t>
            </w:r>
          </w:p>
        </w:tc>
        <w:tc>
          <w:tcPr>
            <w:tcW w:w="647" w:type="pct"/>
            <w:vAlign w:val="center"/>
          </w:tcPr>
          <w:p w14:paraId="38F154B4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1.0</w:t>
            </w:r>
          </w:p>
        </w:tc>
        <w:tc>
          <w:tcPr>
            <w:tcW w:w="327" w:type="pct"/>
            <w:vAlign w:val="center"/>
          </w:tcPr>
          <w:p w14:paraId="4A4BB324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9:1</w:t>
            </w:r>
          </w:p>
        </w:tc>
        <w:tc>
          <w:tcPr>
            <w:tcW w:w="354" w:type="pct"/>
            <w:vAlign w:val="center"/>
          </w:tcPr>
          <w:p w14:paraId="20681CBD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12</w:t>
            </w:r>
          </w:p>
        </w:tc>
        <w:tc>
          <w:tcPr>
            <w:tcW w:w="618" w:type="pct"/>
            <w:vAlign w:val="center"/>
          </w:tcPr>
          <w:p w14:paraId="41496AD5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Weak FAU</w:t>
            </w:r>
          </w:p>
        </w:tc>
        <w:tc>
          <w:tcPr>
            <w:tcW w:w="722" w:type="pct"/>
            <w:vAlign w:val="center"/>
          </w:tcPr>
          <w:p w14:paraId="3E63C708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hydrosodalite</w:t>
            </w:r>
          </w:p>
        </w:tc>
        <w:tc>
          <w:tcPr>
            <w:tcW w:w="733" w:type="pct"/>
            <w:vAlign w:val="center"/>
          </w:tcPr>
          <w:p w14:paraId="27772BC2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incomplete FAU, amorphous residues</w:t>
            </w:r>
          </w:p>
        </w:tc>
        <w:tc>
          <w:tcPr>
            <w:tcW w:w="1002" w:type="pct"/>
            <w:vAlign w:val="center"/>
          </w:tcPr>
          <w:p w14:paraId="5792B562">
            <w:pPr>
              <w:spacing w:after="0" w:line="240" w:lineRule="auto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dilution effect at high L/S</w:t>
            </w:r>
          </w:p>
        </w:tc>
      </w:tr>
      <w:tr w14:paraId="1515F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shd w:val="clear" w:color="auto" w:fill="auto"/>
            <w:vAlign w:val="center"/>
          </w:tcPr>
          <w:p w14:paraId="0C9808D9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B1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6075FA9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1.0</w:t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3FE659C5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6:1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135E9FA0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6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3139998B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Weak FAU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6A3017E8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–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7104DF66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incomplete FAU crystals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6E8ADEFD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insufficient crystallization</w:t>
            </w:r>
          </w:p>
        </w:tc>
      </w:tr>
      <w:tr w14:paraId="459A6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shd w:val="clear" w:color="auto" w:fill="auto"/>
            <w:vAlign w:val="center"/>
          </w:tcPr>
          <w:p w14:paraId="73EC42DF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B2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DFFA5B1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1.0</w:t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45C181BB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6:1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703739EA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125B1346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FAU-NaX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5BEF98CF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–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766EA5C5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well-formed FAU octahedra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79A29025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good crystallinity</w:t>
            </w:r>
          </w:p>
        </w:tc>
      </w:tr>
      <w:tr w14:paraId="458DE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shd w:val="clear" w:color="auto" w:fill="auto"/>
            <w:vAlign w:val="center"/>
          </w:tcPr>
          <w:p w14:paraId="1CA25F36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B3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2BD98A2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1.0</w:t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087A0E37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6:1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54AB41C6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14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7FD1BAC5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FAU aggregated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785EDE46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SOD minor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29EB87E7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aggregated FAU particles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684F0BA7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over-crystallization, aggregation</w:t>
            </w:r>
          </w:p>
        </w:tc>
      </w:tr>
      <w:tr w14:paraId="1091DB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shd w:val="clear" w:color="auto" w:fill="auto"/>
            <w:vAlign w:val="center"/>
          </w:tcPr>
          <w:p w14:paraId="06D6C924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C1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749BF19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1.0</w:t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2D28F193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3:1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56203603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12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76CB4737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SOD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0A152ACC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hydrosodalite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2FFBD478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dense sodalite coating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0BCB800E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low water, favors SOD</w:t>
            </w:r>
          </w:p>
        </w:tc>
      </w:tr>
      <w:tr w14:paraId="6DA1E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shd w:val="clear" w:color="auto" w:fill="auto"/>
            <w:vAlign w:val="center"/>
          </w:tcPr>
          <w:p w14:paraId="7B279448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C2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8276233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1.0</w:t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745819BE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9:1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04847CEE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12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10A54935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FAU weak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3C55ED00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–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448989F2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incomplete FAU morphology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6A7FE1F3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dilution weakens OH-</w:t>
            </w:r>
          </w:p>
        </w:tc>
      </w:tr>
      <w:tr w14:paraId="5A239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pct"/>
            <w:shd w:val="clear" w:color="auto" w:fill="auto"/>
            <w:vAlign w:val="center"/>
          </w:tcPr>
          <w:p w14:paraId="1C65B9EE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C3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F455EF2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1.0</w:t>
            </w:r>
          </w:p>
        </w:tc>
        <w:tc>
          <w:tcPr>
            <w:tcW w:w="327" w:type="pct"/>
            <w:shd w:val="clear" w:color="auto" w:fill="auto"/>
            <w:vAlign w:val="center"/>
          </w:tcPr>
          <w:p w14:paraId="5EF4D867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12:1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49576E39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12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685CECBA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FAU weak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2A903A30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amorphous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60B14A90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poor crystallinity, amorphous particles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3D4F9233"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18"/>
                <w:szCs w:val="22"/>
                <w:lang w:val="en-US" w:eastAsia="zh-CN" w:bidi="ar-SA"/>
              </w:rPr>
            </w:pPr>
            <w:r>
              <w:rPr>
                <w:sz w:val="18"/>
                <w:szCs w:val="22"/>
              </w:rPr>
              <w:t>excess water suppresses FAU</w:t>
            </w:r>
          </w:p>
        </w:tc>
      </w:tr>
    </w:tbl>
    <w:p w14:paraId="43A7A9B4">
      <w:pPr>
        <w:rPr>
          <w:rStyle w:val="11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</w:pPr>
      <w:r>
        <w:rPr>
          <w:rStyle w:val="11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br w:type="page"/>
      </w:r>
    </w:p>
    <w:p w14:paraId="3EB3E714">
      <w:pPr>
        <w:pStyle w:val="14"/>
        <w:rPr>
          <w:rFonts w:hint="default" w:ascii="Times New Roman" w:hAnsi="Times New Roman" w:eastAsia="宋体" w:cs="Times New Roman"/>
          <w:lang w:val="en-US" w:eastAsia="zh-CN"/>
        </w:rPr>
      </w:pPr>
      <w:bookmarkStart w:id="0" w:name="_Toc163593371"/>
      <w:bookmarkStart w:id="1" w:name="_Toc167465637"/>
      <w:r>
        <w:t>S</w:t>
      </w:r>
      <w:r>
        <w:rPr>
          <w:rFonts w:hint="eastAsia"/>
          <w:lang w:val="en-US" w:eastAsia="zh-CN"/>
        </w:rPr>
        <w:t>3.5.2</w:t>
      </w:r>
      <w:r>
        <w:t xml:space="preserve"> </w:t>
      </w:r>
      <w:bookmarkEnd w:id="0"/>
      <w:bookmarkEnd w:id="1"/>
      <w:r>
        <w:rPr>
          <w:rFonts w:hint="eastAsia"/>
          <w:lang w:val="en-US" w:eastAsia="zh-CN"/>
        </w:rPr>
        <w:t>Data and Methodology</w:t>
      </w:r>
    </w:p>
    <w:p w14:paraId="7DDAC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textAlignment w:val="auto"/>
        <w:rPr>
          <w:rFonts w:hint="eastAsia" w:cs="Times New Roman"/>
          <w:lang w:val="en-US" w:eastAsia="zh-CN"/>
        </w:rPr>
      </w:pPr>
      <w:bookmarkStart w:id="2" w:name="_GoBack"/>
      <w:r>
        <w:rPr>
          <w:rFonts w:hint="eastAsia" w:cs="Times New Roman"/>
          <w:lang w:val="en-US" w:eastAsia="zh-CN"/>
        </w:rPr>
        <w:t>The single-exponential model is:</w:t>
      </w:r>
    </w:p>
    <w:p w14:paraId="254539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jc w:val="center"/>
        <w:textAlignment w:val="auto"/>
        <w:rPr>
          <w:rFonts w:hint="default" w:cs="Times New Roman"/>
          <w:lang w:val="en-US" w:eastAsia="zh-CN"/>
        </w:rPr>
      </w:pPr>
      <w:r>
        <w:rPr>
          <w:rFonts w:hint="default" w:cs="Times New Roman"/>
          <w:position w:val="-10"/>
          <w:lang w:val="en-US" w:eastAsia="zh-CN"/>
        </w:rPr>
        <w:object>
          <v:shape id="_x0000_i1025" o:spt="75" type="#_x0000_t75" style="height:18pt;width:74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10">
            <o:LockedField>false</o:LockedField>
          </o:OLEObject>
        </w:object>
      </w:r>
    </w:p>
    <w:p w14:paraId="0690D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jc w:val="left"/>
        <w:textAlignment w:val="auto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By taking the natural logarithm of both sides:</w:t>
      </w:r>
    </w:p>
    <w:p w14:paraId="275933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jc w:val="center"/>
        <w:textAlignment w:val="auto"/>
        <w:rPr>
          <w:rFonts w:hint="default" w:cs="Times New Roman"/>
          <w:lang w:val="en-US" w:eastAsia="zh-CN"/>
        </w:rPr>
      </w:pPr>
      <w:r>
        <w:rPr>
          <w:rFonts w:hint="default" w:cs="Times New Roman"/>
          <w:position w:val="-10"/>
          <w:lang w:val="en-US" w:eastAsia="zh-CN"/>
        </w:rPr>
        <w:object>
          <v:shape id="_x0000_i1026" o:spt="75" type="#_x0000_t75" style="height:16pt;width:109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12">
            <o:LockedField>false</o:LockedField>
          </o:OLEObject>
        </w:object>
      </w:r>
    </w:p>
    <w:p w14:paraId="5C07B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textAlignment w:val="auto"/>
        <w:rPr>
          <w:rFonts w:hint="default" w:ascii="Times New Roman" w:hAnsi="Times New Roman" w:cs="Times New Roman"/>
          <w:i/>
          <w:iCs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let</w:t>
      </w:r>
      <w:r>
        <w:rPr>
          <w:rFonts w:hint="eastAsia" w:cs="Times New Roman"/>
          <w:lang w:val="en-US" w:eastAsia="zh-CN"/>
        </w:rPr>
        <w:t xml:space="preserve"> </w:t>
      </w:r>
      <m:oMath>
        <m:r>
          <m:rPr/>
          <w:rPr>
            <w:rFonts w:hint="default" w:ascii="Cambria Math" w:hAnsi="Cambria Math" w:cs="Times New Roman"/>
            <w:kern w:val="2"/>
            <w:sz w:val="20"/>
            <w:szCs w:val="24"/>
            <w:lang w:val="en-US" w:eastAsia="zh-CN" w:bidi="ar-SA"/>
          </w:rPr>
          <m:t>y=lnR, x=t−1</m:t>
        </m:r>
      </m:oMath>
      <w:r>
        <w:rPr>
          <w:rFonts w:hint="default" w:ascii="Times New Roman" w:hAnsi="Times New Roman" w:cs="Times New Roman"/>
          <w:lang w:val="en-US" w:eastAsia="zh-CN"/>
        </w:rPr>
        <w:t>,</w:t>
      </w:r>
      <w:r>
        <w:rPr>
          <w:rFonts w:hint="eastAsia" w:cs="Times New Roman"/>
          <w:lang w:val="en-US" w:eastAsia="zh-CN"/>
        </w:rPr>
        <w:t xml:space="preserve"> and perform a regression of </w:t>
      </w:r>
      <m:oMath>
        <m:r>
          <m:rPr/>
          <w:rPr>
            <w:rFonts w:hint="default" w:ascii="Cambria Math" w:hAnsi="Cambria Math" w:cs="Times New Roman"/>
            <w:kern w:val="2"/>
            <w:sz w:val="20"/>
            <w:szCs w:val="24"/>
            <w:lang w:val="en-US" w:eastAsia="zh-CN" w:bidi="ar-SA"/>
          </w:rPr>
          <m:t>y=A−kx</m:t>
        </m:r>
      </m:oMath>
      <w:r>
        <w:rPr>
          <w:rFonts w:hint="eastAsia" w:hAnsi="Cambria Math" w:cs="Cambria Math"/>
          <w:i w:val="0"/>
          <w:iCs/>
          <w:kern w:val="2"/>
          <w:sz w:val="20"/>
          <w:szCs w:val="24"/>
          <w:lang w:val="en-US" w:eastAsia="zh-CN" w:bidi="ar-SA"/>
        </w:rPr>
        <w:t>, yielding:</w:t>
      </w:r>
    </w:p>
    <w:p w14:paraId="05810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jc w:val="center"/>
        <w:textAlignment w:val="auto"/>
        <w:rPr>
          <w:rFonts w:hint="default" w:ascii="Times New Roman" w:hAnsi="Times New Roman" w:cs="Times New Roman"/>
          <w:position w:val="-32"/>
          <w:lang w:val="en-US" w:eastAsia="zh-CN"/>
        </w:rPr>
      </w:pPr>
      <w:r>
        <w:rPr>
          <w:rFonts w:hint="default" w:ascii="Times New Roman" w:hAnsi="Times New Roman" w:cs="Times New Roman"/>
          <w:position w:val="-32"/>
          <w:lang w:val="en-US" w:eastAsia="zh-CN"/>
        </w:rPr>
        <w:object>
          <v:shape id="_x0000_i1027" o:spt="75" type="#_x0000_t75" style="height:38pt;width:216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14">
            <o:LockedField>false</o:LockedField>
          </o:OLEObject>
        </w:object>
      </w:r>
    </w:p>
    <w:p w14:paraId="02439CA4">
      <w:pPr>
        <w:bidi w:val="0"/>
        <w:spacing w:line="480" w:lineRule="auto"/>
        <w:ind w:firstLine="200" w:firstLineChars="100"/>
        <w:rPr>
          <w:rFonts w:hint="default" w:eastAsiaTheme="minorEastAsia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/>
              <w:rPr>
                <w:rFonts w:ascii="Cambria Math" w:hAnsi="Cambria Math"/>
                <w:lang w:val="en-US"/>
              </w:rPr>
              <m:t>τ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m:rPr/>
              <w:rPr>
                <w:rFonts w:hint="default" w:ascii="Cambria Math" w:hAnsi="Cambria Math"/>
                <w:lang w:val="en-US" w:eastAsia="zh-CN"/>
              </w:rPr>
              <m:t>i</m:t>
            </m:r>
            <m:ctrlPr>
              <w:rPr>
                <w:rFonts w:ascii="Cambria Math" w:hAnsi="Cambria Math"/>
                <w:i/>
                <w:lang w:val="en-US"/>
              </w:rPr>
            </m:ctrlPr>
          </m:sub>
        </m:sSub>
        <m:r>
          <m:rPr/>
          <w:rPr>
            <w:rFonts w:hint="default" w:ascii="Cambria Math" w:hAnsi="Cambria Math"/>
            <w:lang w:val="en-US" w:eastAsia="zh-CN"/>
          </w:rPr>
          <m:t>=</m:t>
        </m:r>
        <m:sSub>
          <m:sSubPr>
            <m:ctrlPr>
              <w:rPr>
                <w:rFonts w:hint="default" w:ascii="Cambria Math" w:hAnsi="Cambria Math"/>
                <w:i/>
                <w:lang w:val="en-US" w:eastAsia="zh-CN"/>
              </w:rPr>
            </m:ctrlPr>
          </m:sSubPr>
          <m:e>
            <m:r>
              <m:rPr/>
              <w:rPr>
                <w:rFonts w:hint="default" w:ascii="Cambria Math" w:hAnsi="Cambria Math"/>
                <w:lang w:val="en-US" w:eastAsia="zh-CN"/>
              </w:rPr>
              <m:t>t</m:t>
            </m:r>
            <m:ctrlPr>
              <w:rPr>
                <w:rFonts w:hint="default" w:ascii="Cambria Math" w:hAnsi="Cambria Math"/>
                <w:i/>
                <w:lang w:val="en-US" w:eastAsia="zh-CN"/>
              </w:rPr>
            </m:ctrlPr>
          </m:e>
          <m:sub>
            <m:r>
              <m:rPr/>
              <w:rPr>
                <w:rFonts w:hint="default" w:ascii="Cambria Math" w:hAnsi="Cambria Math"/>
                <w:lang w:val="en-US" w:eastAsia="zh-CN"/>
              </w:rPr>
              <m:t>i</m:t>
            </m:r>
            <m:ctrlPr>
              <w:rPr>
                <w:rFonts w:hint="default" w:ascii="Cambria Math" w:hAnsi="Cambria Math"/>
                <w:i/>
                <w:lang w:val="en-US" w:eastAsia="zh-CN"/>
              </w:rPr>
            </m:ctrlPr>
          </m:sub>
        </m:sSub>
        <m:r>
          <m:rPr/>
          <w:rPr>
            <w:rFonts w:hint="default" w:ascii="Cambria Math" w:hAnsi="Cambria Math"/>
            <w:lang w:val="en-US" w:eastAsia="zh-CN"/>
          </w:rPr>
          <m:t>−1</m:t>
        </m:r>
      </m:oMath>
      <w:r>
        <w:rPr>
          <w:rFonts w:hint="eastAsia" w:hAnsi="Cambria Math"/>
          <w:i w:val="0"/>
          <w:lang w:val="en-US" w:eastAsia="zh-CN"/>
        </w:rPr>
        <w:t xml:space="preserve"> and </w:t>
      </w:r>
      <w:r>
        <w:rPr>
          <w:rFonts w:hint="eastAsia" w:hAnsi="Cambria Math"/>
          <w:i/>
          <w:iCs/>
          <w:lang w:val="en-US" w:eastAsia="zh-CN"/>
        </w:rPr>
        <w:t>lnR</w:t>
      </w:r>
      <w:r>
        <w:rPr>
          <w:rFonts w:hint="eastAsia" w:hAnsi="Cambria Math"/>
          <w:i/>
          <w:iCs/>
          <w:vertAlign w:val="subscript"/>
          <w:lang w:val="en-US" w:eastAsia="zh-CN"/>
        </w:rPr>
        <w:t xml:space="preserve">i </w:t>
      </w:r>
      <w:r>
        <w:rPr>
          <w:rFonts w:hint="eastAsia" w:hAnsi="Cambria Math"/>
          <w:i w:val="0"/>
          <w:iCs w:val="0"/>
          <w:vertAlign w:val="baseline"/>
          <w:lang w:val="en-US" w:eastAsia="zh-CN"/>
        </w:rPr>
        <w:t>are the values for each data point.</w:t>
      </w:r>
    </w:p>
    <w:p w14:paraId="1A400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textAlignment w:val="auto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The logarithmic model is:</w:t>
      </w:r>
    </w:p>
    <w:p w14:paraId="2BA5E5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jc w:val="center"/>
        <w:textAlignment w:val="auto"/>
        <w:rPr>
          <w:rFonts w:hint="default" w:cs="Times New Roman"/>
          <w:lang w:val="en-US" w:eastAsia="zh-CN"/>
        </w:rPr>
      </w:pPr>
      <w:r>
        <w:rPr>
          <w:rFonts w:hint="default" w:cs="Times New Roman"/>
          <w:position w:val="-10"/>
          <w:lang w:val="en-US" w:eastAsia="zh-CN"/>
        </w:rPr>
        <w:object>
          <v:shape id="_x0000_i1028" o:spt="75" type="#_x0000_t75" style="height:16pt;width:83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6">
            <o:LockedField>false</o:LockedField>
          </o:OLEObject>
        </w:object>
      </w:r>
    </w:p>
    <w:p w14:paraId="05B0CD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textAlignment w:val="auto"/>
        <w:rPr>
          <w:rFonts w:hint="default" w:hAnsi="Cambria Math" w:cs="Times New Roman"/>
          <w:i/>
          <w:iCs/>
          <w:kern w:val="2"/>
          <w:sz w:val="20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cs="Times New Roman"/>
          <w:lang w:val="en-US" w:eastAsia="zh-CN"/>
        </w:rPr>
        <w:t>We again use least squares regression to fit</w:t>
      </w:r>
      <w:r>
        <w:rPr>
          <w:rFonts w:hint="default" w:ascii="Times New Roman" w:hAnsi="Times New Roman" w:cs="Times New Roman"/>
          <w:lang w:val="en-US" w:eastAsia="zh-CN"/>
        </w:rPr>
        <w:t> </w:t>
      </w:r>
      <m:oMath>
        <m:r>
          <m:rPr/>
          <w:rPr>
            <w:rFonts w:hint="default" w:ascii="Cambria Math" w:hAnsi="Cambria Math" w:cs="Times New Roman"/>
            <w:kern w:val="2"/>
            <w:sz w:val="20"/>
            <w:szCs w:val="24"/>
            <w:lang w:val="en-US" w:eastAsia="zh-CN" w:bidi="ar-SA"/>
          </w:rPr>
          <m:t>y=R, z=ln(t)</m:t>
        </m:r>
      </m:oMath>
      <w:r>
        <w:rPr>
          <w:rFonts w:hint="eastAsia" w:hAnsi="Cambria Math" w:cs="Times New Roman"/>
          <w:i/>
          <w:iCs/>
          <w:kern w:val="2"/>
          <w:sz w:val="20"/>
          <w:szCs w:val="24"/>
          <w:lang w:val="en-US" w:eastAsia="zh-CN" w:bidi="ar-SA"/>
        </w:rPr>
        <w:t xml:space="preserve">, </w:t>
      </w:r>
      <w:r>
        <w:rPr>
          <w:rFonts w:hint="eastAsia" w:hAnsi="Cambria Math" w:cs="Times New Roman"/>
          <w:i w:val="0"/>
          <w:iCs w:val="0"/>
          <w:kern w:val="2"/>
          <w:sz w:val="20"/>
          <w:szCs w:val="24"/>
          <w:lang w:val="en-US" w:eastAsia="zh-CN" w:bidi="ar-SA"/>
        </w:rPr>
        <w:t>and perform a regression of</w:t>
      </w:r>
      <w:r>
        <w:rPr>
          <w:rFonts w:hint="eastAsia" w:hAnsi="Cambria Math" w:cs="Times New Roman"/>
          <w:i/>
          <w:iCs/>
          <w:kern w:val="2"/>
          <w:sz w:val="20"/>
          <w:szCs w:val="24"/>
          <w:lang w:val="en-US" w:eastAsia="zh-CN" w:bidi="ar-SA"/>
        </w:rPr>
        <w:t> </w:t>
      </w:r>
      <m:oMath>
        <m:r>
          <m:rPr/>
          <w:rPr>
            <w:rFonts w:hint="default" w:ascii="Cambria Math" w:hAnsi="Cambria Math" w:cs="Times New Roman"/>
            <w:kern w:val="2"/>
            <w:sz w:val="20"/>
            <w:szCs w:val="24"/>
            <w:lang w:val="en-US" w:eastAsia="zh-CN" w:bidi="ar-SA"/>
          </w:rPr>
          <m:t>y=B−bz</m:t>
        </m:r>
      </m:oMath>
      <w:r>
        <w:rPr>
          <w:rFonts w:hint="default" w:hAnsi="Cambria Math" w:cs="Times New Roman"/>
          <w:i w:val="0"/>
          <w:iCs w:val="0"/>
          <w:kern w:val="2"/>
          <w:sz w:val="20"/>
          <w:szCs w:val="24"/>
          <w:lang w:val="en-US" w:eastAsia="zh-CN" w:bidi="ar-SA"/>
        </w:rPr>
        <w:t>, yielding</w:t>
      </w:r>
      <w:r>
        <w:rPr>
          <w:rFonts w:hint="default" w:hAnsi="Cambria Math" w:cs="Times New Roman"/>
          <w:i/>
          <w:iCs/>
          <w:kern w:val="2"/>
          <w:sz w:val="20"/>
          <w:szCs w:val="24"/>
          <w:lang w:val="en-US" w:eastAsia="zh-CN" w:bidi="ar-SA"/>
        </w:rPr>
        <w:t>:</w:t>
      </w:r>
    </w:p>
    <w:p w14:paraId="3765F7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jc w:val="center"/>
        <w:textAlignment w:val="auto"/>
        <w:rPr>
          <w:rFonts w:hint="default" w:ascii="Times New Roman" w:hAnsi="Times New Roman" w:cs="Times New Roman"/>
          <w:position w:val="-32"/>
          <w:lang w:val="en-US" w:eastAsia="zh-CN"/>
        </w:rPr>
      </w:pPr>
      <w:r>
        <w:rPr>
          <w:rFonts w:hint="default" w:ascii="Times New Roman" w:hAnsi="Times New Roman" w:cs="Times New Roman"/>
          <w:position w:val="-32"/>
          <w:lang w:val="en-US" w:eastAsia="zh-CN"/>
        </w:rPr>
        <w:object>
          <v:shape id="_x0000_i1029" o:spt="75" type="#_x0000_t75" style="height:38pt;width:264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8">
            <o:LockedField>false</o:LockedField>
          </o:OLEObject>
        </w:object>
      </w:r>
    </w:p>
    <w:p w14:paraId="1EBE0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jc w:val="left"/>
        <w:textAlignment w:val="auto"/>
        <w:rPr>
          <w:rFonts w:hint="default" w:ascii="Times New Roman" w:hAnsi="Times New Roman" w:cs="Times New Roman"/>
          <w:position w:val="-32"/>
          <w:lang w:val="en-US" w:eastAsia="zh-CN"/>
        </w:rPr>
      </w:pPr>
      <w:r>
        <w:rPr>
          <w:rFonts w:hint="eastAsia"/>
          <w:lang w:val="en-US" w:eastAsia="zh-CN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/>
              <w:rPr>
                <w:rFonts w:ascii="Cambria Math" w:hAnsi="Cambria Math"/>
                <w:lang w:val="en-US"/>
              </w:rPr>
              <m:t>τ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m:rPr/>
              <w:rPr>
                <w:rFonts w:hint="default" w:ascii="Cambria Math" w:hAnsi="Cambria Math"/>
                <w:lang w:val="en-US" w:eastAsia="zh-CN"/>
              </w:rPr>
              <m:t>i</m:t>
            </m:r>
            <m:ctrlPr>
              <w:rPr>
                <w:rFonts w:ascii="Cambria Math" w:hAnsi="Cambria Math"/>
                <w:i/>
                <w:lang w:val="en-US"/>
              </w:rPr>
            </m:ctrlPr>
          </m:sub>
        </m:sSub>
        <m:r>
          <m:rPr/>
          <w:rPr>
            <w:rFonts w:hint="default" w:ascii="Cambria Math" w:hAnsi="Cambria Math"/>
            <w:lang w:val="en-US" w:eastAsia="zh-CN"/>
          </w:rPr>
          <m:t>=</m:t>
        </m:r>
        <m:sSub>
          <m:sSubPr>
            <m:ctrlPr>
              <w:rPr>
                <w:rFonts w:hint="default" w:ascii="Cambria Math" w:hAnsi="Cambria Math"/>
                <w:i/>
                <w:lang w:val="en-US" w:eastAsia="zh-CN"/>
              </w:rPr>
            </m:ctrlPr>
          </m:sSubPr>
          <m:e>
            <m:r>
              <m:rPr/>
              <w:rPr>
                <w:rFonts w:hint="default" w:ascii="Cambria Math" w:hAnsi="Cambria Math"/>
                <w:lang w:val="en-US" w:eastAsia="zh-CN"/>
              </w:rPr>
              <m:t>t</m:t>
            </m:r>
            <m:ctrlPr>
              <w:rPr>
                <w:rFonts w:hint="default" w:ascii="Cambria Math" w:hAnsi="Cambria Math"/>
                <w:i/>
                <w:lang w:val="en-US" w:eastAsia="zh-CN"/>
              </w:rPr>
            </m:ctrlPr>
          </m:e>
          <m:sub>
            <m:r>
              <m:rPr/>
              <w:rPr>
                <w:rFonts w:hint="default" w:ascii="Cambria Math" w:hAnsi="Cambria Math"/>
                <w:lang w:val="en-US" w:eastAsia="zh-CN"/>
              </w:rPr>
              <m:t>i</m:t>
            </m:r>
            <m:ctrlPr>
              <w:rPr>
                <w:rFonts w:hint="default" w:ascii="Cambria Math" w:hAnsi="Cambria Math"/>
                <w:i/>
                <w:lang w:val="en-US" w:eastAsia="zh-CN"/>
              </w:rPr>
            </m:ctrlPr>
          </m:sub>
        </m:sSub>
        <m:r>
          <m:rPr/>
          <w:rPr>
            <w:rFonts w:hint="default" w:ascii="Cambria Math" w:hAnsi="Cambria Math"/>
            <w:lang w:val="en-US" w:eastAsia="zh-CN"/>
          </w:rPr>
          <m:t>−1</m:t>
        </m:r>
      </m:oMath>
      <w:r>
        <w:rPr>
          <w:rFonts w:hint="eastAsia" w:hAnsi="Cambria Math"/>
          <w:i w:val="0"/>
          <w:lang w:val="en-US" w:eastAsia="zh-CN"/>
        </w:rPr>
        <w:t xml:space="preserve"> and </w:t>
      </w:r>
      <w:r>
        <w:rPr>
          <w:rFonts w:hint="eastAsia" w:hAnsi="Cambria Math"/>
          <w:i/>
          <w:iCs/>
          <w:lang w:val="en-US" w:eastAsia="zh-CN"/>
        </w:rPr>
        <w:t>R</w:t>
      </w:r>
      <w:r>
        <w:rPr>
          <w:rFonts w:hint="eastAsia" w:hAnsi="Cambria Math"/>
          <w:i/>
          <w:iCs/>
          <w:vertAlign w:val="subscript"/>
          <w:lang w:val="en-US" w:eastAsia="zh-CN"/>
        </w:rPr>
        <w:t xml:space="preserve">i </w:t>
      </w:r>
      <w:r>
        <w:rPr>
          <w:rFonts w:hint="eastAsia" w:hAnsi="Cambria Math"/>
          <w:i w:val="0"/>
          <w:iCs w:val="0"/>
          <w:vertAlign w:val="baseline"/>
          <w:lang w:val="en-US" w:eastAsia="zh-CN"/>
        </w:rPr>
        <w:t>are the values for each data point.</w:t>
      </w:r>
    </w:p>
    <w:p w14:paraId="135E82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00" w:firstLineChars="200"/>
        <w:textAlignment w:val="auto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For the bi-exponential model, to ensure global optimization of parameter fitting and avoid local minima, a grid search strategy was employed over [0.01,2.0]</w:t>
      </w:r>
      <w:r>
        <w:rPr>
          <w:rFonts w:hint="eastAsia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for</w:t>
      </w:r>
      <w:r>
        <w:rPr>
          <w:rFonts w:hint="eastAsia" w:cs="Times New Roman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i/>
          <w:iCs/>
          <w:lang w:val="en-US" w:eastAsia="zh-CN"/>
        </w:rPr>
        <w:t>k</w:t>
      </w:r>
      <w:r>
        <w:rPr>
          <w:rFonts w:hint="eastAsia" w:ascii="Times New Roman" w:hAnsi="Times New Roman" w:cs="Times New Roman"/>
          <w:b/>
          <w:bCs/>
          <w:i/>
          <w:iCs/>
          <w:vertAlign w:val="subscript"/>
          <w:lang w:val="en-US" w:eastAsia="zh-CN"/>
        </w:rPr>
        <w:t>1</w:t>
      </w:r>
      <w:r>
        <w:rPr>
          <w:rFonts w:hint="eastAsia" w:ascii="Times New Roman" w:hAnsi="Times New Roman" w:cs="Times New Roman"/>
          <w:vertAlign w:val="baseline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i/>
          <w:iCs/>
          <w:vertAlign w:val="baseline"/>
          <w:lang w:val="en-US" w:eastAsia="zh-CN"/>
        </w:rPr>
        <w:t>k</w:t>
      </w:r>
      <w:r>
        <w:rPr>
          <w:rFonts w:hint="eastAsia" w:ascii="Times New Roman" w:hAnsi="Times New Roman" w:cs="Times New Roman"/>
          <w:b/>
          <w:bCs/>
          <w:i/>
          <w:iCs/>
          <w:vertAlign w:val="subscript"/>
          <w:lang w:val="en-US" w:eastAsia="zh-CN"/>
        </w:rPr>
        <w:t>2</w:t>
      </w:r>
      <w:r>
        <w:rPr>
          <w:rFonts w:hint="eastAsia" w:cs="Times New Roman"/>
          <w:b w:val="0"/>
          <w:bCs w:val="0"/>
          <w:i w:val="0"/>
          <w:iCs w:val="0"/>
          <w:vertAlign w:val="baseline"/>
          <w:lang w:val="en-US" w:eastAsia="zh-CN"/>
        </w:rPr>
        <w:t>)</w:t>
      </w:r>
      <w:r>
        <w:rPr>
          <w:rFonts w:hint="eastAsia" w:ascii="Times New Roman" w:hAnsi="Times New Roman" w:cs="Times New Roman"/>
          <w:lang w:val="en-US" w:eastAsia="zh-CN"/>
        </w:rPr>
        <w:t> (with the constraint</w:t>
      </w:r>
      <w:r>
        <w:rPr>
          <w:rFonts w:hint="eastAsia" w:cs="Times New Roman"/>
          <w:b/>
          <w:bCs/>
          <w:i/>
          <w:iCs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i/>
          <w:iCs/>
          <w:lang w:val="en-US" w:eastAsia="zh-CN"/>
        </w:rPr>
        <w:t>k</w:t>
      </w:r>
      <w:r>
        <w:rPr>
          <w:rFonts w:hint="eastAsia" w:ascii="Times New Roman" w:hAnsi="Times New Roman" w:cs="Times New Roman"/>
          <w:b/>
          <w:bCs/>
          <w:i/>
          <w:iCs/>
          <w:vertAlign w:val="subscript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  <w:i w:val="0"/>
          <w:iCs w:val="0"/>
          <w:caps w:val="0"/>
          <w:color w:val="0F1115"/>
          <w:spacing w:val="0"/>
          <w:sz w:val="23"/>
          <w:szCs w:val="23"/>
          <w:shd w:val="clear" w:fill="FFFFFF"/>
        </w:rPr>
        <w:t>&gt;</w:t>
      </w:r>
      <w:r>
        <w:rPr>
          <w:rFonts w:hint="eastAsia" w:ascii="Times New Roman" w:hAnsi="Times New Roman" w:cs="Times New Roman"/>
          <w:b/>
          <w:bCs/>
          <w:i/>
          <w:iCs/>
          <w:vertAlign w:val="baseline"/>
          <w:lang w:val="en-US" w:eastAsia="zh-CN"/>
        </w:rPr>
        <w:t>k</w:t>
      </w:r>
      <w:r>
        <w:rPr>
          <w:rFonts w:hint="eastAsia" w:ascii="Times New Roman" w:hAnsi="Times New Roman" w:cs="Times New Roman"/>
          <w:b/>
          <w:bCs/>
          <w:i/>
          <w:iCs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lang w:val="en-US" w:eastAsia="zh-CN"/>
        </w:rPr>
        <w:t>）,For each given</w:t>
      </w:r>
      <w:r>
        <w:rPr>
          <w:rFonts w:hint="eastAsia" w:cs="Times New Roman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i/>
          <w:iCs/>
          <w:lang w:val="en-US" w:eastAsia="zh-CN"/>
        </w:rPr>
        <w:t>k</w:t>
      </w:r>
      <w:r>
        <w:rPr>
          <w:rFonts w:hint="eastAsia" w:ascii="Times New Roman" w:hAnsi="Times New Roman" w:cs="Times New Roman"/>
          <w:b/>
          <w:bCs/>
          <w:i/>
          <w:iCs/>
          <w:vertAlign w:val="subscript"/>
          <w:lang w:val="en-US" w:eastAsia="zh-CN"/>
        </w:rPr>
        <w:t>1</w:t>
      </w:r>
      <w:r>
        <w:rPr>
          <w:rFonts w:hint="eastAsia" w:ascii="Times New Roman" w:hAnsi="Times New Roman" w:cs="Times New Roman"/>
          <w:vertAlign w:val="baseline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i/>
          <w:iCs/>
          <w:vertAlign w:val="baseline"/>
          <w:lang w:val="en-US" w:eastAsia="zh-CN"/>
        </w:rPr>
        <w:t>k</w:t>
      </w:r>
      <w:r>
        <w:rPr>
          <w:rFonts w:hint="eastAsia" w:ascii="Times New Roman" w:hAnsi="Times New Roman" w:cs="Times New Roman"/>
          <w:b/>
          <w:bCs/>
          <w:i/>
          <w:iCs/>
          <w:vertAlign w:val="subscript"/>
          <w:lang w:val="en-US" w:eastAsia="zh-CN"/>
        </w:rPr>
        <w:t>2</w:t>
      </w:r>
      <w:r>
        <w:rPr>
          <w:rFonts w:hint="eastAsia" w:cs="Times New Roman"/>
          <w:lang w:val="en-US" w:eastAsia="zh-CN"/>
        </w:rPr>
        <w:t>)</w:t>
      </w:r>
      <w:r>
        <w:rPr>
          <w:rFonts w:hint="eastAsia" w:ascii="Times New Roman" w:hAnsi="Times New Roman" w:cs="Times New Roman"/>
          <w:lang w:val="en-US" w:eastAsia="zh-CN"/>
        </w:rPr>
        <w:t> </w:t>
      </w:r>
      <w:r>
        <w:rPr>
          <w:rFonts w:hint="eastAsia" w:cs="Times New Roman"/>
          <w:lang w:val="en-US" w:eastAsia="zh-CN"/>
        </w:rPr>
        <w:t>, the closed-form estimate</w:t>
      </w:r>
      <w:r>
        <w:rPr>
          <w:rFonts w:hint="eastAsia" w:ascii="Times New Roman" w:hAnsi="Times New Roman" w:cs="Times New Roman"/>
          <w:b/>
          <w:bCs/>
          <w:position w:val="-6"/>
          <w:lang w:val="en-US" w:eastAsia="zh-CN"/>
        </w:rPr>
        <w:object>
          <v:shape id="_x0000_i1030" o:spt="75" type="#_x0000_t75" style="height:15pt;width:12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20">
            <o:LockedField>false</o:LockedField>
          </o:OLEObject>
        </w:objec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was used to minimize the sum of squared errors (</w:t>
      </w:r>
      <w:r>
        <w:rPr>
          <w:rFonts w:hint="default" w:ascii="Times New Roman" w:hAnsi="Times New Roman" w:eastAsia="Segoe UI" w:cs="Times New Roman"/>
          <w:b/>
          <w:bCs/>
          <w:i/>
          <w:iCs/>
          <w:caps w:val="0"/>
          <w:color w:val="0F1115"/>
          <w:spacing w:val="0"/>
          <w:sz w:val="20"/>
          <w:szCs w:val="20"/>
          <w:shd w:val="clear" w:fill="FFFFFF"/>
        </w:rPr>
        <w:t>SSE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). The parameter set yielding the smallest SSE was selected as optimal:</w:t>
      </w:r>
    </w:p>
    <w:p w14:paraId="1D93BF1F">
      <w:pPr>
        <w:numPr>
          <w:ilvl w:val="0"/>
          <w:numId w:val="0"/>
        </w:numPr>
        <w:bidi w:val="0"/>
        <w:spacing w:line="480" w:lineRule="auto"/>
        <w:ind w:left="21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position w:val="-46"/>
          <w:lang w:val="en-US" w:eastAsia="zh-CN"/>
        </w:rPr>
        <w:object>
          <v:shape id="_x0000_i1031" o:spt="75" type="#_x0000_t75" style="height:52pt;width:116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22">
            <o:LockedField>false</o:LockedField>
          </o:OLEObject>
        </w:object>
      </w:r>
    </w:p>
    <w:p w14:paraId="39A0B76C">
      <w:pPr>
        <w:numPr>
          <w:ilvl w:val="0"/>
          <w:numId w:val="0"/>
        </w:numPr>
        <w:bidi w:val="0"/>
        <w:spacing w:line="480" w:lineRule="auto"/>
        <w:ind w:left="21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where </w:t>
      </w:r>
      <w:r>
        <w:rPr>
          <w:rFonts w:hint="eastAsia"/>
          <w:b/>
          <w:bCs/>
          <w:i/>
          <w:iCs/>
          <w:lang w:val="en-US" w:eastAsia="zh-CN"/>
        </w:rPr>
        <w:t>SST</w:t>
      </w:r>
      <w:r>
        <w:rPr>
          <w:rFonts w:hint="eastAsia"/>
          <w:lang w:val="en-US" w:eastAsia="zh-CN"/>
        </w:rPr>
        <w:t> is the total sum of squares of the relative water retention rate</w:t>
      </w:r>
    </w:p>
    <w:p w14:paraId="257B4D99">
      <w:pPr>
        <w:numPr>
          <w:ilvl w:val="0"/>
          <w:numId w:val="0"/>
        </w:numPr>
        <w:bidi w:val="0"/>
        <w:spacing w:line="480" w:lineRule="auto"/>
        <w:ind w:left="21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Root mean square error:</w:t>
      </w:r>
    </w:p>
    <w:p w14:paraId="7DA884DB">
      <w:pPr>
        <w:numPr>
          <w:ilvl w:val="0"/>
          <w:numId w:val="0"/>
        </w:numPr>
        <w:bidi w:val="0"/>
        <w:spacing w:line="480" w:lineRule="auto"/>
        <w:ind w:left="21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position w:val="-26"/>
          <w:lang w:val="en-US" w:eastAsia="zh-CN"/>
        </w:rPr>
        <w:object>
          <v:shape id="_x0000_i1032" o:spt="75" type="#_x0000_t75" style="height:40pt;width:157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24">
            <o:LockedField>false</o:LockedField>
          </o:OLEObject>
        </w:object>
      </w:r>
    </w:p>
    <w:p w14:paraId="459D90B5">
      <w:pPr>
        <w:numPr>
          <w:ilvl w:val="0"/>
          <w:numId w:val="0"/>
        </w:numPr>
        <w:bidi w:val="0"/>
        <w:spacing w:line="480" w:lineRule="auto"/>
        <w:ind w:left="21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Mean absolute error:</w:t>
      </w:r>
    </w:p>
    <w:p w14:paraId="69E6EEC1">
      <w:pPr>
        <w:numPr>
          <w:ilvl w:val="0"/>
          <w:numId w:val="0"/>
        </w:numPr>
        <w:bidi w:val="0"/>
        <w:spacing w:line="480" w:lineRule="auto"/>
        <w:ind w:left="21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position w:val="-28"/>
          <w:lang w:val="en-US" w:eastAsia="zh-CN"/>
        </w:rPr>
        <w:object>
          <v:shape id="_x0000_i1033" o:spt="75" type="#_x0000_t75" style="height:34pt;width:130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quation.KSEE3" ShapeID="_x0000_i1033" DrawAspect="Content" ObjectID="_1468075733" r:id="rId26">
            <o:LockedField>false</o:LockedField>
          </o:OLEObject>
        </w:object>
      </w:r>
    </w:p>
    <w:p w14:paraId="04A994CD">
      <w:pPr>
        <w:numPr>
          <w:ilvl w:val="0"/>
          <w:numId w:val="0"/>
        </w:numPr>
        <w:bidi w:val="0"/>
        <w:spacing w:line="480" w:lineRule="auto"/>
        <w:ind w:left="210" w:leftChars="0" w:firstLine="0" w:firstLineChars="0"/>
        <w:rPr>
          <w:rFonts w:hint="default"/>
          <w:position w:val="-24"/>
          <w:lang w:val="en-US" w:eastAsia="zh-CN"/>
        </w:rPr>
      </w:pPr>
      <w:r>
        <w:rPr>
          <w:rFonts w:hint="default"/>
          <w:position w:val="-24"/>
          <w:lang w:val="en-US" w:eastAsia="zh-CN"/>
        </w:rPr>
        <w:t>Calculate the small-sample corrected information criteria:</w:t>
      </w:r>
    </w:p>
    <w:p w14:paraId="140F2C10">
      <w:pPr>
        <w:numPr>
          <w:ilvl w:val="0"/>
          <w:numId w:val="0"/>
        </w:numPr>
        <w:bidi w:val="0"/>
        <w:spacing w:line="480" w:lineRule="auto"/>
        <w:ind w:left="21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position w:val="-24"/>
          <w:lang w:val="en-US" w:eastAsia="zh-CN"/>
        </w:rPr>
        <w:object>
          <v:shape id="_x0000_i1034" o:spt="75" type="#_x0000_t75" style="height:31pt;width:229.9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quation.KSEE3" ShapeID="_x0000_i1034" DrawAspect="Content" ObjectID="_1468075734" r:id="rId28">
            <o:LockedField>false</o:LockedField>
          </o:OLEObject>
        </w:object>
      </w:r>
    </w:p>
    <w:p w14:paraId="2C237DD0">
      <w:pPr>
        <w:numPr>
          <w:ilvl w:val="0"/>
          <w:numId w:val="0"/>
        </w:numPr>
        <w:bidi w:val="0"/>
        <w:spacing w:line="480" w:lineRule="auto"/>
        <w:ind w:left="210" w:leftChars="0" w:firstLine="0" w:firstLineChars="0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where </w:t>
      </w:r>
      <w:r>
        <w:rPr>
          <w:rFonts w:hint="eastAsia" w:cs="Times New Roman"/>
          <w:b/>
          <w:bCs/>
          <w:i/>
          <w:iCs/>
          <w:lang w:val="en-US" w:eastAsia="zh-CN"/>
        </w:rPr>
        <w:t>n</w:t>
      </w:r>
      <w:r>
        <w:rPr>
          <w:rFonts w:hint="eastAsia" w:ascii="Times New Roman" w:hAnsi="Times New Roman" w:cs="Times New Roman"/>
          <w:lang w:val="en-US" w:eastAsia="zh-CN"/>
        </w:rPr>
        <w:t xml:space="preserve"> is the number of observed data points </w:t>
      </w:r>
      <w:r>
        <w:rPr>
          <w:rFonts w:hint="eastAsia" w:cs="Times New Roman"/>
          <w:lang w:val="en-US" w:eastAsia="zh-CN"/>
        </w:rPr>
        <w:t>(</w:t>
      </w:r>
      <w:r>
        <w:rPr>
          <w:rFonts w:hint="eastAsia" w:ascii="Times New Roman" w:hAnsi="Times New Roman" w:cs="Times New Roman"/>
          <w:lang w:val="en-US" w:eastAsia="zh-CN"/>
        </w:rPr>
        <w:t>excluding the water retention rate recorded on the first day; for each sample treatment,</w:t>
      </w:r>
      <w:r>
        <w:rPr>
          <w:rFonts w:hint="eastAsia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i/>
          <w:iCs/>
          <w:lang w:val="en-US" w:eastAsia="zh-CN"/>
        </w:rPr>
        <w:t>n</w:t>
      </w:r>
      <w:r>
        <w:rPr>
          <w:rFonts w:hint="eastAsia" w:ascii="Times New Roman" w:hAnsi="Times New Roman" w:cs="Times New Roman"/>
          <w:lang w:val="en-US" w:eastAsia="zh-CN"/>
        </w:rPr>
        <w:t>=4</w:t>
      </w:r>
      <w:r>
        <w:rPr>
          <w:rFonts w:hint="eastAsia" w:cs="Times New Roman"/>
          <w:lang w:val="en-US" w:eastAsia="zh-CN"/>
        </w:rPr>
        <w:t xml:space="preserve">), and 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p</w:t>
      </w:r>
      <w:r>
        <w:rPr>
          <w:rFonts w:hint="eastAsia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 xml:space="preserve">denotes the number of model parameters </w:t>
      </w:r>
      <w:r>
        <w:rPr>
          <w:rFonts w:hint="eastAsia" w:cs="Times New Roman"/>
          <w:lang w:val="en-US" w:eastAsia="zh-CN"/>
        </w:rPr>
        <w:t>(</w:t>
      </w:r>
      <w:r>
        <w:rPr>
          <w:rFonts w:hint="default" w:ascii="Times New Roman" w:hAnsi="Times New Roman" w:cs="Times New Roman"/>
          <w:lang w:val="en-US" w:eastAsia="zh-CN"/>
        </w:rPr>
        <w:t>single-exponential model:</w:t>
      </w:r>
      <w:r>
        <w:rPr>
          <w:rFonts w:hint="default" w:ascii="Times New Roman" w:hAnsi="Times New Roman" w:cs="Times New Roman"/>
          <w:b/>
          <w:bCs/>
          <w:i/>
          <w:iCs/>
          <w:lang w:val="en-US" w:eastAsia="zh-CN"/>
        </w:rPr>
        <w:t>p</w:t>
      </w:r>
      <w:r>
        <w:rPr>
          <w:rFonts w:hint="eastAsia" w:cs="Times New Roman"/>
          <w:b w:val="0"/>
          <w:bCs w:val="0"/>
          <w:i w:val="0"/>
          <w:iCs w:val="0"/>
          <w:lang w:val="en-US" w:eastAsia="zh-CN"/>
        </w:rPr>
        <w:t xml:space="preserve">=1;logarithmic model: </w:t>
      </w:r>
      <w:r>
        <w:rPr>
          <w:rFonts w:hint="eastAsia" w:cs="Times New Roman"/>
          <w:b/>
          <w:bCs/>
          <w:i/>
          <w:iCs/>
          <w:lang w:val="en-US" w:eastAsia="zh-CN"/>
        </w:rPr>
        <w:t>p</w:t>
      </w:r>
      <w:r>
        <w:rPr>
          <w:rFonts w:hint="eastAsia" w:cs="Times New Roman"/>
          <w:b w:val="0"/>
          <w:bCs w:val="0"/>
          <w:i w:val="0"/>
          <w:iCs w:val="0"/>
          <w:lang w:val="en-US" w:eastAsia="zh-CN"/>
        </w:rPr>
        <w:t>=1;bi-exponential model: </w:t>
      </w:r>
      <w:r>
        <w:rPr>
          <w:rFonts w:hint="eastAsia" w:cs="Times New Roman"/>
          <w:b/>
          <w:bCs/>
          <w:i/>
          <w:iCs/>
          <w:lang w:val="en-US" w:eastAsia="zh-CN"/>
        </w:rPr>
        <w:t>p</w:t>
      </w:r>
      <w:r>
        <w:rPr>
          <w:rFonts w:hint="eastAsia" w:cs="Times New Roman"/>
          <w:b w:val="0"/>
          <w:bCs w:val="0"/>
          <w:i w:val="0"/>
          <w:iCs w:val="0"/>
          <w:lang w:val="en-US" w:eastAsia="zh-CN"/>
        </w:rPr>
        <w:t>=3</w:t>
      </w:r>
      <w:r>
        <w:rPr>
          <w:rFonts w:hint="eastAsia" w:cs="Times New Roman"/>
          <w:lang w:val="en-US" w:eastAsia="zh-CN"/>
        </w:rPr>
        <w:t xml:space="preserve">).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Lower AIC/BIC values indicate a better model fit.</w:t>
      </w:r>
    </w:p>
    <w:bookmarkEnd w:id="2"/>
    <w:p w14:paraId="4DE78CB4">
      <w:pPr>
        <w:rPr>
          <w:rStyle w:val="11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</w:pPr>
      <w:r>
        <w:rPr>
          <w:rStyle w:val="11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br w:type="page"/>
      </w:r>
    </w:p>
    <w:p w14:paraId="02C07377">
      <w:pPr>
        <w:pStyle w:val="13"/>
        <w:bidi w:val="0"/>
        <w:rPr>
          <w:rFonts w:hint="default" w:ascii="Times New Roman" w:hAnsi="Times New Roman" w:cs="Times New Roman"/>
          <w:b w:val="0"/>
          <w:bCs w:val="0"/>
          <w:vertAlign w:val="baseline"/>
          <w:lang w:val="en-US" w:eastAsia="zh-CN"/>
        </w:rPr>
      </w:pPr>
      <w:r>
        <w:rPr>
          <w:rStyle w:val="11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 xml:space="preserve">Table </w:t>
      </w:r>
      <w:r>
        <w:rPr>
          <w:rStyle w:val="11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S4</w:t>
      </w:r>
      <w:r>
        <w:rPr>
          <w:rStyle w:val="11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 xml:space="preserve"> Summary of </w:t>
      </w:r>
      <w:r>
        <w:rPr>
          <w:rStyle w:val="11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d</w:t>
      </w:r>
      <w:r>
        <w:rPr>
          <w:rStyle w:val="11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 xml:space="preserve">erived </w:t>
      </w:r>
      <w:r>
        <w:rPr>
          <w:rStyle w:val="11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p</w:t>
      </w:r>
      <w:r>
        <w:rPr>
          <w:rStyle w:val="11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 xml:space="preserve">arameters under the </w:t>
      </w:r>
      <w:r>
        <w:rPr>
          <w:rStyle w:val="11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o</w:t>
      </w:r>
      <w:r>
        <w:rPr>
          <w:rStyle w:val="11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 xml:space="preserve">ptimal </w:t>
      </w:r>
      <w:r>
        <w:rPr>
          <w:rStyle w:val="11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m</w:t>
      </w:r>
      <w:r>
        <w:rPr>
          <w:rStyle w:val="11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odel</w:t>
      </w:r>
    </w:p>
    <w:tbl>
      <w:tblPr>
        <w:tblStyle w:val="9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1418"/>
        <w:gridCol w:w="1418"/>
        <w:gridCol w:w="1423"/>
        <w:gridCol w:w="1422"/>
      </w:tblGrid>
      <w:tr w14:paraId="22DA9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BD520CE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Group</w:t>
            </w:r>
          </w:p>
        </w:tc>
        <w:tc>
          <w:tcPr>
            <w:tcW w:w="832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B39A205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Zeolite content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(%)</w:t>
            </w:r>
          </w:p>
        </w:tc>
        <w:tc>
          <w:tcPr>
            <w:tcW w:w="832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4438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  <w:t>Parameters</w:t>
            </w:r>
          </w:p>
        </w:tc>
        <w:tc>
          <w:tcPr>
            <w:tcW w:w="832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6A81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  <w:t>t</w:t>
            </w:r>
            <w:r>
              <w:rPr>
                <w:rFonts w:hint="eastAsia" w:ascii="Times New Roman" w:hAnsi="Times New Roman" w:cs="Times New Roman"/>
                <w:sz w:val="15"/>
                <w:szCs w:val="15"/>
                <w:vertAlign w:val="subscript"/>
                <w:lang w:val="en-US" w:eastAsia="zh-CN"/>
              </w:rPr>
              <w:t>1/2</w:t>
            </w:r>
            <w:r>
              <w:rPr>
                <w:rFonts w:hint="eastAsia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  <w:t>(d)</w:t>
            </w:r>
          </w:p>
        </w:tc>
        <w:tc>
          <w:tcPr>
            <w:tcW w:w="835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BF92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15"/>
                <w:szCs w:val="15"/>
                <w:vertAlign w:val="subscript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  <w:t>t</w:t>
            </w:r>
            <w:r>
              <w:rPr>
                <w:rFonts w:hint="eastAsia" w:ascii="Times New Roman" w:hAnsi="Times New Roman" w:cs="Times New Roman"/>
                <w:sz w:val="15"/>
                <w:szCs w:val="15"/>
                <w:vertAlign w:val="subscript"/>
                <w:lang w:val="en-US" w:eastAsia="zh-CN"/>
              </w:rPr>
              <w:t>20</w:t>
            </w:r>
            <w:r>
              <w:rPr>
                <w:rFonts w:hint="eastAsia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  <w:t>(d)</w:t>
            </w:r>
          </w:p>
        </w:tc>
        <w:tc>
          <w:tcPr>
            <w:tcW w:w="834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899EB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  <w:t>p</w:t>
            </w:r>
          </w:p>
        </w:tc>
      </w:tr>
      <w:tr w14:paraId="02DEC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C340002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CK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E879FB6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0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3498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15"/>
                <w:szCs w:val="15"/>
                <w:vertAlign w:val="baseline"/>
                <w:lang w:val="en-US" w:eastAsia="zh-CN"/>
              </w:rPr>
              <w:t>B=107.90，b=55.26</w:t>
            </w:r>
          </w:p>
        </w:tc>
        <w:tc>
          <w:tcPr>
            <w:tcW w:w="832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0D33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15"/>
                <w:szCs w:val="15"/>
                <w:vertAlign w:val="baseline"/>
                <w:lang w:val="en-US" w:eastAsia="zh-CN"/>
              </w:rPr>
              <w:t>2.6549</w:t>
            </w:r>
          </w:p>
        </w:tc>
        <w:tc>
          <w:tcPr>
            <w:tcW w:w="835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CD39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15"/>
                <w:szCs w:val="15"/>
                <w:vertAlign w:val="baseline"/>
                <w:lang w:val="en-US" w:eastAsia="zh-CN"/>
              </w:rPr>
              <w:t>4.7695</w:t>
            </w:r>
          </w:p>
        </w:tc>
        <w:tc>
          <w:tcPr>
            <w:tcW w:w="83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E5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15"/>
                <w:szCs w:val="15"/>
                <w:vertAlign w:val="baseline"/>
                <w:lang w:val="en-US" w:eastAsia="zh-CN"/>
              </w:rPr>
              <w:t>0.420</w:t>
            </w:r>
          </w:p>
        </w:tc>
      </w:tr>
      <w:tr w14:paraId="79343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A604F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EG1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20DC2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E7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15"/>
                <w:szCs w:val="15"/>
                <w:vertAlign w:val="baseline"/>
                <w:lang w:val="en-US" w:eastAsia="zh-CN"/>
              </w:rPr>
              <w:t>A=103.83,k=0.33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66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2.1195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BD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4.9214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1E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15"/>
                <w:szCs w:val="15"/>
                <w:vertAlign w:val="baseline"/>
                <w:lang w:val="en-US" w:eastAsia="zh-CN"/>
              </w:rPr>
              <w:t>0.322</w:t>
            </w:r>
          </w:p>
        </w:tc>
      </w:tr>
      <w:tr w14:paraId="1991E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C1823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EG2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01ADC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10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FF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A=101.26,</w:t>
            </w:r>
            <w:r>
              <w:rPr>
                <w:sz w:val="15"/>
                <w:szCs w:val="15"/>
              </w:rPr>
              <w:t>k=0.2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5CB9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sz w:val="15"/>
                <w:szCs w:val="15"/>
              </w:rPr>
              <w:t>2.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4428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7C3E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sz w:val="15"/>
                <w:szCs w:val="15"/>
              </w:rPr>
              <w:t>5.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6720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0D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15"/>
                <w:szCs w:val="15"/>
                <w:vertAlign w:val="baseline"/>
                <w:lang w:val="en-US" w:eastAsia="zh-CN" w:bidi="ar-SA"/>
              </w:rPr>
              <w:t>0.253</w:t>
            </w:r>
          </w:p>
        </w:tc>
      </w:tr>
      <w:tr w14:paraId="3ADDF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DB911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EG3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D4F06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15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EAC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15"/>
                <w:szCs w:val="15"/>
                <w:lang w:val="en-US" w:eastAsia="zh-CN"/>
              </w:rPr>
              <w:t>A=103.12,k=0.20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2DC4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15"/>
                <w:szCs w:val="15"/>
                <w:vertAlign w:val="baseline"/>
                <w:lang w:val="en-US" w:eastAsia="zh-CN"/>
              </w:rPr>
              <w:t>3.4998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6E17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8.1263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3A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15"/>
                <w:szCs w:val="15"/>
                <w:vertAlign w:val="baseline"/>
                <w:lang w:val="en-US" w:eastAsia="zh-CN" w:bidi="ar-SA"/>
              </w:rPr>
              <w:t>0.194</w:t>
            </w:r>
          </w:p>
        </w:tc>
      </w:tr>
      <w:tr w14:paraId="517E6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4F3F8E12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EG4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19AE755D"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5"/>
                <w:szCs w:val="15"/>
                <w:vertAlign w:val="baseline"/>
                <w:lang w:val="en-US" w:eastAsia="zh-CN"/>
              </w:rPr>
              <w:t>20</w:t>
            </w:r>
          </w:p>
        </w:tc>
        <w:tc>
          <w:tcPr>
            <w:tcW w:w="832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50C9A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15"/>
                <w:szCs w:val="15"/>
                <w:lang w:val="en-US" w:eastAsia="zh-CN"/>
              </w:rPr>
              <w:t>A=102.97,k=0.19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4B8D9F0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3.6295</w:t>
            </w:r>
          </w:p>
        </w:tc>
        <w:tc>
          <w:tcPr>
            <w:tcW w:w="1423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2A717F0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8.4274</w:t>
            </w:r>
          </w:p>
        </w:tc>
        <w:tc>
          <w:tcPr>
            <w:tcW w:w="83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71A03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15"/>
                <w:szCs w:val="15"/>
                <w:vertAlign w:val="baseline"/>
                <w:lang w:val="en-US" w:eastAsia="zh-CN" w:bidi="ar-SA"/>
              </w:rPr>
              <w:t>0.184</w:t>
            </w:r>
          </w:p>
        </w:tc>
      </w:tr>
    </w:tbl>
    <w:p w14:paraId="047065A7"/>
    <w:sectPr>
      <w:footerReference r:id="rId5" w:type="default"/>
      <w:pgSz w:w="11906" w:h="16838"/>
      <w:pgMar w:top="1440" w:right="1800" w:bottom="1440" w:left="1800" w:header="851" w:footer="992" w:gutter="0"/>
      <w:lnNumType w:countBy="1" w:restart="continuous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STIX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8B508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6B908C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B6B908C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5A4163"/>
    <w:rsid w:val="0C0F0565"/>
    <w:rsid w:val="115A4163"/>
    <w:rsid w:val="135C7D5E"/>
    <w:rsid w:val="1957103E"/>
    <w:rsid w:val="1EAE5382"/>
    <w:rsid w:val="2A5548A6"/>
    <w:rsid w:val="2D3A422F"/>
    <w:rsid w:val="2DD04F10"/>
    <w:rsid w:val="3362086A"/>
    <w:rsid w:val="3471000D"/>
    <w:rsid w:val="3ECA1C43"/>
    <w:rsid w:val="46692370"/>
    <w:rsid w:val="5BA95AB7"/>
    <w:rsid w:val="70E36072"/>
    <w:rsid w:val="72C37981"/>
    <w:rsid w:val="7657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after="20" w:afterLines="20" w:line="288" w:lineRule="auto"/>
      <w:jc w:val="both"/>
    </w:pPr>
    <w:rPr>
      <w:rFonts w:ascii="Times New Roman" w:hAnsi="Times New Roman" w:eastAsiaTheme="minorEastAsia" w:cstheme="minorBidi"/>
      <w:kern w:val="2"/>
      <w:sz w:val="20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54A1" w:themeColor="accent1" w:themeShade="BF"/>
      <w:sz w:val="28"/>
      <w:szCs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120" w:beforeLines="120" w:beforeAutospacing="0" w:after="80" w:afterLines="80" w:afterAutospacing="0" w:line="288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rFonts w:asciiTheme="minorAscii" w:hAnsiTheme="minorAscii" w:eastAsiaTheme="minorEastAsia"/>
      <w:b/>
    </w:rPr>
  </w:style>
  <w:style w:type="character" w:styleId="12">
    <w:name w:val="Hyperlink"/>
    <w:basedOn w:val="10"/>
    <w:qFormat/>
    <w:uiPriority w:val="0"/>
    <w:rPr>
      <w:rFonts w:ascii="Times New Roman" w:hAnsi="Times New Roman" w:cs="Times New Roman" w:eastAsiaTheme="minorEastAsia"/>
      <w:caps/>
      <w:color w:val="0000FF"/>
      <w:spacing w:val="-6"/>
      <w:kern w:val="2"/>
      <w:sz w:val="20"/>
      <w:szCs w:val="24"/>
      <w:u w:val="single"/>
      <w:lang w:val="en-US" w:eastAsia="zh-CN" w:bidi="ar-SA"/>
    </w:rPr>
  </w:style>
  <w:style w:type="paragraph" w:customStyle="1" w:styleId="13">
    <w:name w:val="表格"/>
    <w:basedOn w:val="1"/>
    <w:qFormat/>
    <w:uiPriority w:val="0"/>
    <w:pPr>
      <w:tabs>
        <w:tab w:val="left" w:pos="377"/>
      </w:tabs>
      <w:jc w:val="center"/>
    </w:pPr>
    <w:rPr>
      <w:rFonts w:hint="eastAsia" w:ascii="Times New Roman" w:hAnsi="Times New Roman"/>
      <w:sz w:val="21"/>
    </w:rPr>
  </w:style>
  <w:style w:type="paragraph" w:styleId="14">
    <w:name w:val="No Spacing"/>
    <w:qFormat/>
    <w:uiPriority w:val="1"/>
    <w:pPr>
      <w:widowControl w:val="0"/>
      <w:spacing w:before="160" w:after="160"/>
      <w:jc w:val="both"/>
    </w:pPr>
    <w:rPr>
      <w:rFonts w:ascii="Times New Roman" w:hAnsi="Times New Roman" w:eastAsia="宋体" w:cstheme="minorBidi"/>
      <w:b/>
      <w:color w:val="auto"/>
      <w:kern w:val="2"/>
      <w:sz w:val="24"/>
      <w:szCs w:val="21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2.wmf"/><Relationship Id="rId26" Type="http://schemas.openxmlformats.org/officeDocument/2006/relationships/oleObject" Target="embeddings/oleObject9.bin"/><Relationship Id="rId25" Type="http://schemas.openxmlformats.org/officeDocument/2006/relationships/image" Target="media/image11.wmf"/><Relationship Id="rId24" Type="http://schemas.openxmlformats.org/officeDocument/2006/relationships/oleObject" Target="embeddings/oleObject8.bin"/><Relationship Id="rId23" Type="http://schemas.openxmlformats.org/officeDocument/2006/relationships/image" Target="media/image10.wmf"/><Relationship Id="rId22" Type="http://schemas.openxmlformats.org/officeDocument/2006/relationships/oleObject" Target="embeddings/oleObject7.bin"/><Relationship Id="rId21" Type="http://schemas.openxmlformats.org/officeDocument/2006/relationships/image" Target="media/image9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5.bin"/><Relationship Id="rId17" Type="http://schemas.openxmlformats.org/officeDocument/2006/relationships/image" Target="media/image7.wmf"/><Relationship Id="rId16" Type="http://schemas.openxmlformats.org/officeDocument/2006/relationships/oleObject" Target="embeddings/oleObject4.bin"/><Relationship Id="rId15" Type="http://schemas.openxmlformats.org/officeDocument/2006/relationships/image" Target="media/image6.wmf"/><Relationship Id="rId14" Type="http://schemas.openxmlformats.org/officeDocument/2006/relationships/oleObject" Target="embeddings/oleObject3.bin"/><Relationship Id="rId13" Type="http://schemas.openxmlformats.org/officeDocument/2006/relationships/image" Target="media/image5.wmf"/><Relationship Id="rId12" Type="http://schemas.openxmlformats.org/officeDocument/2006/relationships/oleObject" Target="embeddings/oleObject2.bin"/><Relationship Id="rId11" Type="http://schemas.openxmlformats.org/officeDocument/2006/relationships/image" Target="media/image4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890</Words>
  <Characters>4631</Characters>
  <Lines>0</Lines>
  <Paragraphs>0</Paragraphs>
  <TotalTime>1</TotalTime>
  <ScaleCrop>false</ScaleCrop>
  <LinksUpToDate>false</LinksUpToDate>
  <CharactersWithSpaces>5198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2025-09-15T02:37:00Z</dcterms:created>
  <dc:creator>月觸天蘂處，風颹氹麵時</dc:creator>
  <cp:lastModifiedBy>月觸天蘂處，風颹氹麵時</cp:lastModifiedBy>
  <dcterms:modified xsi:type="dcterms:W3CDTF">2025-10-05T05:28:02Z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B59E977626CF47789D230AA60224DF23_13</vt:lpwstr>
  </property>
  <property fmtid="{D5CDD505-2E9C-101B-9397-08002B2CF9AE}" pid="4" name="KSOTemplateDocerSaveRecord">
    <vt:lpwstr>eyJoZGlkIjoiNmE3ZGU5OWYxYjM2YjRhNWRiMTgxODZjMzE2MTY2YTgiLCJ1c2VySWQiOiI4MDM5NTExNzEifQ==</vt:lpwstr>
  </property>
</Properties>
</file>