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D1E3C" w14:textId="293A5149" w:rsidR="00FA7D55" w:rsidRDefault="00095C5C" w:rsidP="00FA7D55">
      <w:pPr>
        <w:rPr>
          <w:b/>
          <w:bCs/>
        </w:rPr>
      </w:pPr>
      <w:r>
        <w:rPr>
          <w:b/>
          <w:bCs/>
        </w:rPr>
        <w:t xml:space="preserve">Supplementary </w:t>
      </w:r>
      <w:r w:rsidR="00FA7D55">
        <w:rPr>
          <w:b/>
          <w:bCs/>
        </w:rPr>
        <w:t xml:space="preserve">Table </w:t>
      </w:r>
      <w:r>
        <w:rPr>
          <w:b/>
          <w:bCs/>
        </w:rPr>
        <w:t>1</w:t>
      </w:r>
      <w:r w:rsidR="00FA7D55">
        <w:rPr>
          <w:b/>
          <w:bCs/>
        </w:rPr>
        <w:t>. Comparisons of Service Versus Aggressive Care</w:t>
      </w:r>
    </w:p>
    <w:tbl>
      <w:tblPr>
        <w:tblStyle w:val="TableGrid"/>
        <w:tblW w:w="9000" w:type="dxa"/>
        <w:tblInd w:w="-5" w:type="dxa"/>
        <w:tblLook w:val="04A0" w:firstRow="1" w:lastRow="0" w:firstColumn="1" w:lastColumn="0" w:noHBand="0" w:noVBand="1"/>
      </w:tblPr>
      <w:tblGrid>
        <w:gridCol w:w="2583"/>
        <w:gridCol w:w="1693"/>
        <w:gridCol w:w="1878"/>
        <w:gridCol w:w="1878"/>
        <w:gridCol w:w="968"/>
      </w:tblGrid>
      <w:tr w:rsidR="00FA7D55" w14:paraId="65EB03BC" w14:textId="77777777" w:rsidTr="00FA7D55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D8571" w14:textId="77777777" w:rsidR="00FA7D55" w:rsidRDefault="00FA7D55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508E3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  <w:p w14:paraId="59028EDB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1727)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2F4FB6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Aggressive Care</w:t>
            </w:r>
          </w:p>
          <w:p w14:paraId="7C11D606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888)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4CAD5F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Aggressive Care</w:t>
            </w:r>
          </w:p>
          <w:p w14:paraId="3FA405D4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839)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07A93" w14:textId="77777777" w:rsidR="00FA7D55" w:rsidRDefault="00FA7D5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FA7D55" w14:paraId="6F3F875F" w14:textId="77777777" w:rsidTr="00FA7D55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B3531" w14:textId="77777777" w:rsidR="00FA7D55" w:rsidRDefault="00FA7D55">
            <w:pPr>
              <w:spacing w:line="252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Palliative Care Services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4FDF" w14:textId="77777777" w:rsidR="00FA7D55" w:rsidRDefault="00FA7D55">
            <w:pPr>
              <w:spacing w:line="252" w:lineRule="auto"/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90B43" w14:textId="77777777" w:rsidR="00FA7D55" w:rsidRDefault="00FA7D55">
            <w:pPr>
              <w:spacing w:line="252" w:lineRule="auto"/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1B65F" w14:textId="77777777" w:rsidR="00FA7D55" w:rsidRDefault="00FA7D55">
            <w:pPr>
              <w:spacing w:line="252" w:lineRule="auto"/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E3AB8" w14:textId="77777777" w:rsidR="00FA7D55" w:rsidRDefault="00FA7D5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>&lt; .0001</w:t>
            </w:r>
          </w:p>
        </w:tc>
      </w:tr>
      <w:tr w:rsidR="00FA7D55" w14:paraId="291B123C" w14:textId="77777777" w:rsidTr="00FA7D55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9423E" w14:textId="77777777" w:rsidR="00FA7D55" w:rsidRDefault="00FA7D5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No Palliative Care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F32BD" w14:textId="77777777" w:rsidR="00FA7D55" w:rsidRDefault="00FA7D55">
            <w:pPr>
              <w:spacing w:line="252" w:lineRule="auto"/>
            </w:pPr>
            <w:r>
              <w:t>506 (29.3%)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845B" w14:textId="77777777" w:rsidR="00FA7D55" w:rsidRDefault="00FA7D55">
            <w:pPr>
              <w:spacing w:line="252" w:lineRule="auto"/>
            </w:pPr>
            <w:r>
              <w:t>222(25.0%)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46F19" w14:textId="77777777" w:rsidR="00FA7D55" w:rsidRDefault="00FA7D55">
            <w:pPr>
              <w:spacing w:line="252" w:lineRule="auto"/>
            </w:pPr>
            <w:r>
              <w:t>284(33.8%)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6FC55" w14:textId="77777777" w:rsidR="00FA7D55" w:rsidRDefault="00FA7D5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>0.125</w:t>
            </w:r>
          </w:p>
        </w:tc>
      </w:tr>
      <w:tr w:rsidR="00FA7D55" w14:paraId="1F71CA3C" w14:textId="77777777" w:rsidTr="00FA7D55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75AF8" w14:textId="77777777" w:rsidR="00FA7D55" w:rsidRDefault="00FA7D5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&lt; 90 days Palliative Care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9A765" w14:textId="77777777" w:rsidR="00FA7D55" w:rsidRDefault="00FA7D55">
            <w:pPr>
              <w:spacing w:line="252" w:lineRule="auto"/>
            </w:pPr>
            <w:r>
              <w:t>596 (34.5%)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7BC96" w14:textId="77777777" w:rsidR="00FA7D55" w:rsidRDefault="00FA7D55">
            <w:pPr>
              <w:spacing w:line="252" w:lineRule="auto"/>
            </w:pPr>
            <w:r>
              <w:t>420(47.3%)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A99BC" w14:textId="77777777" w:rsidR="00FA7D55" w:rsidRDefault="00FA7D55">
            <w:pPr>
              <w:spacing w:line="252" w:lineRule="auto"/>
            </w:pPr>
            <w:r>
              <w:t>176(21.0%)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8B9EE" w14:textId="77777777" w:rsidR="00FA7D55" w:rsidRDefault="00FA7D5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>&lt; .0001</w:t>
            </w:r>
          </w:p>
        </w:tc>
      </w:tr>
      <w:tr w:rsidR="00FA7D55" w14:paraId="363B5665" w14:textId="77777777" w:rsidTr="00FA7D55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8337D" w14:textId="77777777" w:rsidR="00FA7D55" w:rsidRDefault="00FA7D55">
            <w:pPr>
              <w:spacing w:line="252" w:lineRule="auto"/>
            </w:pPr>
            <w:r>
              <w:t>&gt; 90 days Palliative Care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C3E7F" w14:textId="77777777" w:rsidR="00FA7D55" w:rsidRDefault="00FA7D55">
            <w:pPr>
              <w:spacing w:line="252" w:lineRule="auto"/>
            </w:pPr>
            <w:r>
              <w:t>625 (36.2%)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639D1" w14:textId="77777777" w:rsidR="00FA7D55" w:rsidRDefault="00FA7D55">
            <w:pPr>
              <w:spacing w:line="252" w:lineRule="auto"/>
            </w:pPr>
            <w:r>
              <w:t>246(27.7%)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50327" w14:textId="77777777" w:rsidR="00FA7D55" w:rsidRDefault="00FA7D55">
            <w:pPr>
              <w:spacing w:line="252" w:lineRule="auto"/>
            </w:pPr>
            <w:r>
              <w:t>379(45.2%)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F5A9" w14:textId="77777777" w:rsidR="00FA7D55" w:rsidRDefault="00FA7D55">
            <w:pPr>
              <w:spacing w:line="252" w:lineRule="auto"/>
            </w:pPr>
          </w:p>
        </w:tc>
      </w:tr>
    </w:tbl>
    <w:p w14:paraId="1D6E403A" w14:textId="77777777" w:rsidR="00FA7D55" w:rsidRDefault="00FA7D55" w:rsidP="00FA7D5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a</w:t>
      </w:r>
      <w:r>
        <w:rPr>
          <w:rFonts w:ascii="Calibri" w:hAnsi="Calibri" w:cs="Calibri"/>
        </w:rPr>
        <w:t>p-value is the comparison of the proportion of those who received aggressive care across all three groups (no palliative care, &lt; 90 days, &gt; 90 days)</w:t>
      </w:r>
    </w:p>
    <w:p w14:paraId="29A2BB40" w14:textId="77777777" w:rsidR="00FA7D55" w:rsidRDefault="00FA7D55" w:rsidP="00FA7D5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b</w:t>
      </w:r>
      <w:r>
        <w:rPr>
          <w:rFonts w:ascii="Calibri" w:hAnsi="Calibri" w:cs="Calibri"/>
        </w:rPr>
        <w:t>p-value compares no palliative care to those who received a consult &gt; 90 days before death</w:t>
      </w:r>
    </w:p>
    <w:p w14:paraId="62F65958" w14:textId="77777777" w:rsidR="00FA7D55" w:rsidRDefault="00FA7D55" w:rsidP="00FA7D5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c</w:t>
      </w:r>
      <w:r>
        <w:rPr>
          <w:rFonts w:ascii="Calibri" w:hAnsi="Calibri" w:cs="Calibri"/>
        </w:rPr>
        <w:t>p-value compares those who received a consult &lt; 90 days before death to those who received it &gt; 90 days before death</w:t>
      </w:r>
    </w:p>
    <w:p w14:paraId="1FCE6FAB" w14:textId="77777777" w:rsidR="00FA7D55" w:rsidRDefault="00FA7D55" w:rsidP="00FA7D55">
      <w:pPr>
        <w:spacing w:line="252" w:lineRule="auto"/>
        <w:rPr>
          <w:rFonts w:ascii="Calibri" w:hAnsi="Calibri" w:cs="Calibri"/>
        </w:rPr>
      </w:pPr>
    </w:p>
    <w:p w14:paraId="5B19C6B6" w14:textId="77777777" w:rsidR="00CC1BDE" w:rsidRDefault="00CC1BDE"/>
    <w:sectPr w:rsidR="00CC1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D55"/>
    <w:rsid w:val="00095C5C"/>
    <w:rsid w:val="00CC1BDE"/>
    <w:rsid w:val="00FA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3C867"/>
  <w15:chartTrackingRefBased/>
  <w15:docId w15:val="{558639AA-D079-4042-B817-518EC80EC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D5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D5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01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Mellar</dc:creator>
  <cp:keywords/>
  <dc:description/>
  <cp:lastModifiedBy>Davis, Mellar</cp:lastModifiedBy>
  <cp:revision>2</cp:revision>
  <dcterms:created xsi:type="dcterms:W3CDTF">2021-08-12T14:23:00Z</dcterms:created>
  <dcterms:modified xsi:type="dcterms:W3CDTF">2021-08-12T14:23:00Z</dcterms:modified>
</cp:coreProperties>
</file>