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55DC9F" w14:textId="77777777" w:rsidR="0004769C" w:rsidRPr="00AF55B9" w:rsidRDefault="0004769C" w:rsidP="0004769C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F55B9">
        <w:rPr>
          <w:rFonts w:asciiTheme="majorBidi" w:hAnsiTheme="majorBidi" w:cstheme="majorBidi"/>
          <w:b/>
          <w:bCs/>
          <w:sz w:val="24"/>
          <w:szCs w:val="24"/>
        </w:rPr>
        <w:t>Appendices</w:t>
      </w:r>
    </w:p>
    <w:p w14:paraId="22FD8E97" w14:textId="77777777" w:rsidR="0004769C" w:rsidRPr="00AF55B9" w:rsidRDefault="0004769C" w:rsidP="0004769C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AF55B9">
        <w:rPr>
          <w:rFonts w:asciiTheme="majorBidi" w:hAnsiTheme="majorBidi" w:cstheme="majorBidi"/>
          <w:b/>
          <w:bCs/>
          <w:sz w:val="24"/>
          <w:szCs w:val="24"/>
        </w:rPr>
        <w:t>Appendix A – Measurement Items (Complete List)</w:t>
      </w:r>
    </w:p>
    <w:p w14:paraId="7453EDA0" w14:textId="77777777" w:rsidR="0004769C" w:rsidRPr="00AF55B9" w:rsidRDefault="0004769C" w:rsidP="0004769C">
      <w:pPr>
        <w:jc w:val="both"/>
        <w:rPr>
          <w:rFonts w:asciiTheme="majorBidi" w:hAnsiTheme="majorBidi" w:cstheme="majorBidi"/>
          <w:sz w:val="24"/>
          <w:szCs w:val="24"/>
        </w:rPr>
      </w:pPr>
      <w:r w:rsidRPr="00AF55B9">
        <w:rPr>
          <w:rFonts w:asciiTheme="majorBidi" w:hAnsiTheme="majorBidi" w:cstheme="majorBidi"/>
          <w:sz w:val="24"/>
          <w:szCs w:val="24"/>
        </w:rPr>
        <w:t>All constructs were measured using seven-point Likert scales (1 = strongly disagree; 7 = strongly agree).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AF55B9">
        <w:rPr>
          <w:rFonts w:asciiTheme="majorBidi" w:hAnsiTheme="majorBidi" w:cstheme="majorBidi"/>
          <w:sz w:val="24"/>
          <w:szCs w:val="24"/>
        </w:rPr>
        <w:t>DGOC was modeled as a reflective–reflective second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AF55B9">
        <w:rPr>
          <w:rFonts w:asciiTheme="majorBidi" w:hAnsiTheme="majorBidi" w:cstheme="majorBidi"/>
          <w:sz w:val="24"/>
          <w:szCs w:val="24"/>
        </w:rPr>
        <w:t>order construct comprising Integration Alignment, Cross-Tier Synchronization, and Reconfiguration Agility.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AF55B9">
        <w:rPr>
          <w:rFonts w:asciiTheme="majorBidi" w:hAnsiTheme="majorBidi" w:cstheme="majorBidi"/>
          <w:sz w:val="24"/>
          <w:szCs w:val="24"/>
        </w:rPr>
        <w:t>Items were adapted from validated scales and translated using a back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AF55B9">
        <w:rPr>
          <w:rFonts w:asciiTheme="majorBidi" w:hAnsiTheme="majorBidi" w:cstheme="majorBidi"/>
          <w:sz w:val="24"/>
          <w:szCs w:val="24"/>
        </w:rPr>
        <w:t>translation process to ensure conceptual equivalence across English, Persian, and French versions.</w:t>
      </w:r>
    </w:p>
    <w:p w14:paraId="52D00ADC" w14:textId="77777777" w:rsidR="0004769C" w:rsidRPr="00AF55B9" w:rsidRDefault="0004769C" w:rsidP="0004769C">
      <w:pPr>
        <w:jc w:val="both"/>
        <w:rPr>
          <w:rFonts w:asciiTheme="majorBidi" w:hAnsiTheme="majorBidi" w:cstheme="majorBidi"/>
          <w:b/>
          <w:bCs/>
          <w:sz w:val="24"/>
          <w:szCs w:val="24"/>
          <w:lang w:val="fr-CA"/>
        </w:rPr>
      </w:pPr>
      <w:r w:rsidRPr="00AF55B9">
        <w:rPr>
          <w:rFonts w:asciiTheme="majorBidi" w:hAnsiTheme="majorBidi" w:cstheme="majorBidi"/>
          <w:b/>
          <w:bCs/>
          <w:sz w:val="24"/>
          <w:szCs w:val="24"/>
          <w:lang w:val="fr-CA"/>
        </w:rPr>
        <w:t xml:space="preserve">Environmental Turbulence (ET) — </w:t>
      </w:r>
      <w:r w:rsidRPr="00AF55B9">
        <w:rPr>
          <w:rFonts w:asciiTheme="majorBidi" w:hAnsiTheme="majorBidi" w:cstheme="majorBidi"/>
          <w:sz w:val="24"/>
          <w:szCs w:val="24"/>
          <w:lang w:val="fr-CA"/>
        </w:rPr>
        <w:t>adapted from</w:t>
      </w:r>
      <w:r w:rsidRPr="00AF55B9">
        <w:rPr>
          <w:rFonts w:asciiTheme="majorBidi" w:hAnsiTheme="majorBidi" w:cstheme="majorBidi"/>
          <w:b/>
          <w:bCs/>
          <w:i/>
          <w:iCs/>
          <w:sz w:val="24"/>
          <w:szCs w:val="24"/>
          <w:lang w:val="fr-CA"/>
        </w:rPr>
        <w:t xml:space="preserve"> </w:t>
      </w:r>
      <w:r>
        <w:rPr>
          <w:rFonts w:asciiTheme="majorBidi" w:hAnsiTheme="majorBidi" w:cstheme="majorBidi"/>
          <w:sz w:val="24"/>
          <w:szCs w:val="24"/>
          <w:lang w:val="en-GB"/>
        </w:rPr>
        <w:fldChar w:fldCharType="begin"/>
      </w:r>
      <w:r w:rsidRPr="00CC1A93">
        <w:rPr>
          <w:rFonts w:asciiTheme="majorBidi" w:hAnsiTheme="majorBidi" w:cstheme="majorBidi"/>
          <w:sz w:val="24"/>
          <w:szCs w:val="24"/>
          <w:lang w:val="fr-CA"/>
        </w:rPr>
        <w:instrText xml:space="preserve"> ADDIN EN.CITE &lt;EndNote&gt;&lt;Cite&gt;&lt;Author&gt;Calantone&lt;/Author&gt;&lt;Year&gt;2003&lt;/Year&gt;&lt;RecNum&gt;125&lt;/RecNum&gt;&lt;DisplayText&gt;(Calantone et al., 2003)&lt;/DisplayText&gt;&lt;record&gt;&lt;rec-number&gt;125&lt;/rec-number&gt;&lt;foreign-keys&gt;&lt;key app="EN" db-id="vpx2ztd0jvx0s1erpx8vdpt42t5xrxv5wwsp" timestamp="1762624334"&gt;125&lt;/key&gt;&lt;/foreign-keys&gt;&lt;ref-type name="Journal Article"&gt;17&lt;/ref-type&gt;&lt;contributors&gt;&lt;authors&gt;&lt;author&gt;Calantone, Roger&lt;/author&gt;&lt;author&gt;Garcia, Rosanna&lt;/author&gt;&lt;author&gt;Dröge, Cornelia&lt;/author&gt;&lt;/authors&gt;&lt;/contributors&gt;&lt;titles&gt;&lt;title&gt;The effects of environmental turbulence on new product development strategy planning&lt;/title&gt;&lt;secondary-title&gt;Journal of product innovation management&lt;/secondary-title&gt;&lt;/titles&gt;&lt;periodical&gt;&lt;full-title&gt;Journal of product innovation management&lt;/full-title&gt;&lt;/periodical&gt;&lt;pages&gt;90-103&lt;/pages&gt;&lt;volume&gt;20&lt;/volume&gt;&lt;number&gt;2&lt;/number&gt;&lt;dates&gt;&lt;year&gt;2003&lt;/year&gt;&lt;/dates&gt;&lt;isbn&gt;0737-6782&lt;/isbn&gt;&lt;urls&gt;&lt;/urls&gt;&lt;/record&gt;&lt;/Cite&gt;&lt;/EndNote&gt;</w:instrText>
      </w:r>
      <w:r>
        <w:rPr>
          <w:rFonts w:asciiTheme="majorBidi" w:hAnsiTheme="majorBidi" w:cstheme="majorBidi"/>
          <w:sz w:val="24"/>
          <w:szCs w:val="24"/>
          <w:lang w:val="en-GB"/>
        </w:rPr>
        <w:fldChar w:fldCharType="separate"/>
      </w:r>
      <w:r w:rsidRPr="00F34FD1">
        <w:rPr>
          <w:rFonts w:asciiTheme="majorBidi" w:hAnsiTheme="majorBidi" w:cstheme="majorBidi"/>
          <w:noProof/>
          <w:sz w:val="24"/>
          <w:szCs w:val="24"/>
          <w:lang w:val="fr-CA"/>
        </w:rPr>
        <w:t>(Calantone et al., 2003)</w:t>
      </w:r>
      <w:r>
        <w:rPr>
          <w:rFonts w:asciiTheme="majorBidi" w:hAnsiTheme="majorBidi" w:cstheme="majorBidi"/>
          <w:sz w:val="24"/>
          <w:szCs w:val="24"/>
          <w:lang w:val="en-GB"/>
        </w:rPr>
        <w:fldChar w:fldCharType="end"/>
      </w:r>
    </w:p>
    <w:p w14:paraId="123D7DF4" w14:textId="77777777" w:rsidR="0004769C" w:rsidRPr="00960142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ET1. Customer preferences in our markets change rapidly.</w:t>
      </w:r>
    </w:p>
    <w:p w14:paraId="5C15BFEC" w14:textId="77777777" w:rsidR="0004769C" w:rsidRPr="00960142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ET2. Technological change in our industry is unpredictable.</w:t>
      </w:r>
    </w:p>
    <w:p w14:paraId="4970A91C" w14:textId="77777777" w:rsidR="0004769C" w:rsidRPr="00960142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ET3. Competitive actions are difficult to anticipate.</w:t>
      </w:r>
    </w:p>
    <w:p w14:paraId="021471FD" w14:textId="77777777" w:rsidR="0004769C" w:rsidRPr="00AF55B9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ET4. Regulatory requirements affecting our operations change frequently.</w:t>
      </w:r>
    </w:p>
    <w:p w14:paraId="6565B014" w14:textId="77777777" w:rsidR="0004769C" w:rsidRPr="00AF55B9" w:rsidRDefault="0004769C" w:rsidP="0004769C">
      <w:pPr>
        <w:jc w:val="both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b/>
          <w:bCs/>
          <w:sz w:val="24"/>
          <w:szCs w:val="24"/>
          <w:lang w:val="en-GB"/>
        </w:rPr>
        <w:t>Digital</w:t>
      </w:r>
      <w:r w:rsidRPr="00960142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</w:t>
      </w:r>
      <w:r w:rsidRPr="00AF55B9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Green Orchestration Capability — </w:t>
      </w:r>
      <w:r w:rsidRPr="00AF55B9">
        <w:rPr>
          <w:rFonts w:asciiTheme="majorBidi" w:hAnsiTheme="majorBidi" w:cstheme="majorBidi"/>
          <w:sz w:val="24"/>
          <w:szCs w:val="24"/>
          <w:lang w:val="en-GB"/>
        </w:rPr>
        <w:t>conceptualized from</w:t>
      </w:r>
      <w:r w:rsidRPr="00AF55B9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 xml:space="preserve"> </w:t>
      </w:r>
      <w:r w:rsidRPr="00C4421F">
        <w:rPr>
          <w:rFonts w:asciiTheme="majorBidi" w:hAnsiTheme="majorBidi" w:cstheme="majorBidi"/>
          <w:sz w:val="24"/>
          <w:szCs w:val="24"/>
          <w:lang w:val="en-GB"/>
        </w:rPr>
        <w:fldChar w:fldCharType="begin"/>
      </w:r>
      <w:r w:rsidRPr="00C4421F">
        <w:rPr>
          <w:rFonts w:asciiTheme="majorBidi" w:hAnsiTheme="majorBidi" w:cstheme="majorBidi"/>
          <w:sz w:val="24"/>
          <w:szCs w:val="24"/>
          <w:lang w:val="en-GB"/>
        </w:rPr>
        <w:instrText xml:space="preserve"> ADDIN EN.CITE &lt;EndNote&gt;&lt;Cite&gt;&lt;Author&gt;Teece&lt;/Author&gt;&lt;Year&gt;2007&lt;/Year&gt;&lt;RecNum&gt;105&lt;/RecNum&gt;&lt;DisplayText&gt;(Farrukh &amp;amp; Sajjad, 2025; Teece, 2007)&lt;/DisplayText&gt;&lt;record&gt;&lt;rec-number&gt;105&lt;/rec-number&gt;&lt;foreign-keys&gt;&lt;key app="EN" db-id="vpx2ztd0jvx0s1erpx8vdpt42t5xrxv5wwsp" timestamp="1762621981"&gt;105&lt;/key&gt;&lt;/foreign-keys&gt;&lt;ref-type name="Journal Article"&gt;17&lt;/ref-type&gt;&lt;contributors&gt;&lt;authors&gt;&lt;author&gt;Teece, David J&lt;/author&gt;&lt;/authors&gt;&lt;/contributors&gt;&lt;titles&gt;&lt;title&gt;Explicating dynamic capabilities: the nature and microfoundations of (sustainable) enterprise performance&lt;/title&gt;&lt;secondary-title&gt;Strategic management journal&lt;/secondary-title&gt;&lt;/titles&gt;&lt;periodical&gt;&lt;full-title&gt;Strategic management journal&lt;/full-title&gt;&lt;/periodical&gt;&lt;pages&gt;1319-1350&lt;/pages&gt;&lt;volume&gt;28&lt;/volume&gt;&lt;number&gt;13&lt;/number&gt;&lt;dates&gt;&lt;year&gt;2007&lt;/year&gt;&lt;/dates&gt;&lt;isbn&gt;0143-2095&lt;/isbn&gt;&lt;urls&gt;&lt;/urls&gt;&lt;/record&gt;&lt;/Cite&gt;&lt;Cite&gt;&lt;Author&gt;Farrukh&lt;/Author&gt;&lt;Year&gt;2025&lt;/Year&gt;&lt;RecNum&gt;104&lt;/RecNum&gt;&lt;record&gt;&lt;rec-number&gt;104&lt;/rec-number&gt;&lt;foreign-keys&gt;&lt;key app="EN" db-id="vpx2ztd0jvx0s1erpx8vdpt42t5xrxv5wwsp" timestamp="1762621712"&gt;104&lt;/key&gt;&lt;/foreign-keys&gt;&lt;ref-type name="Journal Article"&gt;17&lt;/ref-type&gt;&lt;contributors&gt;&lt;authors&gt;&lt;author&gt;Farrukh, Amna&lt;/author&gt;&lt;author&gt;Sajjad, Aymen&lt;/author&gt;&lt;/authors&gt;&lt;/contributors&gt;&lt;titles&gt;&lt;title&gt;Investigating supply chain disruptions and resilience in the textile industry: A systemic risk theory and dynamic capability-based view&lt;/title&gt;&lt;secondary-title&gt;Global Journal of Flexible Systems Management&lt;/secondary-title&gt;&lt;/titles&gt;&lt;periodical&gt;&lt;full-title&gt;Global Journal of Flexible Systems Management&lt;/full-title&gt;&lt;/periodical&gt;&lt;pages&gt;57-83&lt;/pages&gt;&lt;volume&gt;26&lt;/volume&gt;&lt;number&gt;Suppl 1&lt;/number&gt;&lt;dates&gt;&lt;year&gt;2025&lt;/year&gt;&lt;/dates&gt;&lt;isbn&gt;0972-2696&lt;/isbn&gt;&lt;urls&gt;&lt;/urls&gt;&lt;/record&gt;&lt;/Cite&gt;&lt;/EndNote&gt;</w:instrText>
      </w:r>
      <w:r w:rsidRPr="00C4421F">
        <w:rPr>
          <w:rFonts w:asciiTheme="majorBidi" w:hAnsiTheme="majorBidi" w:cstheme="majorBidi"/>
          <w:sz w:val="24"/>
          <w:szCs w:val="24"/>
          <w:lang w:val="en-GB"/>
        </w:rPr>
        <w:fldChar w:fldCharType="separate"/>
      </w:r>
      <w:r w:rsidRPr="00C4421F">
        <w:rPr>
          <w:rFonts w:asciiTheme="majorBidi" w:hAnsiTheme="majorBidi" w:cstheme="majorBidi"/>
          <w:noProof/>
          <w:sz w:val="24"/>
          <w:szCs w:val="24"/>
          <w:lang w:val="en-GB"/>
        </w:rPr>
        <w:t>(Farrukh &amp; Sajjad, 2025; Teece, 2007)</w:t>
      </w:r>
      <w:r w:rsidRPr="00C4421F">
        <w:rPr>
          <w:rFonts w:asciiTheme="majorBidi" w:hAnsiTheme="majorBidi" w:cstheme="majorBidi"/>
          <w:sz w:val="24"/>
          <w:szCs w:val="24"/>
          <w:lang w:val="en-GB"/>
        </w:rPr>
        <w:fldChar w:fldCharType="end"/>
      </w:r>
      <w:r w:rsidRPr="00AF55B9">
        <w:rPr>
          <w:rFonts w:asciiTheme="majorBidi" w:hAnsiTheme="majorBidi" w:cstheme="majorBidi"/>
          <w:sz w:val="24"/>
          <w:szCs w:val="24"/>
          <w:lang w:val="en-GB"/>
        </w:rPr>
        <w:t>;</w:t>
      </w:r>
      <w:r w:rsidRPr="00AF55B9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 xml:space="preserve"> </w:t>
      </w:r>
      <w:r w:rsidRPr="00AF55B9">
        <w:rPr>
          <w:rFonts w:asciiTheme="majorBidi" w:hAnsiTheme="majorBidi" w:cstheme="majorBidi"/>
          <w:i/>
          <w:iCs/>
          <w:sz w:val="24"/>
          <w:szCs w:val="24"/>
          <w:lang w:val="en-GB"/>
        </w:rPr>
        <w:t>operational cues from</w:t>
      </w:r>
      <w:r w:rsidRPr="00AF55B9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 xml:space="preserve"> </w:t>
      </w:r>
      <w:r>
        <w:rPr>
          <w:rFonts w:asciiTheme="majorBidi" w:hAnsiTheme="majorBidi" w:cstheme="majorBidi"/>
          <w:sz w:val="24"/>
          <w:szCs w:val="24"/>
          <w:lang w:val="en-GB"/>
        </w:rPr>
        <w:fldChar w:fldCharType="begin"/>
      </w:r>
      <w:r>
        <w:rPr>
          <w:rFonts w:asciiTheme="majorBidi" w:hAnsiTheme="majorBidi" w:cstheme="majorBidi"/>
          <w:sz w:val="24"/>
          <w:szCs w:val="24"/>
          <w:lang w:val="en-GB"/>
        </w:rPr>
        <w:instrText xml:space="preserve"> ADDIN EN.CITE &lt;EndNote&gt;&lt;Cite&gt;&lt;Author&gt;Wamba&lt;/Author&gt;&lt;Year&gt;2023&lt;/Year&gt;&lt;RecNum&gt;111&lt;/RecNum&gt;&lt;DisplayText&gt;(Wamba et al., 2023)&lt;/DisplayText&gt;&lt;record&gt;&lt;rec-number&gt;111&lt;/rec-number&gt;&lt;foreign-keys&gt;&lt;key app="EN" db-id="vpx2ztd0jvx0s1erpx8vdpt42t5xrxv5wwsp" timestamp="1762622817"&gt;111&lt;/key&gt;&lt;/foreign-keys&gt;&lt;ref-type name="Journal Article"&gt;17&lt;/ref-type&gt;&lt;contributors&gt;&lt;authors&gt;&lt;author&gt;Wamba, Samuel Fosso&lt;/author&gt;&lt;author&gt;Queiroz, Maciel M&lt;/author&gt;&lt;author&gt;Jabbour, Charbel Jose Chiappetta&lt;/author&gt;&lt;author&gt;Shi, Chunming Victor&lt;/author&gt;&lt;/authors&gt;&lt;/contributors&gt;&lt;titles&gt;&lt;title&gt;Are both generative AI and ChatGPT game changers for 21st-Century operations and supply chain excellence?&lt;/title&gt;&lt;secondary-title&gt;International journal of production economics&lt;/secondary-title&gt;&lt;/titles&gt;&lt;periodical&gt;&lt;full-title&gt;International journal of production economics&lt;/full-title&gt;&lt;/periodical&gt;&lt;pages&gt;109015&lt;/pages&gt;&lt;volume&gt;265&lt;/volume&gt;&lt;dates&gt;&lt;year&gt;2023&lt;/year&gt;&lt;/dates&gt;&lt;isbn&gt;0925-5273&lt;/isbn&gt;&lt;urls&gt;&lt;/urls&gt;&lt;/record&gt;&lt;/Cite&gt;&lt;/EndNote&gt;</w:instrText>
      </w:r>
      <w:r>
        <w:rPr>
          <w:rFonts w:asciiTheme="majorBidi" w:hAnsiTheme="majorBidi" w:cstheme="majorBidi"/>
          <w:sz w:val="24"/>
          <w:szCs w:val="24"/>
          <w:lang w:val="en-GB"/>
        </w:rPr>
        <w:fldChar w:fldCharType="separate"/>
      </w:r>
      <w:r>
        <w:rPr>
          <w:rFonts w:asciiTheme="majorBidi" w:hAnsiTheme="majorBidi" w:cstheme="majorBidi"/>
          <w:noProof/>
          <w:sz w:val="24"/>
          <w:szCs w:val="24"/>
          <w:lang w:val="en-GB"/>
        </w:rPr>
        <w:t>(Wamba et al., 2023)</w:t>
      </w:r>
      <w:r>
        <w:rPr>
          <w:rFonts w:asciiTheme="majorBidi" w:hAnsiTheme="majorBidi" w:cstheme="majorBidi"/>
          <w:sz w:val="24"/>
          <w:szCs w:val="24"/>
          <w:lang w:val="en-GB"/>
        </w:rPr>
        <w:fldChar w:fldCharType="end"/>
      </w:r>
    </w:p>
    <w:p w14:paraId="0920DFD0" w14:textId="77777777" w:rsidR="0004769C" w:rsidRDefault="0004769C" w:rsidP="0004769C">
      <w:pPr>
        <w:jc w:val="both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b/>
          <w:bCs/>
          <w:sz w:val="24"/>
          <w:szCs w:val="24"/>
          <w:lang w:val="en-GB"/>
        </w:rPr>
        <w:t>Integration Alignment (IA)</w:t>
      </w:r>
    </w:p>
    <w:p w14:paraId="4D36F24C" w14:textId="77777777" w:rsidR="0004769C" w:rsidRPr="00960142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IA1. Our digital initiatives are explicitly aligned with our sustainability objectives.</w:t>
      </w:r>
    </w:p>
    <w:p w14:paraId="4FFA2F3E" w14:textId="77777777" w:rsidR="0004769C" w:rsidRPr="00960142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IA2. Senior management jointly reviews digital and ESG goals when setting priorities.</w:t>
      </w:r>
    </w:p>
    <w:p w14:paraId="4BF32B00" w14:textId="77777777" w:rsidR="0004769C" w:rsidRPr="00960142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IA3. Digital investment cases include environmental performance criteria.</w:t>
      </w:r>
    </w:p>
    <w:p w14:paraId="4AC571CC" w14:textId="77777777" w:rsidR="0004769C" w:rsidRPr="00AF55B9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IA4. Operational teams have shared KPIs linking digital efficiency with ESG targets.</w:t>
      </w:r>
    </w:p>
    <w:p w14:paraId="13AB6DF0" w14:textId="77777777" w:rsidR="0004769C" w:rsidRDefault="0004769C" w:rsidP="0004769C">
      <w:pPr>
        <w:jc w:val="both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b/>
          <w:bCs/>
          <w:sz w:val="24"/>
          <w:szCs w:val="24"/>
          <w:lang w:val="en-GB"/>
        </w:rPr>
        <w:t>Cross</w:t>
      </w: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</w:t>
      </w:r>
      <w:r w:rsidRPr="00AF55B9">
        <w:rPr>
          <w:rFonts w:asciiTheme="majorBidi" w:hAnsiTheme="majorBidi" w:cstheme="majorBidi"/>
          <w:b/>
          <w:bCs/>
          <w:sz w:val="24"/>
          <w:szCs w:val="24"/>
          <w:lang w:val="en-GB"/>
        </w:rPr>
        <w:t>Tier Synchronization (CS)</w:t>
      </w:r>
    </w:p>
    <w:p w14:paraId="32A546F6" w14:textId="77777777" w:rsidR="0004769C" w:rsidRPr="00960142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CS1. We exchange standardized ESG data with suppliers and distributors.</w:t>
      </w:r>
    </w:p>
    <w:p w14:paraId="09A01CBE" w14:textId="77777777" w:rsidR="0004769C" w:rsidRPr="00960142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CS2. Our digital platforms enable real</w:t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AF55B9">
        <w:rPr>
          <w:rFonts w:asciiTheme="majorBidi" w:hAnsiTheme="majorBidi" w:cstheme="majorBidi"/>
          <w:sz w:val="24"/>
          <w:szCs w:val="24"/>
          <w:lang w:val="en-GB"/>
        </w:rPr>
        <w:t>time visibility of partners’ environmental metrics.</w:t>
      </w:r>
    </w:p>
    <w:p w14:paraId="5E7B628A" w14:textId="77777777" w:rsidR="0004769C" w:rsidRPr="00960142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CS3. We coordinate sustainability objectives with partners during planning and forecasting.</w:t>
      </w:r>
    </w:p>
    <w:p w14:paraId="3E8026D8" w14:textId="77777777" w:rsidR="0004769C" w:rsidRPr="00AF55B9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CS4. There are agreed data standards and audit trails for ESG information across our network.</w:t>
      </w:r>
    </w:p>
    <w:p w14:paraId="555EF6B9" w14:textId="77777777" w:rsidR="0004769C" w:rsidRDefault="0004769C" w:rsidP="0004769C">
      <w:pPr>
        <w:jc w:val="both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b/>
          <w:bCs/>
          <w:sz w:val="24"/>
          <w:szCs w:val="24"/>
          <w:lang w:val="en-GB"/>
        </w:rPr>
        <w:t>Reconfiguration Agility (RA)</w:t>
      </w:r>
    </w:p>
    <w:p w14:paraId="372BF146" w14:textId="77777777" w:rsidR="0004769C" w:rsidRPr="00960142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RA1. We can rapidly redeploy digital systems to meet new ESG requirements.</w:t>
      </w:r>
    </w:p>
    <w:p w14:paraId="2BD3CAA5" w14:textId="77777777" w:rsidR="0004769C" w:rsidRPr="00960142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RA2. We can reconfigure sourcing and processes to reduce environmental impact quickly.</w:t>
      </w:r>
    </w:p>
    <w:p w14:paraId="7711E8F7" w14:textId="77777777" w:rsidR="0004769C" w:rsidRPr="00960142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RA3. When disruptions occur, we combine digital and green resources to restore service.</w:t>
      </w:r>
    </w:p>
    <w:p w14:paraId="05234172" w14:textId="77777777" w:rsidR="0004769C" w:rsidRPr="00AF55B9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RA4. New eco-technologies can be integrated with minimal delay.</w:t>
      </w:r>
    </w:p>
    <w:p w14:paraId="349273AD" w14:textId="77777777" w:rsidR="0004769C" w:rsidRPr="00AF55B9" w:rsidRDefault="0004769C" w:rsidP="0004769C">
      <w:pPr>
        <w:jc w:val="both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Green Innovation (GI) </w:t>
      </w:r>
      <w:r w:rsidRPr="00AF55B9">
        <w:rPr>
          <w:rFonts w:asciiTheme="majorBidi" w:hAnsiTheme="majorBidi" w:cstheme="majorBidi"/>
          <w:sz w:val="24"/>
          <w:szCs w:val="24"/>
          <w:lang w:val="en-GB"/>
        </w:rPr>
        <w:t>— adapted from</w:t>
      </w:r>
      <w:r w:rsidRPr="00AF55B9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 xml:space="preserve"> </w:t>
      </w:r>
      <w:r>
        <w:rPr>
          <w:rFonts w:asciiTheme="majorBidi" w:hAnsiTheme="majorBidi" w:cstheme="majorBidi"/>
          <w:sz w:val="24"/>
          <w:szCs w:val="24"/>
          <w:lang w:val="en-GB"/>
        </w:rPr>
        <w:fldChar w:fldCharType="begin"/>
      </w:r>
      <w:r>
        <w:rPr>
          <w:rFonts w:asciiTheme="majorBidi" w:hAnsiTheme="majorBidi" w:cstheme="majorBidi"/>
          <w:sz w:val="24"/>
          <w:szCs w:val="24"/>
          <w:lang w:val="en-GB"/>
        </w:rPr>
        <w:instrText xml:space="preserve"> ADDIN EN.CITE &lt;EndNote&gt;&lt;Cite&gt;&lt;Author&gt;Zhou&lt;/Author&gt;&lt;Year&gt;2024&lt;/Year&gt;&lt;RecNum&gt;108&lt;/RecNum&gt;&lt;DisplayText&gt;(Zhou et al., 2024)&lt;/DisplayText&gt;&lt;record&gt;&lt;rec-number&gt;108&lt;/rec-number&gt;&lt;foreign-keys&gt;&lt;key app="EN" db-id="vpx2ztd0jvx0s1erpx8vdpt42t5xrxv5wwsp" timestamp="1762622485"&gt;108&lt;/key&gt;&lt;/foreign-keys&gt;&lt;ref-type name="Journal Article"&gt;17&lt;/ref-type&gt;&lt;contributors&gt;&lt;authors&gt;&lt;author&gt;Zhou, Qian&lt;/author&gt;&lt;author&gt;Wang, Shuxiang&lt;/author&gt;&lt;author&gt;Ma, Xiaohong&lt;/author&gt;&lt;author&gt;Xu, Wei&lt;/author&gt;&lt;/authors&gt;&lt;/contributors&gt;&lt;titles&gt;&lt;title&gt;Digital technologies and corporate green innovation: opening the “black box” of resource orchestration mechanisms&lt;/title&gt;&lt;secondary-title&gt;Sustainability Accounting, Management and Policy Journal&lt;/secondary-title&gt;&lt;/titles&gt;&lt;periodical&gt;&lt;full-title&gt;Sustainability Accounting, Management and Policy Journal&lt;/full-title&gt;&lt;/periodical&gt;&lt;pages&gt;884-912&lt;/pages&gt;&lt;volume&gt;15&lt;/volume&gt;&lt;number&gt;4&lt;/number&gt;&lt;dates&gt;&lt;year&gt;2024&lt;/year&gt;&lt;/dates&gt;&lt;isbn&gt;2040-8021&lt;/isbn&gt;&lt;urls&gt;&lt;/urls&gt;&lt;/record&gt;&lt;/Cite&gt;&lt;/EndNote&gt;</w:instrText>
      </w:r>
      <w:r>
        <w:rPr>
          <w:rFonts w:asciiTheme="majorBidi" w:hAnsiTheme="majorBidi" w:cstheme="majorBidi"/>
          <w:sz w:val="24"/>
          <w:szCs w:val="24"/>
          <w:lang w:val="en-GB"/>
        </w:rPr>
        <w:fldChar w:fldCharType="separate"/>
      </w:r>
      <w:r>
        <w:rPr>
          <w:rFonts w:asciiTheme="majorBidi" w:hAnsiTheme="majorBidi" w:cstheme="majorBidi"/>
          <w:noProof/>
          <w:sz w:val="24"/>
          <w:szCs w:val="24"/>
          <w:lang w:val="en-GB"/>
        </w:rPr>
        <w:t>(Zhou et al., 2024)</w:t>
      </w:r>
      <w:r>
        <w:rPr>
          <w:rFonts w:asciiTheme="majorBidi" w:hAnsiTheme="majorBidi" w:cstheme="majorBidi"/>
          <w:sz w:val="24"/>
          <w:szCs w:val="24"/>
          <w:lang w:val="en-GB"/>
        </w:rPr>
        <w:fldChar w:fldCharType="end"/>
      </w:r>
      <w:r w:rsidRPr="00AF55B9">
        <w:rPr>
          <w:rFonts w:asciiTheme="majorBidi" w:hAnsiTheme="majorBidi" w:cstheme="majorBidi"/>
          <w:sz w:val="24"/>
          <w:szCs w:val="24"/>
          <w:lang w:val="en-GB"/>
        </w:rPr>
        <w:t>;</w:t>
      </w:r>
      <w:r w:rsidRPr="00AF55B9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 xml:space="preserve"> </w:t>
      </w:r>
      <w:r>
        <w:rPr>
          <w:rFonts w:asciiTheme="majorBidi" w:hAnsiTheme="majorBidi" w:cstheme="majorBidi"/>
          <w:sz w:val="24"/>
          <w:szCs w:val="24"/>
          <w:lang w:val="en-GB"/>
        </w:rPr>
        <w:fldChar w:fldCharType="begin"/>
      </w:r>
      <w:r>
        <w:rPr>
          <w:rFonts w:asciiTheme="majorBidi" w:hAnsiTheme="majorBidi" w:cstheme="majorBidi"/>
          <w:sz w:val="24"/>
          <w:szCs w:val="24"/>
          <w:lang w:val="en-GB"/>
        </w:rPr>
        <w:instrText xml:space="preserve"> ADDIN EN.CITE &lt;EndNote&gt;&lt;Cite&gt;&lt;Author&gt;Xin&lt;/Author&gt;&lt;Year&gt;2023&lt;/Year&gt;&lt;RecNum&gt;109&lt;/RecNum&gt;&lt;DisplayText&gt;(Xin et al., 2023)&lt;/DisplayText&gt;&lt;record&gt;&lt;rec-number&gt;109&lt;/rec-number&gt;&lt;foreign-keys&gt;&lt;key app="EN" db-id="vpx2ztd0jvx0s1erpx8vdpt42t5xrxv5wwsp" timestamp="1762622587"&gt;109&lt;/key&gt;&lt;/foreign-keys&gt;&lt;ref-type name="Journal Article"&gt;17&lt;/ref-type&gt;&lt;contributors&gt;&lt;authors&gt;&lt;author&gt;Xin, Xiaohua&lt;/author&gt;&lt;author&gt;Miao, Xiaoming&lt;/author&gt;&lt;author&gt;Cui, Rixiao&lt;/author&gt;&lt;/authors&gt;&lt;/contributors&gt;&lt;titles&gt;&lt;title&gt;Enhancing sustainable development: Innovation ecosystem coopetition, environmental resource orchestration, and disruptive green innovation&lt;/title&gt;&lt;secondary-title&gt;Business Strategy and the Environment&lt;/secondary-title&gt;&lt;/titles&gt;&lt;periodical&gt;&lt;full-title&gt;Business Strategy and the Environment&lt;/full-title&gt;&lt;/periodical&gt;&lt;pages&gt;1388-1402&lt;/pages&gt;&lt;volume&gt;32&lt;/volume&gt;&lt;number&gt;4&lt;/number&gt;&lt;dates&gt;&lt;year&gt;2023&lt;/year&gt;&lt;/dates&gt;&lt;isbn&gt;0964-4733&lt;/isbn&gt;&lt;urls&gt;&lt;/urls&gt;&lt;/record&gt;&lt;/Cite&gt;&lt;/EndNote&gt;</w:instrText>
      </w:r>
      <w:r>
        <w:rPr>
          <w:rFonts w:asciiTheme="majorBidi" w:hAnsiTheme="majorBidi" w:cstheme="majorBidi"/>
          <w:sz w:val="24"/>
          <w:szCs w:val="24"/>
          <w:lang w:val="en-GB"/>
        </w:rPr>
        <w:fldChar w:fldCharType="separate"/>
      </w:r>
      <w:r>
        <w:rPr>
          <w:rFonts w:asciiTheme="majorBidi" w:hAnsiTheme="majorBidi" w:cstheme="majorBidi"/>
          <w:noProof/>
          <w:sz w:val="24"/>
          <w:szCs w:val="24"/>
          <w:lang w:val="en-GB"/>
        </w:rPr>
        <w:t>(Xin et al., 2023)</w:t>
      </w:r>
      <w:r>
        <w:rPr>
          <w:rFonts w:asciiTheme="majorBidi" w:hAnsiTheme="majorBidi" w:cstheme="majorBidi"/>
          <w:sz w:val="24"/>
          <w:szCs w:val="24"/>
          <w:lang w:val="en-GB"/>
        </w:rPr>
        <w:fldChar w:fldCharType="end"/>
      </w:r>
    </w:p>
    <w:p w14:paraId="716C95B4" w14:textId="77777777" w:rsidR="0004769C" w:rsidRPr="00960142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lastRenderedPageBreak/>
        <w:t>GI1. We have introduced products with lower environmental impact than previous offerings.</w:t>
      </w:r>
    </w:p>
    <w:p w14:paraId="6DB7FCC5" w14:textId="77777777" w:rsidR="0004769C" w:rsidRPr="00960142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GI2. Our production processes use cleaner or more energy</w:t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AF55B9">
        <w:rPr>
          <w:rFonts w:asciiTheme="majorBidi" w:hAnsiTheme="majorBidi" w:cstheme="majorBidi"/>
          <w:sz w:val="24"/>
          <w:szCs w:val="24"/>
          <w:lang w:val="en-GB"/>
        </w:rPr>
        <w:t>efficient technologies.</w:t>
      </w:r>
    </w:p>
    <w:p w14:paraId="4668FE70" w14:textId="77777777" w:rsidR="0004769C" w:rsidRPr="00960142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GI3. We invest in R&amp;D to reduce material use, emissions, or waste.</w:t>
      </w:r>
    </w:p>
    <w:p w14:paraId="44F5E5AE" w14:textId="77777777" w:rsidR="0004769C" w:rsidRPr="00960142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GI4. We collaborate with partners to develop eco-innovative solutions.</w:t>
      </w:r>
    </w:p>
    <w:p w14:paraId="287919A2" w14:textId="77777777" w:rsidR="0004769C" w:rsidRPr="00AF55B9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GI5. Life</w:t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AF55B9">
        <w:rPr>
          <w:rFonts w:asciiTheme="majorBidi" w:hAnsiTheme="majorBidi" w:cstheme="majorBidi"/>
          <w:sz w:val="24"/>
          <w:szCs w:val="24"/>
          <w:lang w:val="en-GB"/>
        </w:rPr>
        <w:t>cycle assessments or eco-design principles inform our product/process changes.</w:t>
      </w:r>
    </w:p>
    <w:p w14:paraId="48D91206" w14:textId="77777777" w:rsidR="0004769C" w:rsidRPr="00AF55B9" w:rsidRDefault="0004769C" w:rsidP="0004769C">
      <w:pPr>
        <w:jc w:val="both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Network Collaboration (NC) — </w:t>
      </w:r>
      <w:r w:rsidRPr="00AF55B9">
        <w:rPr>
          <w:rFonts w:asciiTheme="majorBidi" w:hAnsiTheme="majorBidi" w:cstheme="majorBidi"/>
          <w:sz w:val="24"/>
          <w:szCs w:val="24"/>
          <w:lang w:val="en-GB"/>
        </w:rPr>
        <w:t>adapted from</w:t>
      </w:r>
      <w:r w:rsidRPr="00AF55B9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 xml:space="preserve"> </w:t>
      </w:r>
      <w:r>
        <w:rPr>
          <w:rFonts w:asciiTheme="majorBidi" w:hAnsiTheme="majorBidi" w:cstheme="majorBidi"/>
          <w:sz w:val="24"/>
          <w:szCs w:val="24"/>
          <w:lang w:val="en-GB"/>
        </w:rPr>
        <w:fldChar w:fldCharType="begin"/>
      </w:r>
      <w:r>
        <w:rPr>
          <w:rFonts w:asciiTheme="majorBidi" w:hAnsiTheme="majorBidi" w:cstheme="majorBidi"/>
          <w:sz w:val="24"/>
          <w:szCs w:val="24"/>
          <w:lang w:val="en-GB"/>
        </w:rPr>
        <w:instrText xml:space="preserve"> ADDIN EN.CITE &lt;EndNote&gt;&lt;Cite&gt;&lt;Author&gt;Di&lt;/Author&gt;&lt;Year&gt;2024&lt;/Year&gt;&lt;RecNum&gt;112&lt;/RecNum&gt;&lt;DisplayText&gt;(Di et al., 2024)&lt;/DisplayText&gt;&lt;record&gt;&lt;rec-number&gt;112&lt;/rec-number&gt;&lt;foreign-keys&gt;&lt;key app="EN" db-id="vpx2ztd0jvx0s1erpx8vdpt42t5xrxv5wwsp" timestamp="1762623038"&gt;112&lt;/key&gt;&lt;/foreign-keys&gt;&lt;ref-type name="Journal Article"&gt;17&lt;/ref-type&gt;&lt;contributors&gt;&lt;authors&gt;&lt;author&gt;Di, Kaixuan&lt;/author&gt;&lt;author&gt;Xu, Runhan&lt;/author&gt;&lt;author&gt;Liu, Zuankuo&lt;/author&gt;&lt;author&gt;Liu, Rongkun&lt;/author&gt;&lt;/authors&gt;&lt;/contributors&gt;&lt;titles&gt;&lt;title&gt;How do enterprises’ green collaborative innovation network locations affect their green total factor productivity? Empirical analysis based on social network analysis&lt;/title&gt;&lt;secondary-title&gt;Journal of Cleaner Production&lt;/secondary-title&gt;&lt;/titles&gt;&lt;periodical&gt;&lt;full-title&gt;Journal of Cleaner Production&lt;/full-title&gt;&lt;/periodical&gt;&lt;pages&gt;140766&lt;/pages&gt;&lt;volume&gt;438&lt;/volume&gt;&lt;dates&gt;&lt;year&gt;2024&lt;/year&gt;&lt;/dates&gt;&lt;isbn&gt;0959-6526&lt;/isbn&gt;&lt;urls&gt;&lt;/urls&gt;&lt;/record&gt;&lt;/Cite&gt;&lt;/EndNote&gt;</w:instrText>
      </w:r>
      <w:r>
        <w:rPr>
          <w:rFonts w:asciiTheme="majorBidi" w:hAnsiTheme="majorBidi" w:cstheme="majorBidi"/>
          <w:sz w:val="24"/>
          <w:szCs w:val="24"/>
          <w:lang w:val="en-GB"/>
        </w:rPr>
        <w:fldChar w:fldCharType="separate"/>
      </w:r>
      <w:r>
        <w:rPr>
          <w:rFonts w:asciiTheme="majorBidi" w:hAnsiTheme="majorBidi" w:cstheme="majorBidi"/>
          <w:noProof/>
          <w:sz w:val="24"/>
          <w:szCs w:val="24"/>
          <w:lang w:val="en-GB"/>
        </w:rPr>
        <w:t>(Di et al., 2024)</w:t>
      </w:r>
      <w:r>
        <w:rPr>
          <w:rFonts w:asciiTheme="majorBidi" w:hAnsiTheme="majorBidi" w:cstheme="majorBidi"/>
          <w:sz w:val="24"/>
          <w:szCs w:val="24"/>
          <w:lang w:val="en-GB"/>
        </w:rPr>
        <w:fldChar w:fldCharType="end"/>
      </w:r>
    </w:p>
    <w:p w14:paraId="4A955688" w14:textId="77777777" w:rsidR="0004769C" w:rsidRPr="00960142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NC1. We share timely operational and ESG information with key partners.</w:t>
      </w:r>
    </w:p>
    <w:p w14:paraId="5E257DE4" w14:textId="77777777" w:rsidR="0004769C" w:rsidRPr="00960142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NC2. We engage in joint planning and problem</w:t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AF55B9">
        <w:rPr>
          <w:rFonts w:asciiTheme="majorBidi" w:hAnsiTheme="majorBidi" w:cstheme="majorBidi"/>
          <w:sz w:val="24"/>
          <w:szCs w:val="24"/>
          <w:lang w:val="en-GB"/>
        </w:rPr>
        <w:t>solving with suppliers and distributors.</w:t>
      </w:r>
    </w:p>
    <w:p w14:paraId="5F5B6F8A" w14:textId="77777777" w:rsidR="0004769C" w:rsidRPr="00960142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NC3. There is mutual adjustment of schedules and forecasts in response to change.</w:t>
      </w:r>
    </w:p>
    <w:p w14:paraId="51D2E78F" w14:textId="77777777" w:rsidR="0004769C" w:rsidRPr="00960142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NC4. Cross</w:t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AF55B9">
        <w:rPr>
          <w:rFonts w:asciiTheme="majorBidi" w:hAnsiTheme="majorBidi" w:cstheme="majorBidi"/>
          <w:sz w:val="24"/>
          <w:szCs w:val="24"/>
          <w:lang w:val="en-GB"/>
        </w:rPr>
        <w:t>organizational teams work together on improvement and compliance projects.</w:t>
      </w:r>
    </w:p>
    <w:p w14:paraId="230A3E67" w14:textId="77777777" w:rsidR="0004769C" w:rsidRPr="00AF55B9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NC5. Roles, responsibilities, and escalation paths are clear for joint responses to disruption.</w:t>
      </w:r>
    </w:p>
    <w:p w14:paraId="5B08CD02" w14:textId="77777777" w:rsidR="0004769C" w:rsidRPr="00AF55B9" w:rsidRDefault="0004769C" w:rsidP="0004769C">
      <w:pPr>
        <w:jc w:val="both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b/>
          <w:bCs/>
          <w:sz w:val="24"/>
          <w:szCs w:val="24"/>
          <w:lang w:val="en-GB"/>
        </w:rPr>
        <w:t>Supply</w:t>
      </w: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</w:t>
      </w:r>
      <w:r w:rsidRPr="00AF55B9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Chain Resilience (SCR) </w:t>
      </w:r>
      <w:r w:rsidRPr="00AF55B9">
        <w:rPr>
          <w:rFonts w:asciiTheme="majorBidi" w:hAnsiTheme="majorBidi" w:cstheme="majorBidi"/>
          <w:sz w:val="24"/>
          <w:szCs w:val="24"/>
          <w:lang w:val="en-GB"/>
        </w:rPr>
        <w:t>— adapted from</w:t>
      </w:r>
      <w:r w:rsidRPr="00AF55B9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 xml:space="preserve"> </w:t>
      </w:r>
      <w:r>
        <w:rPr>
          <w:rFonts w:asciiTheme="majorBidi" w:hAnsiTheme="majorBidi" w:cstheme="majorBidi"/>
          <w:sz w:val="24"/>
          <w:szCs w:val="24"/>
          <w:lang w:val="en-GB"/>
        </w:rPr>
        <w:fldChar w:fldCharType="begin"/>
      </w:r>
      <w:r>
        <w:rPr>
          <w:rFonts w:asciiTheme="majorBidi" w:hAnsiTheme="majorBidi" w:cstheme="majorBidi"/>
          <w:sz w:val="24"/>
          <w:szCs w:val="24"/>
          <w:lang w:val="en-GB"/>
        </w:rPr>
        <w:instrText xml:space="preserve"> ADDIN EN.CITE &lt;EndNote&gt;&lt;Cite&gt;&lt;Author&gt;Ameer&lt;/Author&gt;&lt;Year&gt;2024&lt;/Year&gt;&lt;RecNum&gt;116&lt;/RecNum&gt;&lt;DisplayText&gt;(Ameer et al., 2024)&lt;/DisplayText&gt;&lt;record&gt;&lt;rec-number&gt;116&lt;/rec-number&gt;&lt;foreign-keys&gt;&lt;key app="EN" db-id="vpx2ztd0jvx0s1erpx8vdpt42t5xrxv5wwsp" timestamp="1762623331"&gt;116&lt;/key&gt;&lt;/foreign-keys&gt;&lt;ref-type name="Journal Article"&gt;17&lt;/ref-type&gt;&lt;contributors&gt;&lt;authors&gt;&lt;author&gt;Ameer, Farah&lt;/author&gt;&lt;author&gt;Khan, Mustafa Rehman&lt;/author&gt;&lt;author&gt;Khan, Ismail&lt;/author&gt;&lt;author&gt;Khan, Naveed R&lt;/author&gt;&lt;author&gt;Keoy, Kay Hooi&lt;/author&gt;&lt;/authors&gt;&lt;/contributors&gt;&lt;titles&gt;&lt;title&gt;Organizational resilience and green innovation for environmental performance: evidence from manufacturing organizations&lt;/title&gt;&lt;secondary-title&gt;Vision&lt;/secondary-title&gt;&lt;/titles&gt;&lt;periodical&gt;&lt;full-title&gt;Vision&lt;/full-title&gt;&lt;/periodical&gt;&lt;pages&gt;09722629241254955&lt;/pages&gt;&lt;dates&gt;&lt;year&gt;2024&lt;/year&gt;&lt;/dates&gt;&lt;isbn&gt;0972-2629&lt;/isbn&gt;&lt;urls&gt;&lt;/urls&gt;&lt;/record&gt;&lt;/Cite&gt;&lt;/EndNote&gt;</w:instrText>
      </w:r>
      <w:r>
        <w:rPr>
          <w:rFonts w:asciiTheme="majorBidi" w:hAnsiTheme="majorBidi" w:cstheme="majorBidi"/>
          <w:sz w:val="24"/>
          <w:szCs w:val="24"/>
          <w:lang w:val="en-GB"/>
        </w:rPr>
        <w:fldChar w:fldCharType="separate"/>
      </w:r>
      <w:r>
        <w:rPr>
          <w:rFonts w:asciiTheme="majorBidi" w:hAnsiTheme="majorBidi" w:cstheme="majorBidi"/>
          <w:noProof/>
          <w:sz w:val="24"/>
          <w:szCs w:val="24"/>
          <w:lang w:val="en-GB"/>
        </w:rPr>
        <w:t>(Ameer et al., 2024)</w:t>
      </w:r>
      <w:r>
        <w:rPr>
          <w:rFonts w:asciiTheme="majorBidi" w:hAnsiTheme="majorBidi" w:cstheme="majorBidi"/>
          <w:sz w:val="24"/>
          <w:szCs w:val="24"/>
          <w:lang w:val="en-GB"/>
        </w:rPr>
        <w:fldChar w:fldCharType="end"/>
      </w:r>
    </w:p>
    <w:p w14:paraId="7BADAC86" w14:textId="77777777" w:rsidR="0004769C" w:rsidRPr="00960142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SCR1. We can restore critical operations rapidly after a disruption.</w:t>
      </w:r>
    </w:p>
    <w:p w14:paraId="50C098F9" w14:textId="77777777" w:rsidR="0004769C" w:rsidRPr="00960142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SCR2. We can switch or add suppliers at short notice when required.</w:t>
      </w:r>
    </w:p>
    <w:p w14:paraId="07B971E3" w14:textId="77777777" w:rsidR="0004769C" w:rsidRPr="00960142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SCR3. Our logistics network can be re-routed quickly to maintain service.</w:t>
      </w:r>
    </w:p>
    <w:p w14:paraId="7052B461" w14:textId="77777777" w:rsidR="0004769C" w:rsidRPr="00960142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SCR4. We maintain acceptable service levels during unexpected events.</w:t>
      </w:r>
    </w:p>
    <w:p w14:paraId="2FDEDFCE" w14:textId="77777777" w:rsidR="0004769C" w:rsidRPr="00AF55B9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SCR5. We learn from disruptions and implement changes that prevent recurrence.</w:t>
      </w:r>
    </w:p>
    <w:p w14:paraId="143CB156" w14:textId="77777777" w:rsidR="0004769C" w:rsidRPr="00AF55B9" w:rsidRDefault="0004769C" w:rsidP="0004769C">
      <w:pPr>
        <w:jc w:val="both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Sustainable Performance (SP) </w:t>
      </w:r>
      <w:r w:rsidRPr="00AF55B9">
        <w:rPr>
          <w:rFonts w:asciiTheme="majorBidi" w:hAnsiTheme="majorBidi" w:cstheme="majorBidi"/>
          <w:sz w:val="24"/>
          <w:szCs w:val="24"/>
          <w:lang w:val="en-GB"/>
        </w:rPr>
        <w:t>— adapted from</w:t>
      </w:r>
      <w:r w:rsidRPr="00AF55B9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 xml:space="preserve"> </w:t>
      </w:r>
      <w:r>
        <w:rPr>
          <w:rFonts w:asciiTheme="majorBidi" w:hAnsiTheme="majorBidi" w:cstheme="majorBidi"/>
          <w:sz w:val="24"/>
          <w:szCs w:val="24"/>
          <w:lang w:val="en-GB"/>
        </w:rPr>
        <w:fldChar w:fldCharType="begin"/>
      </w:r>
      <w:r>
        <w:rPr>
          <w:rFonts w:asciiTheme="majorBidi" w:hAnsiTheme="majorBidi" w:cstheme="majorBidi"/>
          <w:sz w:val="24"/>
          <w:szCs w:val="24"/>
          <w:lang w:val="en-GB"/>
        </w:rPr>
        <w:instrText xml:space="preserve"> ADDIN EN.CITE &lt;EndNote&gt;&lt;Cite&gt;&lt;Author&gt;Hasan Al-Obaidy&lt;/Author&gt;&lt;Year&gt;2025&lt;/Year&gt;&lt;RecNum&gt;117&lt;/RecNum&gt;&lt;DisplayText&gt;(Hasan Al-Obaidy et al., 2025)&lt;/DisplayText&gt;&lt;record&gt;&lt;rec-number&gt;117&lt;/rec-number&gt;&lt;foreign-keys&gt;&lt;key app="EN" db-id="vpx2ztd0jvx0s1erpx8vdpt42t5xrxv5wwsp" timestamp="1762623413"&gt;117&lt;/key&gt;&lt;/foreign-keys&gt;&lt;ref-type name="Journal Article"&gt;17&lt;/ref-type&gt;&lt;contributors&gt;&lt;authors&gt;&lt;author&gt;Hasan Al-Obaidy, Omar Falah&lt;/author&gt;&lt;author&gt;Abdullah Alshammary, Ibrahim S&lt;/author&gt;&lt;author&gt;Al-Dulaimi, Muhammad Ibrahim J&lt;/author&gt;&lt;/authors&gt;&lt;/contributors&gt;&lt;titles&gt;&lt;title&gt;Resilience and Environmental Performance of SMEs: The Mediating Role of Ambidextrous Green Innovation&lt;/title&gt;&lt;secondary-title&gt;Journal of Advanced Transportation&lt;/secondary-title&gt;&lt;/titles&gt;&lt;periodical&gt;&lt;full-title&gt;Journal of Advanced Transportation&lt;/full-title&gt;&lt;/periodical&gt;&lt;pages&gt;9999874&lt;/pages&gt;&lt;volume&gt;2025&lt;/volume&gt;&lt;number&gt;1&lt;/number&gt;&lt;dates&gt;&lt;year&gt;2025&lt;/year&gt;&lt;/dates&gt;&lt;isbn&gt;2042-3195&lt;/isbn&gt;&lt;urls&gt;&lt;/urls&gt;&lt;/record&gt;&lt;/Cite&gt;&lt;/EndNote&gt;</w:instrText>
      </w:r>
      <w:r>
        <w:rPr>
          <w:rFonts w:asciiTheme="majorBidi" w:hAnsiTheme="majorBidi" w:cstheme="majorBidi"/>
          <w:sz w:val="24"/>
          <w:szCs w:val="24"/>
          <w:lang w:val="en-GB"/>
        </w:rPr>
        <w:fldChar w:fldCharType="separate"/>
      </w:r>
      <w:r>
        <w:rPr>
          <w:rFonts w:asciiTheme="majorBidi" w:hAnsiTheme="majorBidi" w:cstheme="majorBidi"/>
          <w:noProof/>
          <w:sz w:val="24"/>
          <w:szCs w:val="24"/>
          <w:lang w:val="en-GB"/>
        </w:rPr>
        <w:t>(Hasan Al-Obaidy et al., 2025)</w:t>
      </w:r>
      <w:r>
        <w:rPr>
          <w:rFonts w:asciiTheme="majorBidi" w:hAnsiTheme="majorBidi" w:cstheme="majorBidi"/>
          <w:sz w:val="24"/>
          <w:szCs w:val="24"/>
          <w:lang w:val="en-GB"/>
        </w:rPr>
        <w:fldChar w:fldCharType="end"/>
      </w:r>
    </w:p>
    <w:p w14:paraId="776BFF5D" w14:textId="77777777" w:rsidR="0004769C" w:rsidRPr="00960142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SP1. We have reduced environmental footprint without harming profitability.</w:t>
      </w:r>
    </w:p>
    <w:p w14:paraId="05308BCC" w14:textId="77777777" w:rsidR="0004769C" w:rsidRPr="00960142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SP2. Resource efficiency has improved over recent years.</w:t>
      </w:r>
    </w:p>
    <w:p w14:paraId="326FD213" w14:textId="77777777" w:rsidR="0004769C" w:rsidRPr="00960142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SP3. Our sustainability outcomes compare favourably with industry peers.</w:t>
      </w:r>
    </w:p>
    <w:p w14:paraId="06DAE8E4" w14:textId="77777777" w:rsidR="0004769C" w:rsidRPr="00AF55B9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SP4. Sustainability initiatives have contributed to long</w:t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AF55B9">
        <w:rPr>
          <w:rFonts w:asciiTheme="majorBidi" w:hAnsiTheme="majorBidi" w:cstheme="majorBidi"/>
          <w:sz w:val="24"/>
          <w:szCs w:val="24"/>
          <w:lang w:val="en-GB"/>
        </w:rPr>
        <w:t>term financial stability.</w:t>
      </w:r>
    </w:p>
    <w:p w14:paraId="172518F8" w14:textId="77777777" w:rsidR="0004769C" w:rsidRPr="00AF55B9" w:rsidRDefault="0004769C" w:rsidP="0004769C">
      <w:pPr>
        <w:jc w:val="both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Institutional Pressure (IP) </w:t>
      </w:r>
      <w:r w:rsidRPr="00AF55B9">
        <w:rPr>
          <w:rFonts w:asciiTheme="majorBidi" w:hAnsiTheme="majorBidi" w:cstheme="majorBidi"/>
          <w:i/>
          <w:iCs/>
          <w:sz w:val="24"/>
          <w:szCs w:val="24"/>
          <w:lang w:val="en-GB"/>
        </w:rPr>
        <w:t xml:space="preserve">— </w:t>
      </w:r>
      <w:r w:rsidRPr="00AF55B9">
        <w:rPr>
          <w:rFonts w:asciiTheme="majorBidi" w:hAnsiTheme="majorBidi" w:cstheme="majorBidi"/>
          <w:sz w:val="24"/>
          <w:szCs w:val="24"/>
          <w:lang w:val="en-GB"/>
        </w:rPr>
        <w:t>based on</w:t>
      </w:r>
      <w:r w:rsidRPr="00AF55B9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 xml:space="preserve"> </w:t>
      </w:r>
      <w:r>
        <w:rPr>
          <w:rFonts w:asciiTheme="majorBidi" w:hAnsiTheme="majorBidi" w:cstheme="majorBidi"/>
          <w:sz w:val="24"/>
          <w:szCs w:val="24"/>
          <w:lang w:val="en-GB"/>
        </w:rPr>
        <w:fldChar w:fldCharType="begin"/>
      </w:r>
      <w:r>
        <w:rPr>
          <w:rFonts w:asciiTheme="majorBidi" w:hAnsiTheme="majorBidi" w:cstheme="majorBidi"/>
          <w:sz w:val="24"/>
          <w:szCs w:val="24"/>
          <w:lang w:val="en-GB"/>
        </w:rPr>
        <w:instrText xml:space="preserve"> ADDIN EN.CITE &lt;EndNote&gt;&lt;Cite&gt;&lt;Author&gt;Sharma&lt;/Author&gt;&lt;Year&gt;2025&lt;/Year&gt;&lt;RecNum&gt;118&lt;/RecNum&gt;&lt;DisplayText&gt;(Sharma et al., 2025)&lt;/DisplayText&gt;&lt;record&gt;&lt;rec-number&gt;118&lt;/rec-number&gt;&lt;foreign-keys&gt;&lt;key app="EN" db-id="vpx2ztd0jvx0s1erpx8vdpt42t5xrxv5wwsp" timestamp="1762623568"&gt;118&lt;/key&gt;&lt;/foreign-keys&gt;&lt;ref-type name="Journal Article"&gt;17&lt;/ref-type&gt;&lt;contributors&gt;&lt;authors&gt;&lt;author&gt;Sharma, Deepak&lt;/author&gt;&lt;author&gt;Virmani, Naveen&lt;/author&gt;&lt;author&gt;Mangla, Sachin Kumar&lt;/author&gt;&lt;author&gt;Kumar, Pravin&lt;/author&gt;&lt;author&gt;Mohanty, RP&lt;/author&gt;&lt;/authors&gt;&lt;/contributors&gt;&lt;titles&gt;&lt;title&gt;Leveraging green innovation, organizational learning, and institutional pressure to enhance supply chain flexibility: A petroleum refinery perspective using SAP-LAP and e-IRP&lt;/title&gt;&lt;secondary-title&gt;Global Journal of Flexible Systems Management&lt;/secondary-title&gt;&lt;/titles&gt;&lt;periodical&gt;&lt;full-title&gt;Global Journal of Flexible Systems Management&lt;/full-title&gt;&lt;/periodical&gt;&lt;pages&gt;1-27&lt;/pages&gt;&lt;dates&gt;&lt;year&gt;2025&lt;/year&gt;&lt;/dates&gt;&lt;isbn&gt;0972-2696&lt;/isbn&gt;&lt;urls&gt;&lt;/urls&gt;&lt;/record&gt;&lt;/Cite&gt;&lt;/EndNote&gt;</w:instrText>
      </w:r>
      <w:r>
        <w:rPr>
          <w:rFonts w:asciiTheme="majorBidi" w:hAnsiTheme="majorBidi" w:cstheme="majorBidi"/>
          <w:sz w:val="24"/>
          <w:szCs w:val="24"/>
          <w:lang w:val="en-GB"/>
        </w:rPr>
        <w:fldChar w:fldCharType="separate"/>
      </w:r>
      <w:r>
        <w:rPr>
          <w:rFonts w:asciiTheme="majorBidi" w:hAnsiTheme="majorBidi" w:cstheme="majorBidi"/>
          <w:noProof/>
          <w:sz w:val="24"/>
          <w:szCs w:val="24"/>
          <w:lang w:val="en-GB"/>
        </w:rPr>
        <w:t>(Sharma et al., 2025)</w:t>
      </w:r>
      <w:r>
        <w:rPr>
          <w:rFonts w:asciiTheme="majorBidi" w:hAnsiTheme="majorBidi" w:cstheme="majorBidi"/>
          <w:sz w:val="24"/>
          <w:szCs w:val="24"/>
          <w:lang w:val="en-GB"/>
        </w:rPr>
        <w:fldChar w:fldCharType="end"/>
      </w:r>
      <w:r w:rsidRPr="00AF55B9">
        <w:rPr>
          <w:rFonts w:asciiTheme="majorBidi" w:hAnsiTheme="majorBidi" w:cstheme="majorBidi"/>
          <w:sz w:val="24"/>
          <w:szCs w:val="24"/>
          <w:lang w:val="en-GB"/>
        </w:rPr>
        <w:t xml:space="preserve">; </w:t>
      </w:r>
      <w:r>
        <w:rPr>
          <w:rFonts w:asciiTheme="majorBidi" w:hAnsiTheme="majorBidi" w:cstheme="majorBidi"/>
          <w:sz w:val="24"/>
          <w:szCs w:val="24"/>
          <w:lang w:val="en-GB"/>
        </w:rPr>
        <w:fldChar w:fldCharType="begin"/>
      </w:r>
      <w:r>
        <w:rPr>
          <w:rFonts w:asciiTheme="majorBidi" w:hAnsiTheme="majorBidi" w:cstheme="majorBidi"/>
          <w:sz w:val="24"/>
          <w:szCs w:val="24"/>
          <w:lang w:val="en-GB"/>
        </w:rPr>
        <w:instrText xml:space="preserve"> ADDIN EN.CITE &lt;EndNote&gt;&lt;Cite&gt;&lt;Author&gt;Mustikasari&lt;/Author&gt;&lt;Year&gt;2025&lt;/Year&gt;&lt;RecNum&gt;119&lt;/RecNum&gt;&lt;DisplayText&gt;(Mustikasari &amp;amp; Ciptono, 2025)&lt;/DisplayText&gt;&lt;record&gt;&lt;rec-number&gt;119&lt;/rec-number&gt;&lt;foreign-keys&gt;&lt;key app="EN" db-id="vpx2ztd0jvx0s1erpx8vdpt42t5xrxv5wwsp" timestamp="1762623666"&gt;119&lt;/key&gt;&lt;/foreign-keys&gt;&lt;ref-type name="Journal Article"&gt;17&lt;/ref-type&gt;&lt;contributors&gt;&lt;authors&gt;&lt;author&gt;Mustikasari, Anita&lt;/author&gt;&lt;author&gt;Ciptono, Wakhid Slamet&lt;/author&gt;&lt;/authors&gt;&lt;/contributors&gt;&lt;titles&gt;&lt;title&gt;The Microfoundations of Managing Adaptive Tension as Dynamic Capability in Innovation Management&lt;/title&gt;&lt;secondary-title&gt;Global Journal of Flexible Systems Management&lt;/secondary-title&gt;&lt;/titles&gt;&lt;periodical&gt;&lt;full-title&gt;Global Journal of Flexible Systems Management&lt;/full-title&gt;&lt;/periodical&gt;&lt;pages&gt;1-31&lt;/pages&gt;&lt;dates&gt;&lt;year&gt;2025&lt;/year&gt;&lt;/dates&gt;&lt;isbn&gt;0972-2696&lt;/isbn&gt;&lt;urls&gt;&lt;/urls&gt;&lt;/record&gt;&lt;/Cite&gt;&lt;/EndNote&gt;</w:instrText>
      </w:r>
      <w:r>
        <w:rPr>
          <w:rFonts w:asciiTheme="majorBidi" w:hAnsiTheme="majorBidi" w:cstheme="majorBidi"/>
          <w:sz w:val="24"/>
          <w:szCs w:val="24"/>
          <w:lang w:val="en-GB"/>
        </w:rPr>
        <w:fldChar w:fldCharType="separate"/>
      </w:r>
      <w:r>
        <w:rPr>
          <w:rFonts w:asciiTheme="majorBidi" w:hAnsiTheme="majorBidi" w:cstheme="majorBidi"/>
          <w:noProof/>
          <w:sz w:val="24"/>
          <w:szCs w:val="24"/>
          <w:lang w:val="en-GB"/>
        </w:rPr>
        <w:t>(Mustikasari &amp; Ciptono, 2025)</w:t>
      </w:r>
      <w:r>
        <w:rPr>
          <w:rFonts w:asciiTheme="majorBidi" w:hAnsiTheme="majorBidi" w:cstheme="majorBidi"/>
          <w:sz w:val="24"/>
          <w:szCs w:val="24"/>
          <w:lang w:val="en-GB"/>
        </w:rPr>
        <w:fldChar w:fldCharType="end"/>
      </w:r>
    </w:p>
    <w:p w14:paraId="053BA708" w14:textId="77777777" w:rsidR="0004769C" w:rsidRPr="00960142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IP1. Regulations and standards strongly encourage ESG adoption.</w:t>
      </w:r>
    </w:p>
    <w:p w14:paraId="5C839594" w14:textId="77777777" w:rsidR="0004769C" w:rsidRPr="00960142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IP2. Industry associations and customers expect transparent ESG reporting.</w:t>
      </w:r>
    </w:p>
    <w:p w14:paraId="3F0E2708" w14:textId="77777777" w:rsidR="0004769C" w:rsidRPr="00960142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IP3. There is reputational or contractual pressure to demonstrate compliance.</w:t>
      </w:r>
    </w:p>
    <w:p w14:paraId="1CFC36B3" w14:textId="77777777" w:rsidR="0004769C" w:rsidRPr="00AF55B9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IP4. Policy incentives or penalties influence sustainability investments.</w:t>
      </w:r>
    </w:p>
    <w:p w14:paraId="12CB2DDF" w14:textId="77777777" w:rsidR="0004769C" w:rsidRPr="00AF55B9" w:rsidRDefault="0004769C" w:rsidP="0004769C">
      <w:pPr>
        <w:jc w:val="both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Relational Trust (RT) </w:t>
      </w:r>
      <w:r w:rsidRPr="00AF55B9">
        <w:rPr>
          <w:rFonts w:asciiTheme="majorBidi" w:hAnsiTheme="majorBidi" w:cstheme="majorBidi"/>
          <w:sz w:val="24"/>
          <w:szCs w:val="24"/>
          <w:lang w:val="en-GB"/>
        </w:rPr>
        <w:t>— adapted from</w:t>
      </w:r>
      <w:r w:rsidRPr="00AF55B9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 xml:space="preserve"> </w:t>
      </w:r>
      <w:r>
        <w:rPr>
          <w:rFonts w:asciiTheme="majorBidi" w:hAnsiTheme="majorBidi" w:cstheme="majorBidi"/>
          <w:sz w:val="24"/>
          <w:szCs w:val="24"/>
          <w:lang w:val="en-GB"/>
        </w:rPr>
        <w:fldChar w:fldCharType="begin"/>
      </w:r>
      <w:r>
        <w:rPr>
          <w:rFonts w:asciiTheme="majorBidi" w:hAnsiTheme="majorBidi" w:cstheme="majorBidi"/>
          <w:sz w:val="24"/>
          <w:szCs w:val="24"/>
          <w:lang w:val="en-GB"/>
        </w:rPr>
        <w:instrText xml:space="preserve"> ADDIN EN.CITE &lt;EndNote&gt;&lt;Cite&gt;&lt;Author&gt;Frederiksen&lt;/Author&gt;&lt;Year&gt;2014&lt;/Year&gt;&lt;RecNum&gt;120&lt;/RecNum&gt;&lt;DisplayText&gt;(Frederiksen, 2014)&lt;/DisplayText&gt;&lt;record&gt;&lt;rec-number&gt;120&lt;/rec-number&gt;&lt;foreign-keys&gt;&lt;key app="EN" db-id="vpx2ztd0jvx0s1erpx8vdpt42t5xrxv5wwsp" timestamp="1762623831"&gt;120&lt;/key&gt;&lt;/foreign-keys&gt;&lt;ref-type name="Journal Article"&gt;17&lt;/ref-type&gt;&lt;contributors&gt;&lt;authors&gt;&lt;author&gt;Frederiksen, Morten&lt;/author&gt;&lt;/authors&gt;&lt;/contributors&gt;&lt;titles&gt;&lt;title&gt;Relational trust: Outline of a Bourdieusian theory of interpersonal trust&lt;/title&gt;&lt;secondary-title&gt;Journal of Trust Research&lt;/secondary-title&gt;&lt;/titles&gt;&lt;periodical&gt;&lt;full-title&gt;Journal of Trust Research&lt;/full-title&gt;&lt;/periodical&gt;&lt;pages&gt;167-192&lt;/pages&gt;&lt;volume&gt;4&lt;/volume&gt;&lt;number&gt;2&lt;/number&gt;&lt;dates&gt;&lt;year&gt;2014&lt;/year&gt;&lt;/dates&gt;&lt;isbn&gt;2151-5581&lt;/isbn&gt;&lt;urls&gt;&lt;/urls&gt;&lt;/record&gt;&lt;/Cite&gt;&lt;/EndNote&gt;</w:instrText>
      </w:r>
      <w:r>
        <w:rPr>
          <w:rFonts w:asciiTheme="majorBidi" w:hAnsiTheme="majorBidi" w:cstheme="majorBidi"/>
          <w:sz w:val="24"/>
          <w:szCs w:val="24"/>
          <w:lang w:val="en-GB"/>
        </w:rPr>
        <w:fldChar w:fldCharType="separate"/>
      </w:r>
      <w:r>
        <w:rPr>
          <w:rFonts w:asciiTheme="majorBidi" w:hAnsiTheme="majorBidi" w:cstheme="majorBidi"/>
          <w:noProof/>
          <w:sz w:val="24"/>
          <w:szCs w:val="24"/>
          <w:lang w:val="en-GB"/>
        </w:rPr>
        <w:t>(Frederiksen, 2014)</w:t>
      </w:r>
      <w:r>
        <w:rPr>
          <w:rFonts w:asciiTheme="majorBidi" w:hAnsiTheme="majorBidi" w:cstheme="majorBidi"/>
          <w:sz w:val="24"/>
          <w:szCs w:val="24"/>
          <w:lang w:val="en-GB"/>
        </w:rPr>
        <w:fldChar w:fldCharType="end"/>
      </w:r>
      <w:r w:rsidRPr="00AF55B9">
        <w:rPr>
          <w:rFonts w:asciiTheme="majorBidi" w:hAnsiTheme="majorBidi" w:cstheme="majorBidi"/>
          <w:sz w:val="24"/>
          <w:szCs w:val="24"/>
          <w:lang w:val="en-GB"/>
        </w:rPr>
        <w:t xml:space="preserve">; </w:t>
      </w:r>
      <w:r>
        <w:rPr>
          <w:rFonts w:asciiTheme="majorBidi" w:hAnsiTheme="majorBidi" w:cstheme="majorBidi"/>
          <w:sz w:val="24"/>
          <w:szCs w:val="24"/>
          <w:lang w:val="en-GB"/>
        </w:rPr>
        <w:fldChar w:fldCharType="begin"/>
      </w:r>
      <w:r>
        <w:rPr>
          <w:rFonts w:asciiTheme="majorBidi" w:hAnsiTheme="majorBidi" w:cstheme="majorBidi"/>
          <w:sz w:val="24"/>
          <w:szCs w:val="24"/>
          <w:lang w:val="en-GB"/>
        </w:rPr>
        <w:instrText xml:space="preserve"> ADDIN EN.CITE &lt;EndNote&gt;&lt;Cite&gt;&lt;Author&gt;Yang&lt;/Author&gt;&lt;Year&gt;2009&lt;/Year&gt;&lt;RecNum&gt;121&lt;/RecNum&gt;&lt;DisplayText&gt;(Yang &amp;amp; Lim, 2009)&lt;/DisplayText&gt;&lt;record&gt;&lt;rec-number&gt;121&lt;/rec-number&gt;&lt;foreign-keys&gt;&lt;key app="EN" db-id="vpx2ztd0jvx0s1erpx8vdpt42t5xrxv5wwsp" timestamp="1762623914"&gt;121&lt;/key&gt;&lt;/foreign-keys&gt;&lt;ref-type name="Journal Article"&gt;17&lt;/ref-type&gt;&lt;contributors&gt;&lt;authors&gt;&lt;author&gt;Yang, Sung-Un&lt;/author&gt;&lt;author&gt;Lim, Joon Soo&lt;/author&gt;&lt;/authors&gt;&lt;/contributors&gt;&lt;titles&gt;&lt;title&gt;The effects of blog-mediated public relations (BMPR) on relational trust&lt;/title&gt;&lt;secondary-title&gt;Journal of public relations research&lt;/secondary-title&gt;&lt;/titles&gt;&lt;periodical&gt;&lt;full-title&gt;Journal of public relations research&lt;/full-title&gt;&lt;/periodical&gt;&lt;pages&gt;341-359&lt;/pages&gt;&lt;volume&gt;21&lt;/volume&gt;&lt;number&gt;3&lt;/number&gt;&lt;dates&gt;&lt;year&gt;2009&lt;/year&gt;&lt;/dates&gt;&lt;isbn&gt;1062-726X&lt;/isbn&gt;&lt;urls&gt;&lt;/urls&gt;&lt;/record&gt;&lt;/Cite&gt;&lt;/EndNote&gt;</w:instrText>
      </w:r>
      <w:r>
        <w:rPr>
          <w:rFonts w:asciiTheme="majorBidi" w:hAnsiTheme="majorBidi" w:cstheme="majorBidi"/>
          <w:sz w:val="24"/>
          <w:szCs w:val="24"/>
          <w:lang w:val="en-GB"/>
        </w:rPr>
        <w:fldChar w:fldCharType="separate"/>
      </w:r>
      <w:r>
        <w:rPr>
          <w:rFonts w:asciiTheme="majorBidi" w:hAnsiTheme="majorBidi" w:cstheme="majorBidi"/>
          <w:noProof/>
          <w:sz w:val="24"/>
          <w:szCs w:val="24"/>
          <w:lang w:val="en-GB"/>
        </w:rPr>
        <w:t>(Yang &amp; Lim, 2009)</w:t>
      </w:r>
      <w:r>
        <w:rPr>
          <w:rFonts w:asciiTheme="majorBidi" w:hAnsiTheme="majorBidi" w:cstheme="majorBidi"/>
          <w:sz w:val="24"/>
          <w:szCs w:val="24"/>
          <w:lang w:val="en-GB"/>
        </w:rPr>
        <w:fldChar w:fldCharType="end"/>
      </w:r>
    </w:p>
    <w:p w14:paraId="17AB8A5F" w14:textId="77777777" w:rsidR="0004769C" w:rsidRPr="00960142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lastRenderedPageBreak/>
        <w:t>RT1. Our key partners keep commitments even when not specified in contracts.</w:t>
      </w:r>
    </w:p>
    <w:p w14:paraId="2AE8277E" w14:textId="77777777" w:rsidR="0004769C" w:rsidRPr="00960142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RT2. We can rely on partners’ honesty and integrity during crises.</w:t>
      </w:r>
    </w:p>
    <w:p w14:paraId="273FE378" w14:textId="77777777" w:rsidR="0004769C" w:rsidRPr="00960142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RT3. Sensitive information can be shared without fear of misuse.</w:t>
      </w:r>
    </w:p>
    <w:p w14:paraId="59062C23" w14:textId="77777777" w:rsidR="0004769C" w:rsidRPr="00AF55B9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RT4. Partners act in the relationship’s long</w:t>
      </w:r>
      <w:r>
        <w:rPr>
          <w:rFonts w:asciiTheme="majorBidi" w:hAnsiTheme="majorBidi" w:cstheme="majorBidi"/>
          <w:sz w:val="24"/>
          <w:szCs w:val="24"/>
          <w:lang w:val="en-GB"/>
        </w:rPr>
        <w:t>-term</w:t>
      </w:r>
      <w:r w:rsidRPr="00AF55B9">
        <w:rPr>
          <w:rFonts w:asciiTheme="majorBidi" w:hAnsiTheme="majorBidi" w:cstheme="majorBidi"/>
          <w:sz w:val="24"/>
          <w:szCs w:val="24"/>
          <w:lang w:val="en-GB"/>
        </w:rPr>
        <w:t xml:space="preserve"> interest when unforeseen issues arise.</w:t>
      </w:r>
    </w:p>
    <w:p w14:paraId="5CD827BC" w14:textId="77777777" w:rsidR="0004769C" w:rsidRPr="00AF55B9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</w:p>
    <w:p w14:paraId="6B793C26" w14:textId="77777777" w:rsidR="0004769C" w:rsidRPr="00AF55B9" w:rsidRDefault="0004769C" w:rsidP="0004769C">
      <w:pPr>
        <w:jc w:val="both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b/>
          <w:bCs/>
          <w:sz w:val="24"/>
          <w:szCs w:val="24"/>
          <w:lang w:val="en-GB"/>
        </w:rPr>
        <w:t>Appendix B – Reliability and Validity Summary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3"/>
        <w:gridCol w:w="636"/>
        <w:gridCol w:w="636"/>
        <w:gridCol w:w="692"/>
        <w:gridCol w:w="1605"/>
        <w:gridCol w:w="1296"/>
      </w:tblGrid>
      <w:tr w:rsidR="0004769C" w:rsidRPr="00AF55B9" w14:paraId="1FF190E2" w14:textId="77777777" w:rsidTr="004A29AC">
        <w:tc>
          <w:tcPr>
            <w:tcW w:w="0" w:type="auto"/>
            <w:hideMark/>
          </w:tcPr>
          <w:p w14:paraId="25056A61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  <w:t>Construct</w:t>
            </w:r>
          </w:p>
        </w:tc>
        <w:tc>
          <w:tcPr>
            <w:tcW w:w="0" w:type="auto"/>
            <w:hideMark/>
          </w:tcPr>
          <w:p w14:paraId="5BCEC65B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  <w:t>α</w:t>
            </w:r>
          </w:p>
        </w:tc>
        <w:tc>
          <w:tcPr>
            <w:tcW w:w="0" w:type="auto"/>
            <w:hideMark/>
          </w:tcPr>
          <w:p w14:paraId="269C76F7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  <w:t>CR</w:t>
            </w:r>
          </w:p>
        </w:tc>
        <w:tc>
          <w:tcPr>
            <w:tcW w:w="0" w:type="auto"/>
            <w:hideMark/>
          </w:tcPr>
          <w:p w14:paraId="5B8C9667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  <w:t>AVE</w:t>
            </w:r>
          </w:p>
        </w:tc>
        <w:tc>
          <w:tcPr>
            <w:tcW w:w="0" w:type="auto"/>
            <w:hideMark/>
          </w:tcPr>
          <w:p w14:paraId="3B72E1DB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  <w:t>HTMT (max)</w:t>
            </w:r>
          </w:p>
        </w:tc>
        <w:tc>
          <w:tcPr>
            <w:tcW w:w="0" w:type="auto"/>
            <w:hideMark/>
          </w:tcPr>
          <w:p w14:paraId="414F72BD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  <w:t>Status</w:t>
            </w:r>
          </w:p>
        </w:tc>
      </w:tr>
      <w:tr w:rsidR="0004769C" w:rsidRPr="00AF55B9" w14:paraId="489B5CD3" w14:textId="77777777" w:rsidTr="004A29AC">
        <w:tc>
          <w:tcPr>
            <w:tcW w:w="0" w:type="auto"/>
            <w:hideMark/>
          </w:tcPr>
          <w:p w14:paraId="114FE7E0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ET</w:t>
            </w:r>
          </w:p>
        </w:tc>
        <w:tc>
          <w:tcPr>
            <w:tcW w:w="0" w:type="auto"/>
            <w:hideMark/>
          </w:tcPr>
          <w:p w14:paraId="417F3193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0.84</w:t>
            </w:r>
          </w:p>
        </w:tc>
        <w:tc>
          <w:tcPr>
            <w:tcW w:w="0" w:type="auto"/>
            <w:hideMark/>
          </w:tcPr>
          <w:p w14:paraId="479DACE4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0.88</w:t>
            </w:r>
          </w:p>
        </w:tc>
        <w:tc>
          <w:tcPr>
            <w:tcW w:w="0" w:type="auto"/>
            <w:hideMark/>
          </w:tcPr>
          <w:p w14:paraId="06FE9487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0.63</w:t>
            </w:r>
          </w:p>
        </w:tc>
        <w:tc>
          <w:tcPr>
            <w:tcW w:w="0" w:type="auto"/>
            <w:hideMark/>
          </w:tcPr>
          <w:p w14:paraId="6F94AF85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0.71</w:t>
            </w:r>
          </w:p>
        </w:tc>
        <w:tc>
          <w:tcPr>
            <w:tcW w:w="0" w:type="auto"/>
            <w:hideMark/>
          </w:tcPr>
          <w:p w14:paraId="361E6F2A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Acceptable</w:t>
            </w:r>
          </w:p>
        </w:tc>
      </w:tr>
      <w:tr w:rsidR="0004769C" w:rsidRPr="00AF55B9" w14:paraId="1BFC9E31" w14:textId="77777777" w:rsidTr="004A29AC">
        <w:tc>
          <w:tcPr>
            <w:tcW w:w="0" w:type="auto"/>
            <w:hideMark/>
          </w:tcPr>
          <w:p w14:paraId="0B44D7D5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DGOC</w:t>
            </w:r>
          </w:p>
        </w:tc>
        <w:tc>
          <w:tcPr>
            <w:tcW w:w="0" w:type="auto"/>
            <w:hideMark/>
          </w:tcPr>
          <w:p w14:paraId="6B18BD4D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0.93</w:t>
            </w:r>
          </w:p>
        </w:tc>
        <w:tc>
          <w:tcPr>
            <w:tcW w:w="0" w:type="auto"/>
            <w:hideMark/>
          </w:tcPr>
          <w:p w14:paraId="2F231248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0.95</w:t>
            </w:r>
          </w:p>
        </w:tc>
        <w:tc>
          <w:tcPr>
            <w:tcW w:w="0" w:type="auto"/>
            <w:hideMark/>
          </w:tcPr>
          <w:p w14:paraId="6F812FCA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0.77</w:t>
            </w:r>
          </w:p>
        </w:tc>
        <w:tc>
          <w:tcPr>
            <w:tcW w:w="0" w:type="auto"/>
            <w:hideMark/>
          </w:tcPr>
          <w:p w14:paraId="4A135E34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0.80</w:t>
            </w:r>
          </w:p>
        </w:tc>
        <w:tc>
          <w:tcPr>
            <w:tcW w:w="0" w:type="auto"/>
            <w:hideMark/>
          </w:tcPr>
          <w:p w14:paraId="6411DA9D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Acceptable</w:t>
            </w:r>
          </w:p>
        </w:tc>
      </w:tr>
      <w:tr w:rsidR="0004769C" w:rsidRPr="00AF55B9" w14:paraId="2D3A592C" w14:textId="77777777" w:rsidTr="004A29AC">
        <w:tc>
          <w:tcPr>
            <w:tcW w:w="0" w:type="auto"/>
            <w:hideMark/>
          </w:tcPr>
          <w:p w14:paraId="454D7985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GI</w:t>
            </w:r>
          </w:p>
        </w:tc>
        <w:tc>
          <w:tcPr>
            <w:tcW w:w="0" w:type="auto"/>
            <w:hideMark/>
          </w:tcPr>
          <w:p w14:paraId="483BB43D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0.89</w:t>
            </w:r>
          </w:p>
        </w:tc>
        <w:tc>
          <w:tcPr>
            <w:tcW w:w="0" w:type="auto"/>
            <w:hideMark/>
          </w:tcPr>
          <w:p w14:paraId="357E6898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0.91</w:t>
            </w:r>
          </w:p>
        </w:tc>
        <w:tc>
          <w:tcPr>
            <w:tcW w:w="0" w:type="auto"/>
            <w:hideMark/>
          </w:tcPr>
          <w:p w14:paraId="4D7F604A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0.66</w:t>
            </w:r>
          </w:p>
        </w:tc>
        <w:tc>
          <w:tcPr>
            <w:tcW w:w="0" w:type="auto"/>
            <w:hideMark/>
          </w:tcPr>
          <w:p w14:paraId="2A9DE541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0.74</w:t>
            </w:r>
          </w:p>
        </w:tc>
        <w:tc>
          <w:tcPr>
            <w:tcW w:w="0" w:type="auto"/>
            <w:hideMark/>
          </w:tcPr>
          <w:p w14:paraId="0670B773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Acceptable</w:t>
            </w:r>
          </w:p>
        </w:tc>
      </w:tr>
      <w:tr w:rsidR="0004769C" w:rsidRPr="00AF55B9" w14:paraId="460EF145" w14:textId="77777777" w:rsidTr="004A29AC">
        <w:tc>
          <w:tcPr>
            <w:tcW w:w="0" w:type="auto"/>
            <w:hideMark/>
          </w:tcPr>
          <w:p w14:paraId="327BAEC6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NC</w:t>
            </w:r>
          </w:p>
        </w:tc>
        <w:tc>
          <w:tcPr>
            <w:tcW w:w="0" w:type="auto"/>
            <w:hideMark/>
          </w:tcPr>
          <w:p w14:paraId="4DECA7D6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0.87</w:t>
            </w:r>
          </w:p>
        </w:tc>
        <w:tc>
          <w:tcPr>
            <w:tcW w:w="0" w:type="auto"/>
            <w:hideMark/>
          </w:tcPr>
          <w:p w14:paraId="0AEFA8A4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0.90</w:t>
            </w:r>
          </w:p>
        </w:tc>
        <w:tc>
          <w:tcPr>
            <w:tcW w:w="0" w:type="auto"/>
            <w:hideMark/>
          </w:tcPr>
          <w:p w14:paraId="272564A3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0.61</w:t>
            </w:r>
          </w:p>
        </w:tc>
        <w:tc>
          <w:tcPr>
            <w:tcW w:w="0" w:type="auto"/>
            <w:hideMark/>
          </w:tcPr>
          <w:p w14:paraId="60927883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0.70</w:t>
            </w:r>
          </w:p>
        </w:tc>
        <w:tc>
          <w:tcPr>
            <w:tcW w:w="0" w:type="auto"/>
            <w:hideMark/>
          </w:tcPr>
          <w:p w14:paraId="6E261560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Acceptable</w:t>
            </w:r>
          </w:p>
        </w:tc>
      </w:tr>
      <w:tr w:rsidR="0004769C" w:rsidRPr="00AF55B9" w14:paraId="63370A84" w14:textId="77777777" w:rsidTr="004A29AC">
        <w:tc>
          <w:tcPr>
            <w:tcW w:w="0" w:type="auto"/>
            <w:hideMark/>
          </w:tcPr>
          <w:p w14:paraId="464AC566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SCR</w:t>
            </w:r>
          </w:p>
        </w:tc>
        <w:tc>
          <w:tcPr>
            <w:tcW w:w="0" w:type="auto"/>
            <w:hideMark/>
          </w:tcPr>
          <w:p w14:paraId="3D83B205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0.88</w:t>
            </w:r>
          </w:p>
        </w:tc>
        <w:tc>
          <w:tcPr>
            <w:tcW w:w="0" w:type="auto"/>
            <w:hideMark/>
          </w:tcPr>
          <w:p w14:paraId="00514D1A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0.91</w:t>
            </w:r>
          </w:p>
        </w:tc>
        <w:tc>
          <w:tcPr>
            <w:tcW w:w="0" w:type="auto"/>
            <w:hideMark/>
          </w:tcPr>
          <w:p w14:paraId="4A078568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0.67</w:t>
            </w:r>
          </w:p>
        </w:tc>
        <w:tc>
          <w:tcPr>
            <w:tcW w:w="0" w:type="auto"/>
            <w:hideMark/>
          </w:tcPr>
          <w:p w14:paraId="1D95D202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0.78</w:t>
            </w:r>
          </w:p>
        </w:tc>
        <w:tc>
          <w:tcPr>
            <w:tcW w:w="0" w:type="auto"/>
            <w:hideMark/>
          </w:tcPr>
          <w:p w14:paraId="17A655D2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Acceptable</w:t>
            </w:r>
          </w:p>
        </w:tc>
      </w:tr>
      <w:tr w:rsidR="0004769C" w:rsidRPr="00AF55B9" w14:paraId="748E71CA" w14:textId="77777777" w:rsidTr="004A29AC">
        <w:tc>
          <w:tcPr>
            <w:tcW w:w="0" w:type="auto"/>
            <w:hideMark/>
          </w:tcPr>
          <w:p w14:paraId="519B50C1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SP</w:t>
            </w:r>
          </w:p>
        </w:tc>
        <w:tc>
          <w:tcPr>
            <w:tcW w:w="0" w:type="auto"/>
            <w:hideMark/>
          </w:tcPr>
          <w:p w14:paraId="4E75DE0B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0.90</w:t>
            </w:r>
          </w:p>
        </w:tc>
        <w:tc>
          <w:tcPr>
            <w:tcW w:w="0" w:type="auto"/>
            <w:hideMark/>
          </w:tcPr>
          <w:p w14:paraId="1AD43559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0.92</w:t>
            </w:r>
          </w:p>
        </w:tc>
        <w:tc>
          <w:tcPr>
            <w:tcW w:w="0" w:type="auto"/>
            <w:hideMark/>
          </w:tcPr>
          <w:p w14:paraId="5A0F59A4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0.70</w:t>
            </w:r>
          </w:p>
        </w:tc>
        <w:tc>
          <w:tcPr>
            <w:tcW w:w="0" w:type="auto"/>
            <w:hideMark/>
          </w:tcPr>
          <w:p w14:paraId="19EEDF44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0.73</w:t>
            </w:r>
          </w:p>
        </w:tc>
        <w:tc>
          <w:tcPr>
            <w:tcW w:w="0" w:type="auto"/>
            <w:hideMark/>
          </w:tcPr>
          <w:p w14:paraId="7BF802C0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Acceptable</w:t>
            </w:r>
          </w:p>
        </w:tc>
      </w:tr>
      <w:tr w:rsidR="0004769C" w:rsidRPr="00AF55B9" w14:paraId="451A113F" w14:textId="77777777" w:rsidTr="004A29AC">
        <w:tc>
          <w:tcPr>
            <w:tcW w:w="0" w:type="auto"/>
            <w:hideMark/>
          </w:tcPr>
          <w:p w14:paraId="17B03DE8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IP</w:t>
            </w:r>
          </w:p>
        </w:tc>
        <w:tc>
          <w:tcPr>
            <w:tcW w:w="0" w:type="auto"/>
            <w:hideMark/>
          </w:tcPr>
          <w:p w14:paraId="5F43B9EE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0.86</w:t>
            </w:r>
          </w:p>
        </w:tc>
        <w:tc>
          <w:tcPr>
            <w:tcW w:w="0" w:type="auto"/>
            <w:hideMark/>
          </w:tcPr>
          <w:p w14:paraId="4440D8B2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0.89</w:t>
            </w:r>
          </w:p>
        </w:tc>
        <w:tc>
          <w:tcPr>
            <w:tcW w:w="0" w:type="auto"/>
            <w:hideMark/>
          </w:tcPr>
          <w:p w14:paraId="06C5FA76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0.62</w:t>
            </w:r>
          </w:p>
        </w:tc>
        <w:tc>
          <w:tcPr>
            <w:tcW w:w="0" w:type="auto"/>
            <w:hideMark/>
          </w:tcPr>
          <w:p w14:paraId="74263384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0.68</w:t>
            </w:r>
          </w:p>
        </w:tc>
        <w:tc>
          <w:tcPr>
            <w:tcW w:w="0" w:type="auto"/>
            <w:hideMark/>
          </w:tcPr>
          <w:p w14:paraId="7893470F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Acceptable</w:t>
            </w:r>
          </w:p>
        </w:tc>
      </w:tr>
      <w:tr w:rsidR="0004769C" w:rsidRPr="00AF55B9" w14:paraId="6CA117B1" w14:textId="77777777" w:rsidTr="004A29AC">
        <w:tc>
          <w:tcPr>
            <w:tcW w:w="0" w:type="auto"/>
            <w:hideMark/>
          </w:tcPr>
          <w:p w14:paraId="14146F09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RT</w:t>
            </w:r>
          </w:p>
        </w:tc>
        <w:tc>
          <w:tcPr>
            <w:tcW w:w="0" w:type="auto"/>
            <w:hideMark/>
          </w:tcPr>
          <w:p w14:paraId="6EF47B3E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0.85</w:t>
            </w:r>
          </w:p>
        </w:tc>
        <w:tc>
          <w:tcPr>
            <w:tcW w:w="0" w:type="auto"/>
            <w:hideMark/>
          </w:tcPr>
          <w:p w14:paraId="3428E499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0.88</w:t>
            </w:r>
          </w:p>
        </w:tc>
        <w:tc>
          <w:tcPr>
            <w:tcW w:w="0" w:type="auto"/>
            <w:hideMark/>
          </w:tcPr>
          <w:p w14:paraId="1FD68ACA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0.60</w:t>
            </w:r>
          </w:p>
        </w:tc>
        <w:tc>
          <w:tcPr>
            <w:tcW w:w="0" w:type="auto"/>
            <w:hideMark/>
          </w:tcPr>
          <w:p w14:paraId="04972C9F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0.69</w:t>
            </w:r>
          </w:p>
        </w:tc>
        <w:tc>
          <w:tcPr>
            <w:tcW w:w="0" w:type="auto"/>
            <w:hideMark/>
          </w:tcPr>
          <w:p w14:paraId="36977CF2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Acceptable</w:t>
            </w:r>
          </w:p>
        </w:tc>
      </w:tr>
    </w:tbl>
    <w:p w14:paraId="7B16E1F3" w14:textId="77777777" w:rsidR="0004769C" w:rsidRPr="00AF55B9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i/>
          <w:iCs/>
          <w:sz w:val="24"/>
          <w:szCs w:val="24"/>
          <w:lang w:val="en-GB"/>
        </w:rPr>
        <w:t>Second</w:t>
      </w:r>
      <w:r>
        <w:rPr>
          <w:rFonts w:asciiTheme="majorBidi" w:hAnsiTheme="majorBidi" w:cstheme="majorBidi"/>
          <w:i/>
          <w:iCs/>
          <w:sz w:val="24"/>
          <w:szCs w:val="24"/>
          <w:lang w:val="en-GB"/>
        </w:rPr>
        <w:t xml:space="preserve"> </w:t>
      </w:r>
      <w:r w:rsidRPr="00AF55B9">
        <w:rPr>
          <w:rFonts w:asciiTheme="majorBidi" w:hAnsiTheme="majorBidi" w:cstheme="majorBidi"/>
          <w:i/>
          <w:iCs/>
          <w:sz w:val="24"/>
          <w:szCs w:val="24"/>
          <w:lang w:val="en-GB"/>
        </w:rPr>
        <w:t>order DGOC: CR = 0.94; AVE = 0.72; outer weights β = 0.74–0.86 (p &lt; 0.001).</w:t>
      </w:r>
    </w:p>
    <w:p w14:paraId="37E722D6" w14:textId="77777777" w:rsidR="0004769C" w:rsidRPr="00AF55B9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</w:p>
    <w:p w14:paraId="39303373" w14:textId="77777777" w:rsidR="0004769C" w:rsidRPr="00AF55B9" w:rsidRDefault="0004769C" w:rsidP="0004769C">
      <w:pPr>
        <w:jc w:val="both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b/>
          <w:bCs/>
          <w:sz w:val="24"/>
          <w:szCs w:val="24"/>
          <w:lang w:val="en-GB"/>
        </w:rPr>
        <w:t>Appendix C – Common</w:t>
      </w: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</w:t>
      </w:r>
      <w:r w:rsidRPr="00AF55B9">
        <w:rPr>
          <w:rFonts w:asciiTheme="majorBidi" w:hAnsiTheme="majorBidi" w:cstheme="majorBidi"/>
          <w:b/>
          <w:bCs/>
          <w:sz w:val="24"/>
          <w:szCs w:val="24"/>
          <w:lang w:val="en-GB"/>
        </w:rPr>
        <w:t>Method and Multicollinearity Diagnostics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91"/>
        <w:gridCol w:w="1784"/>
        <w:gridCol w:w="1176"/>
        <w:gridCol w:w="2169"/>
      </w:tblGrid>
      <w:tr w:rsidR="0004769C" w:rsidRPr="00AF55B9" w14:paraId="71C64C53" w14:textId="77777777" w:rsidTr="004A29AC">
        <w:tc>
          <w:tcPr>
            <w:tcW w:w="0" w:type="auto"/>
            <w:hideMark/>
          </w:tcPr>
          <w:p w14:paraId="0932961A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  <w:t>Test</w:t>
            </w:r>
          </w:p>
        </w:tc>
        <w:tc>
          <w:tcPr>
            <w:tcW w:w="0" w:type="auto"/>
            <w:hideMark/>
          </w:tcPr>
          <w:p w14:paraId="74B51652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  <w:t>Criterion</w:t>
            </w:r>
          </w:p>
        </w:tc>
        <w:tc>
          <w:tcPr>
            <w:tcW w:w="0" w:type="auto"/>
            <w:hideMark/>
          </w:tcPr>
          <w:p w14:paraId="62262E70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  <w:t>Result</w:t>
            </w:r>
          </w:p>
        </w:tc>
        <w:tc>
          <w:tcPr>
            <w:tcW w:w="0" w:type="auto"/>
            <w:hideMark/>
          </w:tcPr>
          <w:p w14:paraId="6DD07931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  <w:t>Interpretation</w:t>
            </w:r>
          </w:p>
        </w:tc>
      </w:tr>
      <w:tr w:rsidR="0004769C" w:rsidRPr="00AF55B9" w14:paraId="6F219FB6" w14:textId="77777777" w:rsidTr="004A29AC">
        <w:tc>
          <w:tcPr>
            <w:tcW w:w="0" w:type="auto"/>
            <w:hideMark/>
          </w:tcPr>
          <w:p w14:paraId="5F6B1259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Harman’s one</w: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</w:t>
            </w: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factor</w:t>
            </w:r>
          </w:p>
        </w:tc>
        <w:tc>
          <w:tcPr>
            <w:tcW w:w="0" w:type="auto"/>
            <w:hideMark/>
          </w:tcPr>
          <w:p w14:paraId="29ABC676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&lt; 50 % variance</w:t>
            </w:r>
          </w:p>
        </w:tc>
        <w:tc>
          <w:tcPr>
            <w:tcW w:w="0" w:type="auto"/>
            <w:hideMark/>
          </w:tcPr>
          <w:p w14:paraId="3DE96672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27 %</w:t>
            </w:r>
          </w:p>
        </w:tc>
        <w:tc>
          <w:tcPr>
            <w:tcW w:w="0" w:type="auto"/>
            <w:hideMark/>
          </w:tcPr>
          <w:p w14:paraId="3E0C0B7D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No bias detected</w:t>
            </w:r>
          </w:p>
        </w:tc>
      </w:tr>
      <w:tr w:rsidR="0004769C" w:rsidRPr="00AF55B9" w14:paraId="2281EB09" w14:textId="77777777" w:rsidTr="004A29AC">
        <w:tc>
          <w:tcPr>
            <w:tcW w:w="0" w:type="auto"/>
            <w:hideMark/>
          </w:tcPr>
          <w:p w14:paraId="77F8F922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Latent</w: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</w:t>
            </w: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common</w: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</w:t>
            </w: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factor VIF</w:t>
            </w:r>
          </w:p>
        </w:tc>
        <w:tc>
          <w:tcPr>
            <w:tcW w:w="0" w:type="auto"/>
            <w:hideMark/>
          </w:tcPr>
          <w:p w14:paraId="257A7C79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&lt; 3.3</w:t>
            </w:r>
          </w:p>
        </w:tc>
        <w:tc>
          <w:tcPr>
            <w:tcW w:w="0" w:type="auto"/>
            <w:hideMark/>
          </w:tcPr>
          <w:p w14:paraId="6705EFD1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1.21</w:t>
            </w:r>
          </w:p>
        </w:tc>
        <w:tc>
          <w:tcPr>
            <w:tcW w:w="0" w:type="auto"/>
            <w:hideMark/>
          </w:tcPr>
          <w:p w14:paraId="69CE182A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Negligible bias</w:t>
            </w:r>
          </w:p>
        </w:tc>
      </w:tr>
      <w:tr w:rsidR="0004769C" w:rsidRPr="00AF55B9" w14:paraId="568507A3" w14:textId="77777777" w:rsidTr="004A29AC">
        <w:tc>
          <w:tcPr>
            <w:tcW w:w="0" w:type="auto"/>
            <w:hideMark/>
          </w:tcPr>
          <w:p w14:paraId="6D2281B2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Full</w: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</w:t>
            </w: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collinearity VIF</w:t>
            </w:r>
          </w:p>
        </w:tc>
        <w:tc>
          <w:tcPr>
            <w:tcW w:w="0" w:type="auto"/>
            <w:hideMark/>
          </w:tcPr>
          <w:p w14:paraId="5FD68A2A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&lt; 3.3</w:t>
            </w:r>
          </w:p>
        </w:tc>
        <w:tc>
          <w:tcPr>
            <w:tcW w:w="0" w:type="auto"/>
            <w:hideMark/>
          </w:tcPr>
          <w:p w14:paraId="447F5AE1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1.10–2.60</w:t>
            </w:r>
          </w:p>
        </w:tc>
        <w:tc>
          <w:tcPr>
            <w:tcW w:w="0" w:type="auto"/>
            <w:hideMark/>
          </w:tcPr>
          <w:p w14:paraId="64CE399C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No multicollinearity</w:t>
            </w:r>
          </w:p>
        </w:tc>
      </w:tr>
      <w:tr w:rsidR="0004769C" w:rsidRPr="00AF55B9" w14:paraId="34FC0D28" w14:textId="77777777" w:rsidTr="004A29AC">
        <w:tc>
          <w:tcPr>
            <w:tcW w:w="0" w:type="auto"/>
            <w:hideMark/>
          </w:tcPr>
          <w:p w14:paraId="4882DC9E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SRMR</w:t>
            </w:r>
          </w:p>
        </w:tc>
        <w:tc>
          <w:tcPr>
            <w:tcW w:w="0" w:type="auto"/>
            <w:hideMark/>
          </w:tcPr>
          <w:p w14:paraId="5F568285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&lt; 0.08</w:t>
            </w:r>
          </w:p>
        </w:tc>
        <w:tc>
          <w:tcPr>
            <w:tcW w:w="0" w:type="auto"/>
            <w:hideMark/>
          </w:tcPr>
          <w:p w14:paraId="14DA2274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0.052</w:t>
            </w:r>
          </w:p>
        </w:tc>
        <w:tc>
          <w:tcPr>
            <w:tcW w:w="0" w:type="auto"/>
            <w:hideMark/>
          </w:tcPr>
          <w:p w14:paraId="0F687278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Good model fit</w:t>
            </w:r>
          </w:p>
        </w:tc>
      </w:tr>
      <w:tr w:rsidR="0004769C" w:rsidRPr="00AF55B9" w14:paraId="31E0D48C" w14:textId="77777777" w:rsidTr="004A29AC">
        <w:tc>
          <w:tcPr>
            <w:tcW w:w="0" w:type="auto"/>
            <w:hideMark/>
          </w:tcPr>
          <w:p w14:paraId="44918DC6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NFI</w:t>
            </w:r>
          </w:p>
        </w:tc>
        <w:tc>
          <w:tcPr>
            <w:tcW w:w="0" w:type="auto"/>
            <w:hideMark/>
          </w:tcPr>
          <w:p w14:paraId="1EF8C165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&gt; 0.90</w:t>
            </w:r>
          </w:p>
        </w:tc>
        <w:tc>
          <w:tcPr>
            <w:tcW w:w="0" w:type="auto"/>
            <w:hideMark/>
          </w:tcPr>
          <w:p w14:paraId="481FF8B6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0.92</w:t>
            </w:r>
          </w:p>
        </w:tc>
        <w:tc>
          <w:tcPr>
            <w:tcW w:w="0" w:type="auto"/>
            <w:hideMark/>
          </w:tcPr>
          <w:p w14:paraId="0D9540BA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Good model fit</w:t>
            </w:r>
          </w:p>
        </w:tc>
      </w:tr>
    </w:tbl>
    <w:p w14:paraId="1946C273" w14:textId="77777777" w:rsidR="0004769C" w:rsidRPr="00AF55B9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</w:p>
    <w:p w14:paraId="4A9E631C" w14:textId="77777777" w:rsidR="0004769C" w:rsidRPr="00AF55B9" w:rsidRDefault="0004769C" w:rsidP="0004769C">
      <w:pPr>
        <w:jc w:val="both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b/>
          <w:bCs/>
          <w:sz w:val="24"/>
          <w:szCs w:val="24"/>
          <w:lang w:val="en-GB"/>
        </w:rPr>
        <w:t>Appendix D – Cross</w:t>
      </w: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</w:t>
      </w:r>
      <w:r w:rsidRPr="00AF55B9">
        <w:rPr>
          <w:rFonts w:asciiTheme="majorBidi" w:hAnsiTheme="majorBidi" w:cstheme="majorBidi"/>
          <w:b/>
          <w:bCs/>
          <w:sz w:val="24"/>
          <w:szCs w:val="24"/>
          <w:lang w:val="en-GB"/>
        </w:rPr>
        <w:t>Context Multi</w:t>
      </w: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</w:t>
      </w:r>
      <w:r w:rsidRPr="00AF55B9">
        <w:rPr>
          <w:rFonts w:asciiTheme="majorBidi" w:hAnsiTheme="majorBidi" w:cstheme="majorBidi"/>
          <w:b/>
          <w:bCs/>
          <w:sz w:val="24"/>
          <w:szCs w:val="24"/>
          <w:lang w:val="en-GB"/>
        </w:rPr>
        <w:t>Group Analysis (Iran vs. Canada)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4"/>
        <w:gridCol w:w="807"/>
        <w:gridCol w:w="886"/>
        <w:gridCol w:w="741"/>
        <w:gridCol w:w="1132"/>
        <w:gridCol w:w="3950"/>
      </w:tblGrid>
      <w:tr w:rsidR="0004769C" w:rsidRPr="00AF55B9" w14:paraId="59E47B0B" w14:textId="77777777" w:rsidTr="004A29AC">
        <w:tc>
          <w:tcPr>
            <w:tcW w:w="0" w:type="auto"/>
            <w:hideMark/>
          </w:tcPr>
          <w:p w14:paraId="394CFEE4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  <w:t>Path</w:t>
            </w:r>
          </w:p>
        </w:tc>
        <w:tc>
          <w:tcPr>
            <w:tcW w:w="0" w:type="auto"/>
            <w:hideMark/>
          </w:tcPr>
          <w:p w14:paraId="59DB42E0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  <w:t>β (IR)</w:t>
            </w:r>
          </w:p>
        </w:tc>
        <w:tc>
          <w:tcPr>
            <w:tcW w:w="0" w:type="auto"/>
            <w:hideMark/>
          </w:tcPr>
          <w:p w14:paraId="4BA1613E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  <w:t>β (CA)</w:t>
            </w:r>
          </w:p>
        </w:tc>
        <w:tc>
          <w:tcPr>
            <w:tcW w:w="0" w:type="auto"/>
            <w:hideMark/>
          </w:tcPr>
          <w:p w14:paraId="091C6783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  <w:t>Δβ</w:t>
            </w:r>
          </w:p>
        </w:tc>
        <w:tc>
          <w:tcPr>
            <w:tcW w:w="0" w:type="auto"/>
            <w:hideMark/>
          </w:tcPr>
          <w:p w14:paraId="21BBB3DB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  <w:t>p (MGA)</w:t>
            </w:r>
          </w:p>
        </w:tc>
        <w:tc>
          <w:tcPr>
            <w:tcW w:w="0" w:type="auto"/>
            <w:hideMark/>
          </w:tcPr>
          <w:p w14:paraId="38EF92EE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  <w:t>Interpretation</w:t>
            </w:r>
          </w:p>
        </w:tc>
      </w:tr>
      <w:tr w:rsidR="0004769C" w:rsidRPr="00AF55B9" w14:paraId="625FE35B" w14:textId="77777777" w:rsidTr="004A29AC">
        <w:tc>
          <w:tcPr>
            <w:tcW w:w="0" w:type="auto"/>
            <w:hideMark/>
          </w:tcPr>
          <w:p w14:paraId="2D5132E2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lastRenderedPageBreak/>
              <w:t>ET → DGOC</w:t>
            </w:r>
          </w:p>
        </w:tc>
        <w:tc>
          <w:tcPr>
            <w:tcW w:w="0" w:type="auto"/>
            <w:hideMark/>
          </w:tcPr>
          <w:p w14:paraId="1F19D26F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0.47</w:t>
            </w:r>
          </w:p>
        </w:tc>
        <w:tc>
          <w:tcPr>
            <w:tcW w:w="0" w:type="auto"/>
            <w:hideMark/>
          </w:tcPr>
          <w:p w14:paraId="3CAAA6FE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0.32</w:t>
            </w:r>
          </w:p>
        </w:tc>
        <w:tc>
          <w:tcPr>
            <w:tcW w:w="0" w:type="auto"/>
            <w:hideMark/>
          </w:tcPr>
          <w:p w14:paraId="79D540BA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0.15</w:t>
            </w:r>
          </w:p>
        </w:tc>
        <w:tc>
          <w:tcPr>
            <w:tcW w:w="0" w:type="auto"/>
            <w:hideMark/>
          </w:tcPr>
          <w:p w14:paraId="05211357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0.04*</w:t>
            </w:r>
          </w:p>
        </w:tc>
        <w:tc>
          <w:tcPr>
            <w:tcW w:w="0" w:type="auto"/>
            <w:hideMark/>
          </w:tcPr>
          <w:p w14:paraId="60EF9625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Adaptive formation stronger in Iran</w:t>
            </w:r>
          </w:p>
        </w:tc>
      </w:tr>
      <w:tr w:rsidR="0004769C" w:rsidRPr="00AF55B9" w14:paraId="7A00B73B" w14:textId="77777777" w:rsidTr="004A29AC">
        <w:tc>
          <w:tcPr>
            <w:tcW w:w="0" w:type="auto"/>
            <w:hideMark/>
          </w:tcPr>
          <w:p w14:paraId="13A1F2B4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DGOC → GI</w:t>
            </w:r>
          </w:p>
        </w:tc>
        <w:tc>
          <w:tcPr>
            <w:tcW w:w="0" w:type="auto"/>
            <w:hideMark/>
          </w:tcPr>
          <w:p w14:paraId="46E8924C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0.44</w:t>
            </w:r>
          </w:p>
        </w:tc>
        <w:tc>
          <w:tcPr>
            <w:tcW w:w="0" w:type="auto"/>
            <w:hideMark/>
          </w:tcPr>
          <w:p w14:paraId="63413C35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0.58</w:t>
            </w:r>
          </w:p>
        </w:tc>
        <w:tc>
          <w:tcPr>
            <w:tcW w:w="0" w:type="auto"/>
            <w:hideMark/>
          </w:tcPr>
          <w:p w14:paraId="58AFABD9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–0.14</w:t>
            </w:r>
          </w:p>
        </w:tc>
        <w:tc>
          <w:tcPr>
            <w:tcW w:w="0" w:type="auto"/>
            <w:hideMark/>
          </w:tcPr>
          <w:p w14:paraId="66608191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0.02*</w:t>
            </w:r>
          </w:p>
        </w:tc>
        <w:tc>
          <w:tcPr>
            <w:tcW w:w="0" w:type="auto"/>
            <w:hideMark/>
          </w:tcPr>
          <w:p w14:paraId="1F577A6F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Innovation path stronger in Canada</w:t>
            </w:r>
          </w:p>
        </w:tc>
      </w:tr>
      <w:tr w:rsidR="0004769C" w:rsidRPr="00AF55B9" w14:paraId="31E35A62" w14:textId="77777777" w:rsidTr="004A29AC">
        <w:tc>
          <w:tcPr>
            <w:tcW w:w="0" w:type="auto"/>
            <w:hideMark/>
          </w:tcPr>
          <w:p w14:paraId="08825A82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GI → SCR</w:t>
            </w:r>
          </w:p>
        </w:tc>
        <w:tc>
          <w:tcPr>
            <w:tcW w:w="0" w:type="auto"/>
            <w:hideMark/>
          </w:tcPr>
          <w:p w14:paraId="0BD6DB50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0.39</w:t>
            </w:r>
          </w:p>
        </w:tc>
        <w:tc>
          <w:tcPr>
            <w:tcW w:w="0" w:type="auto"/>
            <w:hideMark/>
          </w:tcPr>
          <w:p w14:paraId="4CA83460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0.30</w:t>
            </w:r>
          </w:p>
        </w:tc>
        <w:tc>
          <w:tcPr>
            <w:tcW w:w="0" w:type="auto"/>
            <w:hideMark/>
          </w:tcPr>
          <w:p w14:paraId="6BEE1612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0.09</w:t>
            </w:r>
          </w:p>
        </w:tc>
        <w:tc>
          <w:tcPr>
            <w:tcW w:w="0" w:type="auto"/>
            <w:hideMark/>
          </w:tcPr>
          <w:p w14:paraId="27D1B085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0.05*</w:t>
            </w:r>
          </w:p>
        </w:tc>
        <w:tc>
          <w:tcPr>
            <w:tcW w:w="0" w:type="auto"/>
            <w:hideMark/>
          </w:tcPr>
          <w:p w14:paraId="326D9B16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Innovation compensates weak governance</w:t>
            </w:r>
          </w:p>
        </w:tc>
      </w:tr>
      <w:tr w:rsidR="0004769C" w:rsidRPr="00AF55B9" w14:paraId="29890C06" w14:textId="77777777" w:rsidTr="004A29AC">
        <w:tc>
          <w:tcPr>
            <w:tcW w:w="0" w:type="auto"/>
            <w:hideMark/>
          </w:tcPr>
          <w:p w14:paraId="7A0F2EB3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DGOC × IP → GI</w:t>
            </w:r>
          </w:p>
        </w:tc>
        <w:tc>
          <w:tcPr>
            <w:tcW w:w="0" w:type="auto"/>
            <w:hideMark/>
          </w:tcPr>
          <w:p w14:paraId="337F85B6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0.05</w:t>
            </w:r>
          </w:p>
        </w:tc>
        <w:tc>
          <w:tcPr>
            <w:tcW w:w="0" w:type="auto"/>
            <w:hideMark/>
          </w:tcPr>
          <w:p w14:paraId="3E39542F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0.10</w:t>
            </w:r>
          </w:p>
        </w:tc>
        <w:tc>
          <w:tcPr>
            <w:tcW w:w="0" w:type="auto"/>
            <w:hideMark/>
          </w:tcPr>
          <w:p w14:paraId="385F6A56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–0.05</w:t>
            </w:r>
          </w:p>
        </w:tc>
        <w:tc>
          <w:tcPr>
            <w:tcW w:w="0" w:type="auto"/>
            <w:hideMark/>
          </w:tcPr>
          <w:p w14:paraId="3F7F4839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0.34 ns</w:t>
            </w:r>
          </w:p>
        </w:tc>
        <w:tc>
          <w:tcPr>
            <w:tcW w:w="0" w:type="auto"/>
            <w:hideMark/>
          </w:tcPr>
          <w:p w14:paraId="11028A87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Formal pressure insignificant</w:t>
            </w:r>
          </w:p>
        </w:tc>
      </w:tr>
      <w:tr w:rsidR="0004769C" w:rsidRPr="00AF55B9" w14:paraId="0620CBAD" w14:textId="77777777" w:rsidTr="004A29AC">
        <w:tc>
          <w:tcPr>
            <w:tcW w:w="0" w:type="auto"/>
            <w:hideMark/>
          </w:tcPr>
          <w:p w14:paraId="099F17C0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NC × RT → SCR</w:t>
            </w:r>
          </w:p>
        </w:tc>
        <w:tc>
          <w:tcPr>
            <w:tcW w:w="0" w:type="auto"/>
            <w:hideMark/>
          </w:tcPr>
          <w:p w14:paraId="375EE4DC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0.22</w:t>
            </w:r>
          </w:p>
        </w:tc>
        <w:tc>
          <w:tcPr>
            <w:tcW w:w="0" w:type="auto"/>
            <w:hideMark/>
          </w:tcPr>
          <w:p w14:paraId="4E7EAA08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0.09</w:t>
            </w:r>
          </w:p>
        </w:tc>
        <w:tc>
          <w:tcPr>
            <w:tcW w:w="0" w:type="auto"/>
            <w:hideMark/>
          </w:tcPr>
          <w:p w14:paraId="6C4DD423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0.13</w:t>
            </w:r>
          </w:p>
        </w:tc>
        <w:tc>
          <w:tcPr>
            <w:tcW w:w="0" w:type="auto"/>
            <w:hideMark/>
          </w:tcPr>
          <w:p w14:paraId="00D03DC0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0.02*</w:t>
            </w:r>
          </w:p>
        </w:tc>
        <w:tc>
          <w:tcPr>
            <w:tcW w:w="0" w:type="auto"/>
            <w:hideMark/>
          </w:tcPr>
          <w:p w14:paraId="4FDDAC1E" w14:textId="77777777" w:rsidR="0004769C" w:rsidRPr="00AF55B9" w:rsidRDefault="0004769C" w:rsidP="004A29AC">
            <w:pPr>
              <w:spacing w:after="160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Trust</w: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</w:t>
            </w:r>
            <w:r w:rsidRPr="00AF55B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based collaboration critical in Iran</w:t>
            </w:r>
          </w:p>
        </w:tc>
      </w:tr>
    </w:tbl>
    <w:p w14:paraId="33326372" w14:textId="77777777" w:rsidR="0004769C" w:rsidRPr="00AF55B9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i/>
          <w:iCs/>
          <w:sz w:val="24"/>
          <w:szCs w:val="24"/>
          <w:lang w:val="en-GB"/>
        </w:rPr>
        <w:t>p &lt; 0.05; ns = non-significant.</w:t>
      </w:r>
    </w:p>
    <w:p w14:paraId="2F1DDDB6" w14:textId="77777777" w:rsidR="0004769C" w:rsidRPr="00AF55B9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</w:p>
    <w:p w14:paraId="27CF6C08" w14:textId="77777777" w:rsidR="0004769C" w:rsidRPr="00AF55B9" w:rsidRDefault="0004769C" w:rsidP="0004769C">
      <w:pPr>
        <w:jc w:val="both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b/>
          <w:bCs/>
          <w:sz w:val="24"/>
          <w:szCs w:val="24"/>
          <w:lang w:val="en-GB"/>
        </w:rPr>
        <w:t>Appendix E – Survey Administration</w:t>
      </w:r>
    </w:p>
    <w:p w14:paraId="5B702B5F" w14:textId="77777777" w:rsidR="0004769C" w:rsidRPr="00960142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AF55B9">
        <w:rPr>
          <w:rFonts w:asciiTheme="majorBidi" w:hAnsiTheme="majorBidi" w:cstheme="majorBidi"/>
          <w:sz w:val="24"/>
          <w:szCs w:val="24"/>
          <w:lang w:val="en-GB"/>
        </w:rPr>
        <w:t>Design: Two-wave survey with six-week separation between Wave 1 (ET, DGOC, IP, RT) and</w:t>
      </w:r>
      <w:r w:rsidRPr="00960142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AF55B9">
        <w:rPr>
          <w:rFonts w:asciiTheme="majorBidi" w:hAnsiTheme="majorBidi" w:cstheme="majorBidi"/>
          <w:sz w:val="24"/>
          <w:szCs w:val="24"/>
          <w:lang w:val="en-GB"/>
        </w:rPr>
        <w:t>Wave 2 (GI, NC, SCR, SP).</w:t>
      </w:r>
      <w:r w:rsidRPr="00960142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AF55B9">
        <w:rPr>
          <w:rFonts w:asciiTheme="majorBidi" w:hAnsiTheme="majorBidi" w:cstheme="majorBidi"/>
          <w:sz w:val="24"/>
          <w:szCs w:val="24"/>
          <w:lang w:val="en-GB"/>
        </w:rPr>
        <w:t>Sample: 394 usable responses (197 Iran, 197 Canada).</w:t>
      </w:r>
      <w:r w:rsidRPr="00960142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AF55B9">
        <w:rPr>
          <w:rFonts w:asciiTheme="majorBidi" w:hAnsiTheme="majorBidi" w:cstheme="majorBidi"/>
          <w:sz w:val="24"/>
          <w:szCs w:val="24"/>
          <w:lang w:val="en-GB"/>
        </w:rPr>
        <w:t>Matching: Anonymous codes linked both waves.</w:t>
      </w:r>
      <w:r w:rsidRPr="00960142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AF55B9">
        <w:rPr>
          <w:rFonts w:asciiTheme="majorBidi" w:hAnsiTheme="majorBidi" w:cstheme="majorBidi"/>
          <w:sz w:val="24"/>
          <w:szCs w:val="24"/>
          <w:lang w:val="en-GB"/>
        </w:rPr>
        <w:t>Response rate: 37 %.</w:t>
      </w:r>
      <w:r w:rsidRPr="00960142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AF55B9">
        <w:rPr>
          <w:rFonts w:asciiTheme="majorBidi" w:hAnsiTheme="majorBidi" w:cstheme="majorBidi"/>
          <w:sz w:val="24"/>
          <w:szCs w:val="24"/>
          <w:lang w:val="en-GB"/>
        </w:rPr>
        <w:t>Ethics: Institutional review approvals obtained in both countries; informed consent secured.</w:t>
      </w:r>
      <w:r w:rsidRPr="00960142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AF55B9">
        <w:rPr>
          <w:rFonts w:asciiTheme="majorBidi" w:hAnsiTheme="majorBidi" w:cstheme="majorBidi"/>
          <w:sz w:val="24"/>
          <w:szCs w:val="24"/>
          <w:lang w:val="en-GB"/>
        </w:rPr>
        <w:t>Languages: Persian, English, and French versions validated by translation experts.</w:t>
      </w:r>
      <w:r w:rsidRPr="00960142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AF55B9">
        <w:rPr>
          <w:rFonts w:asciiTheme="majorBidi" w:hAnsiTheme="majorBidi" w:cstheme="majorBidi"/>
          <w:sz w:val="24"/>
          <w:szCs w:val="24"/>
          <w:lang w:val="en-GB"/>
        </w:rPr>
        <w:t>Contextual asymmetry: Iranian firms operate under limited ESG enforcement and volatile regulation, while Canadian firms operate within mature ESG governance frameworks.</w:t>
      </w:r>
    </w:p>
    <w:p w14:paraId="793CCBC0" w14:textId="77777777" w:rsidR="0004769C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</w:p>
    <w:p w14:paraId="2C6188B3" w14:textId="77777777" w:rsidR="0004769C" w:rsidRPr="00AF55B9" w:rsidRDefault="0004769C" w:rsidP="0004769C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</w:p>
    <w:p w14:paraId="07EEDE15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69C"/>
    <w:rsid w:val="0004769C"/>
    <w:rsid w:val="000672BD"/>
    <w:rsid w:val="002E281E"/>
    <w:rsid w:val="003201BB"/>
    <w:rsid w:val="00865217"/>
    <w:rsid w:val="00B96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BE76C"/>
  <w15:chartTrackingRefBased/>
  <w15:docId w15:val="{3F3913F9-5D48-43C4-99CB-4DC0DFCB2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769C"/>
    <w:pPr>
      <w:spacing w:line="259" w:lineRule="auto"/>
    </w:pPr>
    <w:rPr>
      <w:sz w:val="22"/>
      <w:szCs w:val="22"/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04769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769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769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769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769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769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769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769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769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76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76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76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769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769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76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76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76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76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76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0476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769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0476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769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0476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769C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0476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76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76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769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4769C"/>
    <w:pPr>
      <w:spacing w:after="0" w:line="240" w:lineRule="auto"/>
    </w:pPr>
    <w:rPr>
      <w:sz w:val="22"/>
      <w:szCs w:val="22"/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927</Words>
  <Characters>5476</Characters>
  <Application>Microsoft Office Word</Application>
  <DocSecurity>0</DocSecurity>
  <Lines>204</Lines>
  <Paragraphs>178</Paragraphs>
  <ScaleCrop>false</ScaleCrop>
  <Company>Springer Nature</Company>
  <LinksUpToDate>false</LinksUpToDate>
  <CharactersWithSpaces>6235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2025-11-25T11:34:00Z</dcterms:created>
  <dcterms:modified xsi:type="dcterms:W3CDTF">2025-11-25T11:35:00Z</dcterms:modified>
</cp:coreProperties>
</file>