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3.xml" ContentType="application/vnd.openxmlformats-officedocument.drawingml.chart+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CBEBD" w14:textId="77777777" w:rsidR="00EC0378" w:rsidRPr="00421B5A" w:rsidRDefault="00EC0378" w:rsidP="00EC0378">
      <w:pPr>
        <w:pStyle w:val="Header"/>
        <w:rPr>
          <w:sz w:val="28"/>
        </w:rPr>
      </w:pPr>
      <w:r>
        <w:rPr>
          <w:noProof/>
        </w:rPr>
        <w:drawing>
          <wp:anchor distT="0" distB="0" distL="114300" distR="114300" simplePos="0" relativeHeight="251658241" behindDoc="1" locked="0" layoutInCell="1" allowOverlap="1" wp14:anchorId="20348FF1" wp14:editId="48E434C3">
            <wp:simplePos x="0" y="0"/>
            <wp:positionH relativeFrom="column">
              <wp:posOffset>-38100</wp:posOffset>
            </wp:positionH>
            <wp:positionV relativeFrom="paragraph">
              <wp:posOffset>-5080</wp:posOffset>
            </wp:positionV>
            <wp:extent cx="5467350" cy="476250"/>
            <wp:effectExtent l="0" t="0" r="0" b="0"/>
            <wp:wrapNone/>
            <wp:docPr id="11" name="Picture 1" descr="esupp new graphi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esupp new graphic"/>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67350" cy="476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DE575D" w14:textId="77777777" w:rsidR="00EC0378" w:rsidRPr="00421B5A" w:rsidRDefault="00EC0378" w:rsidP="00EC0378">
      <w:r w:rsidRPr="00421B5A">
        <w:rPr>
          <w:sz w:val="28"/>
        </w:rPr>
        <w:t xml:space="preserve">           </w:t>
      </w:r>
      <w:bookmarkStart w:id="0" w:name="_Toc176788408"/>
      <w:r w:rsidRPr="00EC0378">
        <w:rPr>
          <w:sz w:val="21"/>
          <w:szCs w:val="16"/>
        </w:rPr>
        <w:t>SUPPORTING INFORMATION FOR:</w:t>
      </w:r>
      <w:bookmarkEnd w:id="0"/>
    </w:p>
    <w:p w14:paraId="7CCA6A9D" w14:textId="77777777" w:rsidR="00EC0378" w:rsidRPr="00421B5A" w:rsidRDefault="00EC0378" w:rsidP="00EC0378">
      <w:pPr>
        <w:pStyle w:val="Header"/>
        <w:rPr>
          <w:sz w:val="28"/>
        </w:rPr>
      </w:pPr>
    </w:p>
    <w:p w14:paraId="7C691573" w14:textId="77777777" w:rsidR="00EC0378" w:rsidRPr="00421B5A" w:rsidRDefault="00EC0378" w:rsidP="00EC0378">
      <w:pPr>
        <w:pStyle w:val="Header"/>
        <w:rPr>
          <w:sz w:val="28"/>
          <w:lang w:val="en-GB"/>
        </w:rPr>
      </w:pPr>
      <w:r w:rsidRPr="00421B5A">
        <w:rPr>
          <w:sz w:val="28"/>
        </w:rPr>
        <w:t xml:space="preserve">Savvidou, G., </w:t>
      </w:r>
      <w:r w:rsidRPr="00421B5A">
        <w:rPr>
          <w:sz w:val="28"/>
          <w:lang w:val="en-GB"/>
        </w:rPr>
        <w:t>Johnsson</w:t>
      </w:r>
      <w:r w:rsidRPr="00421B5A">
        <w:rPr>
          <w:sz w:val="28"/>
        </w:rPr>
        <w:t xml:space="preserve">, F., </w:t>
      </w:r>
      <w:r w:rsidRPr="00421B5A">
        <w:rPr>
          <w:sz w:val="28"/>
          <w:lang w:val="en-GB"/>
        </w:rPr>
        <w:t xml:space="preserve">Ljunggren, M., Liu, Q., </w:t>
      </w:r>
      <w:proofErr w:type="spellStart"/>
      <w:r w:rsidRPr="00421B5A">
        <w:rPr>
          <w:sz w:val="28"/>
          <w:lang w:val="en-GB"/>
        </w:rPr>
        <w:t>Tasseven</w:t>
      </w:r>
      <w:proofErr w:type="spellEnd"/>
      <w:r w:rsidRPr="00421B5A">
        <w:rPr>
          <w:sz w:val="28"/>
          <w:lang w:val="en-GB"/>
        </w:rPr>
        <w:t>, U.,</w:t>
      </w:r>
      <w:r w:rsidRPr="00421B5A">
        <w:rPr>
          <w:sz w:val="28"/>
        </w:rPr>
        <w:t xml:space="preserve"> &amp; </w:t>
      </w:r>
      <w:r w:rsidRPr="00421B5A">
        <w:rPr>
          <w:sz w:val="28"/>
          <w:lang w:val="en-GB"/>
        </w:rPr>
        <w:t>Zachariadis</w:t>
      </w:r>
      <w:r w:rsidRPr="00421B5A">
        <w:rPr>
          <w:sz w:val="28"/>
        </w:rPr>
        <w:t>, T.</w:t>
      </w:r>
      <w:r w:rsidRPr="00421B5A">
        <w:t xml:space="preserve"> </w:t>
      </w:r>
      <w:r w:rsidRPr="00421B5A">
        <w:rPr>
          <w:sz w:val="28"/>
          <w:lang w:val="en-GB"/>
        </w:rPr>
        <w:t>Technological advances can halve the demand for minor metals in future wind and solar photovoltaic expansion</w:t>
      </w:r>
      <w:r w:rsidRPr="00421B5A">
        <w:rPr>
          <w:sz w:val="28"/>
        </w:rPr>
        <w:t xml:space="preserve">. </w:t>
      </w:r>
      <w:r w:rsidRPr="00421B5A">
        <w:rPr>
          <w:i/>
          <w:sz w:val="28"/>
        </w:rPr>
        <w:t>Journal of Industrial Ecology.</w:t>
      </w:r>
    </w:p>
    <w:p w14:paraId="6668C5E6" w14:textId="1177543B" w:rsidR="00EC0378" w:rsidRPr="00421B5A" w:rsidRDefault="002120D9" w:rsidP="00EC0378">
      <w:pPr>
        <w:pStyle w:val="Header"/>
        <w:rPr>
          <w:sz w:val="20"/>
        </w:rPr>
      </w:pPr>
      <w:r>
        <w:rPr>
          <w:rFonts w:ascii="Garamond" w:hAnsi="Garamond"/>
          <w:noProof/>
          <w:sz w:val="20"/>
        </w:rPr>
      </w:r>
      <w:r w:rsidR="002120D9">
        <w:rPr>
          <w:rFonts w:ascii="Garamond" w:hAnsi="Garamond"/>
          <w:noProof/>
          <w:sz w:val="20"/>
        </w:rPr>
        <w:object w:dxaOrig="1440" w:dyaOrig="1440" w14:anchorId="68E719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3.6pt;margin-top:11.45pt;width:259.5pt;height:20.25pt;z-index:251658240;mso-wrap-edited:f;mso-width-percent:0;mso-height-percent:0;mso-width-percent:0;mso-height-percent:0" o:allowincell="f">
            <v:imagedata r:id="rId9" o:title=""/>
            <w10:wrap type="topAndBottom"/>
          </v:shape>
          <o:OLEObject Type="Embed" ProgID="PBrush" ShapeID="_x0000_s1026" DrawAspect="Content" ObjectID="_1823852189" r:id="rId10"/>
        </w:object>
      </w:r>
    </w:p>
    <w:p w14:paraId="41349284" w14:textId="17281708" w:rsidR="00520814" w:rsidRDefault="00520814" w:rsidP="00B63E55">
      <w:pPr>
        <w:jc w:val="both"/>
        <w:rPr>
          <w:sz w:val="22"/>
        </w:rPr>
      </w:pPr>
      <w:r w:rsidRPr="00520814">
        <w:rPr>
          <w:sz w:val="22"/>
        </w:rPr>
        <w:t xml:space="preserve">This supporting information provides details that supplement the introduction, </w:t>
      </w:r>
      <w:r w:rsidR="003073AF">
        <w:rPr>
          <w:sz w:val="22"/>
        </w:rPr>
        <w:t>methods</w:t>
      </w:r>
      <w:r w:rsidRPr="00520814">
        <w:rPr>
          <w:sz w:val="22"/>
        </w:rPr>
        <w:t xml:space="preserve">, and results chapters of the main manuscript. For the introduction chapter, it offers background information. For the </w:t>
      </w:r>
      <w:r w:rsidR="003073AF">
        <w:rPr>
          <w:sz w:val="22"/>
        </w:rPr>
        <w:t>methods</w:t>
      </w:r>
      <w:r w:rsidRPr="00520814">
        <w:rPr>
          <w:sz w:val="22"/>
        </w:rPr>
        <w:t xml:space="preserve"> chapter, it provides detailed information on data inputs, assumptions, and data sources. For the results chapter, it presents results in a more disaggregated manner.</w:t>
      </w:r>
    </w:p>
    <w:p w14:paraId="42DFD67F" w14:textId="703F2327" w:rsidR="00EC0378" w:rsidRPr="00421B5A" w:rsidRDefault="00EC0378" w:rsidP="00EC0378">
      <w:pPr>
        <w:rPr>
          <w:sz w:val="20"/>
        </w:rPr>
      </w:pPr>
      <w:r w:rsidRPr="00421B5A">
        <w:rPr>
          <w:noProof/>
          <w:sz w:val="20"/>
        </w:rPr>
        <w:drawing>
          <wp:inline distT="0" distB="0" distL="0" distR="0" wp14:anchorId="797476D5" wp14:editId="03FFB97A">
            <wp:extent cx="3072765" cy="14224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72765" cy="142240"/>
                    </a:xfrm>
                    <a:prstGeom prst="rect">
                      <a:avLst/>
                    </a:prstGeom>
                    <a:noFill/>
                    <a:ln>
                      <a:noFill/>
                    </a:ln>
                  </pic:spPr>
                </pic:pic>
              </a:graphicData>
            </a:graphic>
          </wp:inline>
        </w:drawing>
      </w:r>
    </w:p>
    <w:p w14:paraId="65DD9203" w14:textId="77777777" w:rsidR="00637D84" w:rsidRDefault="00637D84">
      <w:pPr>
        <w:pStyle w:val="Header"/>
        <w:rPr>
          <w:rFonts w:ascii="Garamond" w:hAnsi="Garamond"/>
          <w:sz w:val="20"/>
        </w:rPr>
      </w:pPr>
      <w:r>
        <w:rPr>
          <w:rFonts w:ascii="Garamond" w:hAnsi="Garamond"/>
          <w:sz w:val="22"/>
        </w:rPr>
        <w:t xml:space="preserve"> </w:t>
      </w:r>
    </w:p>
    <w:p w14:paraId="2881FD44" w14:textId="77777777" w:rsidR="00AD5720" w:rsidRDefault="00AD5720" w:rsidP="00AD5720">
      <w:pPr>
        <w:rPr>
          <w:b/>
          <w:sz w:val="32"/>
          <w:szCs w:val="22"/>
          <w:lang w:eastAsia="en-GB"/>
        </w:rPr>
      </w:pPr>
    </w:p>
    <w:p w14:paraId="389728A7" w14:textId="77777777" w:rsidR="00250E9B" w:rsidRDefault="00250E9B" w:rsidP="00250E9B">
      <w:pPr>
        <w:rPr>
          <w:b/>
          <w:sz w:val="32"/>
          <w:szCs w:val="22"/>
          <w:lang w:eastAsia="en-GB"/>
        </w:rPr>
      </w:pPr>
    </w:p>
    <w:p w14:paraId="19FF5374" w14:textId="77777777" w:rsidR="00250E9B" w:rsidRPr="00AD5720" w:rsidRDefault="00250E9B" w:rsidP="00250E9B">
      <w:pPr>
        <w:rPr>
          <w:b/>
          <w:sz w:val="32"/>
          <w:szCs w:val="22"/>
          <w:lang w:eastAsia="en-GB"/>
        </w:rPr>
      </w:pPr>
      <w:r w:rsidRPr="00AD5720">
        <w:rPr>
          <w:b/>
          <w:sz w:val="32"/>
          <w:szCs w:val="22"/>
          <w:lang w:eastAsia="en-GB"/>
        </w:rPr>
        <w:t>Table of Contents</w:t>
      </w:r>
    </w:p>
    <w:p w14:paraId="6CE0D9E7" w14:textId="77777777" w:rsidR="00EA251C" w:rsidRPr="00F05D5B" w:rsidRDefault="00EA251C" w:rsidP="00250E9B">
      <w:pPr>
        <w:rPr>
          <w:lang w:eastAsia="en-GB"/>
        </w:rPr>
      </w:pPr>
    </w:p>
    <w:bookmarkStart w:id="1" w:name="_Toc176788409"/>
    <w:bookmarkStart w:id="2" w:name="_Toc176788451"/>
    <w:bookmarkStart w:id="3" w:name="_Toc176788568"/>
    <w:bookmarkStart w:id="4" w:name="_Toc176789085"/>
    <w:p w14:paraId="543E3B3C" w14:textId="4AC1B8FD" w:rsidR="00360510" w:rsidRDefault="00360510">
      <w:pPr>
        <w:pStyle w:val="TOC1"/>
        <w:rPr>
          <w:rFonts w:asciiTheme="minorHAnsi" w:eastAsiaTheme="minorEastAsia" w:hAnsiTheme="minorHAnsi" w:cstheme="minorBidi"/>
          <w:noProof/>
          <w:kern w:val="2"/>
          <w:szCs w:val="24"/>
          <w:lang w:val="en-SE"/>
          <w14:ligatures w14:val="standardContextual"/>
        </w:rPr>
      </w:pPr>
      <w:r>
        <w:fldChar w:fldCharType="begin"/>
      </w:r>
      <w:r>
        <w:instrText xml:space="preserve"> TOC \o "1-4" \h \z \u </w:instrText>
      </w:r>
      <w:r>
        <w:fldChar w:fldCharType="separate"/>
      </w:r>
      <w:hyperlink w:anchor="_Toc208850242" w:history="1">
        <w:r w:rsidRPr="008A47E7">
          <w:rPr>
            <w:rStyle w:val="Hyperlink"/>
            <w:noProof/>
          </w:rPr>
          <w:t>1. Historical and future installed capacity</w:t>
        </w:r>
        <w:r>
          <w:rPr>
            <w:noProof/>
            <w:webHidden/>
          </w:rPr>
          <w:tab/>
        </w:r>
        <w:r>
          <w:rPr>
            <w:noProof/>
            <w:webHidden/>
          </w:rPr>
          <w:fldChar w:fldCharType="begin"/>
        </w:r>
        <w:r>
          <w:rPr>
            <w:noProof/>
            <w:webHidden/>
          </w:rPr>
          <w:instrText xml:space="preserve"> PAGEREF _Toc208850242 \h </w:instrText>
        </w:r>
        <w:r>
          <w:rPr>
            <w:noProof/>
            <w:webHidden/>
          </w:rPr>
        </w:r>
        <w:r>
          <w:rPr>
            <w:noProof/>
            <w:webHidden/>
          </w:rPr>
          <w:fldChar w:fldCharType="separate"/>
        </w:r>
        <w:r>
          <w:rPr>
            <w:noProof/>
            <w:webHidden/>
          </w:rPr>
          <w:t>2</w:t>
        </w:r>
        <w:r>
          <w:rPr>
            <w:noProof/>
            <w:webHidden/>
          </w:rPr>
          <w:fldChar w:fldCharType="end"/>
        </w:r>
      </w:hyperlink>
    </w:p>
    <w:p w14:paraId="727357F1" w14:textId="0718C86C" w:rsidR="00360510" w:rsidRDefault="00360510">
      <w:pPr>
        <w:pStyle w:val="TOC1"/>
        <w:rPr>
          <w:rFonts w:asciiTheme="minorHAnsi" w:eastAsiaTheme="minorEastAsia" w:hAnsiTheme="minorHAnsi" w:cstheme="minorBidi"/>
          <w:noProof/>
          <w:kern w:val="2"/>
          <w:szCs w:val="24"/>
          <w:lang w:val="en-SE"/>
          <w14:ligatures w14:val="standardContextual"/>
        </w:rPr>
      </w:pPr>
      <w:hyperlink w:anchor="_Toc208850243" w:history="1">
        <w:r w:rsidRPr="008A47E7">
          <w:rPr>
            <w:rStyle w:val="Hyperlink"/>
            <w:noProof/>
          </w:rPr>
          <w:t>2. Characteristics of minor metals</w:t>
        </w:r>
        <w:r>
          <w:rPr>
            <w:noProof/>
            <w:webHidden/>
          </w:rPr>
          <w:tab/>
        </w:r>
        <w:r>
          <w:rPr>
            <w:noProof/>
            <w:webHidden/>
          </w:rPr>
          <w:fldChar w:fldCharType="begin"/>
        </w:r>
        <w:r>
          <w:rPr>
            <w:noProof/>
            <w:webHidden/>
          </w:rPr>
          <w:instrText xml:space="preserve"> PAGEREF _Toc208850243 \h </w:instrText>
        </w:r>
        <w:r>
          <w:rPr>
            <w:noProof/>
            <w:webHidden/>
          </w:rPr>
        </w:r>
        <w:r>
          <w:rPr>
            <w:noProof/>
            <w:webHidden/>
          </w:rPr>
          <w:fldChar w:fldCharType="separate"/>
        </w:r>
        <w:r>
          <w:rPr>
            <w:noProof/>
            <w:webHidden/>
          </w:rPr>
          <w:t>3</w:t>
        </w:r>
        <w:r>
          <w:rPr>
            <w:noProof/>
            <w:webHidden/>
          </w:rPr>
          <w:fldChar w:fldCharType="end"/>
        </w:r>
      </w:hyperlink>
    </w:p>
    <w:p w14:paraId="4E01AF03" w14:textId="54B0F564" w:rsidR="00360510" w:rsidRDefault="00360510">
      <w:pPr>
        <w:pStyle w:val="TOC1"/>
        <w:rPr>
          <w:rFonts w:asciiTheme="minorHAnsi" w:eastAsiaTheme="minorEastAsia" w:hAnsiTheme="minorHAnsi" w:cstheme="minorBidi"/>
          <w:noProof/>
          <w:kern w:val="2"/>
          <w:szCs w:val="24"/>
          <w:lang w:val="en-SE"/>
          <w14:ligatures w14:val="standardContextual"/>
        </w:rPr>
      </w:pPr>
      <w:hyperlink w:anchor="_Toc208850244" w:history="1">
        <w:r w:rsidRPr="008A47E7">
          <w:rPr>
            <w:rStyle w:val="Hyperlink"/>
            <w:noProof/>
          </w:rPr>
          <w:t>3. Wind and solar PV technology layers</w:t>
        </w:r>
        <w:r>
          <w:rPr>
            <w:noProof/>
            <w:webHidden/>
          </w:rPr>
          <w:tab/>
        </w:r>
        <w:r>
          <w:rPr>
            <w:noProof/>
            <w:webHidden/>
          </w:rPr>
          <w:fldChar w:fldCharType="begin"/>
        </w:r>
        <w:r>
          <w:rPr>
            <w:noProof/>
            <w:webHidden/>
          </w:rPr>
          <w:instrText xml:space="preserve"> PAGEREF _Toc208850244 \h </w:instrText>
        </w:r>
        <w:r>
          <w:rPr>
            <w:noProof/>
            <w:webHidden/>
          </w:rPr>
        </w:r>
        <w:r>
          <w:rPr>
            <w:noProof/>
            <w:webHidden/>
          </w:rPr>
          <w:fldChar w:fldCharType="separate"/>
        </w:r>
        <w:r>
          <w:rPr>
            <w:noProof/>
            <w:webHidden/>
          </w:rPr>
          <w:t>4</w:t>
        </w:r>
        <w:r>
          <w:rPr>
            <w:noProof/>
            <w:webHidden/>
          </w:rPr>
          <w:fldChar w:fldCharType="end"/>
        </w:r>
      </w:hyperlink>
    </w:p>
    <w:p w14:paraId="31A3E6AC" w14:textId="06B3C80D" w:rsidR="00360510" w:rsidRDefault="00360510">
      <w:pPr>
        <w:pStyle w:val="TOC1"/>
        <w:rPr>
          <w:rFonts w:asciiTheme="minorHAnsi" w:eastAsiaTheme="minorEastAsia" w:hAnsiTheme="minorHAnsi" w:cstheme="minorBidi"/>
          <w:noProof/>
          <w:kern w:val="2"/>
          <w:szCs w:val="24"/>
          <w:lang w:val="en-SE"/>
          <w14:ligatures w14:val="standardContextual"/>
        </w:rPr>
      </w:pPr>
      <w:hyperlink w:anchor="_Toc208850245" w:history="1">
        <w:r w:rsidRPr="008A47E7">
          <w:rPr>
            <w:rStyle w:val="Hyperlink"/>
            <w:noProof/>
          </w:rPr>
          <w:t>4. Examples of commercial or near-commercial CE applications</w:t>
        </w:r>
        <w:r>
          <w:rPr>
            <w:noProof/>
            <w:webHidden/>
          </w:rPr>
          <w:tab/>
        </w:r>
        <w:r>
          <w:rPr>
            <w:noProof/>
            <w:webHidden/>
          </w:rPr>
          <w:fldChar w:fldCharType="begin"/>
        </w:r>
        <w:r>
          <w:rPr>
            <w:noProof/>
            <w:webHidden/>
          </w:rPr>
          <w:instrText xml:space="preserve"> PAGEREF _Toc208850245 \h </w:instrText>
        </w:r>
        <w:r>
          <w:rPr>
            <w:noProof/>
            <w:webHidden/>
          </w:rPr>
        </w:r>
        <w:r>
          <w:rPr>
            <w:noProof/>
            <w:webHidden/>
          </w:rPr>
          <w:fldChar w:fldCharType="separate"/>
        </w:r>
        <w:r>
          <w:rPr>
            <w:noProof/>
            <w:webHidden/>
          </w:rPr>
          <w:t>4</w:t>
        </w:r>
        <w:r>
          <w:rPr>
            <w:noProof/>
            <w:webHidden/>
          </w:rPr>
          <w:fldChar w:fldCharType="end"/>
        </w:r>
      </w:hyperlink>
    </w:p>
    <w:p w14:paraId="77D5337E" w14:textId="54CBEA51" w:rsidR="00360510" w:rsidRDefault="00360510">
      <w:pPr>
        <w:pStyle w:val="TOC1"/>
        <w:rPr>
          <w:rFonts w:asciiTheme="minorHAnsi" w:eastAsiaTheme="minorEastAsia" w:hAnsiTheme="minorHAnsi" w:cstheme="minorBidi"/>
          <w:noProof/>
          <w:kern w:val="2"/>
          <w:szCs w:val="24"/>
          <w:lang w:val="en-SE"/>
          <w14:ligatures w14:val="standardContextual"/>
        </w:rPr>
      </w:pPr>
      <w:hyperlink w:anchor="_Toc208850246" w:history="1">
        <w:r w:rsidRPr="008A47E7">
          <w:rPr>
            <w:rStyle w:val="Hyperlink"/>
            <w:noProof/>
          </w:rPr>
          <w:t>5. Market shares</w:t>
        </w:r>
        <w:r>
          <w:rPr>
            <w:noProof/>
            <w:webHidden/>
          </w:rPr>
          <w:tab/>
        </w:r>
        <w:r>
          <w:rPr>
            <w:noProof/>
            <w:webHidden/>
          </w:rPr>
          <w:fldChar w:fldCharType="begin"/>
        </w:r>
        <w:r>
          <w:rPr>
            <w:noProof/>
            <w:webHidden/>
          </w:rPr>
          <w:instrText xml:space="preserve"> PAGEREF _Toc208850246 \h </w:instrText>
        </w:r>
        <w:r>
          <w:rPr>
            <w:noProof/>
            <w:webHidden/>
          </w:rPr>
        </w:r>
        <w:r>
          <w:rPr>
            <w:noProof/>
            <w:webHidden/>
          </w:rPr>
          <w:fldChar w:fldCharType="separate"/>
        </w:r>
        <w:r>
          <w:rPr>
            <w:noProof/>
            <w:webHidden/>
          </w:rPr>
          <w:t>5</w:t>
        </w:r>
        <w:r>
          <w:rPr>
            <w:noProof/>
            <w:webHidden/>
          </w:rPr>
          <w:fldChar w:fldCharType="end"/>
        </w:r>
      </w:hyperlink>
    </w:p>
    <w:p w14:paraId="49254EE7" w14:textId="5DAFAFB8" w:rsidR="00360510" w:rsidRDefault="00360510">
      <w:pPr>
        <w:pStyle w:val="TOC1"/>
        <w:rPr>
          <w:rFonts w:asciiTheme="minorHAnsi" w:eastAsiaTheme="minorEastAsia" w:hAnsiTheme="minorHAnsi" w:cstheme="minorBidi"/>
          <w:noProof/>
          <w:kern w:val="2"/>
          <w:szCs w:val="24"/>
          <w:lang w:val="en-SE"/>
          <w14:ligatures w14:val="standardContextual"/>
        </w:rPr>
      </w:pPr>
      <w:hyperlink w:anchor="_Toc208850247" w:history="1">
        <w:r w:rsidRPr="008A47E7">
          <w:rPr>
            <w:rStyle w:val="Hyperlink"/>
            <w:noProof/>
          </w:rPr>
          <w:t>6. Lifespan</w:t>
        </w:r>
        <w:r>
          <w:rPr>
            <w:noProof/>
            <w:webHidden/>
          </w:rPr>
          <w:tab/>
        </w:r>
        <w:r>
          <w:rPr>
            <w:noProof/>
            <w:webHidden/>
          </w:rPr>
          <w:fldChar w:fldCharType="begin"/>
        </w:r>
        <w:r>
          <w:rPr>
            <w:noProof/>
            <w:webHidden/>
          </w:rPr>
          <w:instrText xml:space="preserve"> PAGEREF _Toc208850247 \h </w:instrText>
        </w:r>
        <w:r>
          <w:rPr>
            <w:noProof/>
            <w:webHidden/>
          </w:rPr>
        </w:r>
        <w:r>
          <w:rPr>
            <w:noProof/>
            <w:webHidden/>
          </w:rPr>
          <w:fldChar w:fldCharType="separate"/>
        </w:r>
        <w:r>
          <w:rPr>
            <w:noProof/>
            <w:webHidden/>
          </w:rPr>
          <w:t>6</w:t>
        </w:r>
        <w:r>
          <w:rPr>
            <w:noProof/>
            <w:webHidden/>
          </w:rPr>
          <w:fldChar w:fldCharType="end"/>
        </w:r>
      </w:hyperlink>
    </w:p>
    <w:p w14:paraId="3750BD93" w14:textId="505A47B5" w:rsidR="00360510" w:rsidRDefault="00360510">
      <w:pPr>
        <w:pStyle w:val="TOC1"/>
        <w:rPr>
          <w:rFonts w:asciiTheme="minorHAnsi" w:eastAsiaTheme="minorEastAsia" w:hAnsiTheme="minorHAnsi" w:cstheme="minorBidi"/>
          <w:noProof/>
          <w:kern w:val="2"/>
          <w:szCs w:val="24"/>
          <w:lang w:val="en-SE"/>
          <w14:ligatures w14:val="standardContextual"/>
        </w:rPr>
      </w:pPr>
      <w:hyperlink w:anchor="_Toc208850248" w:history="1">
        <w:r w:rsidRPr="008A47E7">
          <w:rPr>
            <w:rStyle w:val="Hyperlink"/>
            <w:noProof/>
            <w:lang w:val="sv-SE"/>
          </w:rPr>
          <w:t>7. Metal intensities</w:t>
        </w:r>
        <w:r>
          <w:rPr>
            <w:noProof/>
            <w:webHidden/>
          </w:rPr>
          <w:tab/>
        </w:r>
        <w:r>
          <w:rPr>
            <w:noProof/>
            <w:webHidden/>
          </w:rPr>
          <w:fldChar w:fldCharType="begin"/>
        </w:r>
        <w:r>
          <w:rPr>
            <w:noProof/>
            <w:webHidden/>
          </w:rPr>
          <w:instrText xml:space="preserve"> PAGEREF _Toc208850248 \h </w:instrText>
        </w:r>
        <w:r>
          <w:rPr>
            <w:noProof/>
            <w:webHidden/>
          </w:rPr>
        </w:r>
        <w:r>
          <w:rPr>
            <w:noProof/>
            <w:webHidden/>
          </w:rPr>
          <w:fldChar w:fldCharType="separate"/>
        </w:r>
        <w:r>
          <w:rPr>
            <w:noProof/>
            <w:webHidden/>
          </w:rPr>
          <w:t>7</w:t>
        </w:r>
        <w:r>
          <w:rPr>
            <w:noProof/>
            <w:webHidden/>
          </w:rPr>
          <w:fldChar w:fldCharType="end"/>
        </w:r>
      </w:hyperlink>
    </w:p>
    <w:p w14:paraId="2F857916" w14:textId="1DC94E72" w:rsidR="00360510" w:rsidRDefault="00360510">
      <w:pPr>
        <w:pStyle w:val="TOC1"/>
        <w:rPr>
          <w:rFonts w:asciiTheme="minorHAnsi" w:eastAsiaTheme="minorEastAsia" w:hAnsiTheme="minorHAnsi" w:cstheme="minorBidi"/>
          <w:noProof/>
          <w:kern w:val="2"/>
          <w:szCs w:val="24"/>
          <w:lang w:val="en-SE"/>
          <w14:ligatures w14:val="standardContextual"/>
        </w:rPr>
      </w:pPr>
      <w:hyperlink w:anchor="_Toc208850249" w:history="1">
        <w:r w:rsidRPr="008A47E7">
          <w:rPr>
            <w:rStyle w:val="Hyperlink"/>
            <w:noProof/>
          </w:rPr>
          <w:t>8. Substitution</w:t>
        </w:r>
        <w:r>
          <w:rPr>
            <w:noProof/>
            <w:webHidden/>
          </w:rPr>
          <w:tab/>
        </w:r>
        <w:r>
          <w:rPr>
            <w:noProof/>
            <w:webHidden/>
          </w:rPr>
          <w:fldChar w:fldCharType="begin"/>
        </w:r>
        <w:r>
          <w:rPr>
            <w:noProof/>
            <w:webHidden/>
          </w:rPr>
          <w:instrText xml:space="preserve"> PAGEREF _Toc208850249 \h </w:instrText>
        </w:r>
        <w:r>
          <w:rPr>
            <w:noProof/>
            <w:webHidden/>
          </w:rPr>
        </w:r>
        <w:r>
          <w:rPr>
            <w:noProof/>
            <w:webHidden/>
          </w:rPr>
          <w:fldChar w:fldCharType="separate"/>
        </w:r>
        <w:r>
          <w:rPr>
            <w:noProof/>
            <w:webHidden/>
          </w:rPr>
          <w:t>13</w:t>
        </w:r>
        <w:r>
          <w:rPr>
            <w:noProof/>
            <w:webHidden/>
          </w:rPr>
          <w:fldChar w:fldCharType="end"/>
        </w:r>
      </w:hyperlink>
    </w:p>
    <w:p w14:paraId="2E82FBD0" w14:textId="15ED1023" w:rsidR="00360510" w:rsidRDefault="00360510">
      <w:pPr>
        <w:pStyle w:val="TOC1"/>
        <w:rPr>
          <w:rFonts w:asciiTheme="minorHAnsi" w:eastAsiaTheme="minorEastAsia" w:hAnsiTheme="minorHAnsi" w:cstheme="minorBidi"/>
          <w:noProof/>
          <w:kern w:val="2"/>
          <w:szCs w:val="24"/>
          <w:lang w:val="en-SE"/>
          <w14:ligatures w14:val="standardContextual"/>
        </w:rPr>
      </w:pPr>
      <w:hyperlink w:anchor="_Toc208850250" w:history="1">
        <w:r w:rsidRPr="008A47E7">
          <w:rPr>
            <w:rStyle w:val="Hyperlink"/>
            <w:noProof/>
          </w:rPr>
          <w:t>9. Results for disaggregated wind power demands</w:t>
        </w:r>
        <w:r>
          <w:rPr>
            <w:noProof/>
            <w:webHidden/>
          </w:rPr>
          <w:tab/>
        </w:r>
        <w:r>
          <w:rPr>
            <w:noProof/>
            <w:webHidden/>
          </w:rPr>
          <w:fldChar w:fldCharType="begin"/>
        </w:r>
        <w:r>
          <w:rPr>
            <w:noProof/>
            <w:webHidden/>
          </w:rPr>
          <w:instrText xml:space="preserve"> PAGEREF _Toc208850250 \h </w:instrText>
        </w:r>
        <w:r>
          <w:rPr>
            <w:noProof/>
            <w:webHidden/>
          </w:rPr>
        </w:r>
        <w:r>
          <w:rPr>
            <w:noProof/>
            <w:webHidden/>
          </w:rPr>
          <w:fldChar w:fldCharType="separate"/>
        </w:r>
        <w:r>
          <w:rPr>
            <w:noProof/>
            <w:webHidden/>
          </w:rPr>
          <w:t>15</w:t>
        </w:r>
        <w:r>
          <w:rPr>
            <w:noProof/>
            <w:webHidden/>
          </w:rPr>
          <w:fldChar w:fldCharType="end"/>
        </w:r>
      </w:hyperlink>
    </w:p>
    <w:p w14:paraId="72032497" w14:textId="4AAF72D9" w:rsidR="00360510" w:rsidRDefault="00360510">
      <w:pPr>
        <w:pStyle w:val="TOC1"/>
        <w:rPr>
          <w:rFonts w:asciiTheme="minorHAnsi" w:eastAsiaTheme="minorEastAsia" w:hAnsiTheme="minorHAnsi" w:cstheme="minorBidi"/>
          <w:noProof/>
          <w:kern w:val="2"/>
          <w:szCs w:val="24"/>
          <w:lang w:val="en-SE"/>
          <w14:ligatures w14:val="standardContextual"/>
        </w:rPr>
      </w:pPr>
      <w:hyperlink w:anchor="_Toc208850251" w:history="1">
        <w:r w:rsidRPr="008A47E7">
          <w:rPr>
            <w:rStyle w:val="Hyperlink"/>
            <w:noProof/>
          </w:rPr>
          <w:t xml:space="preserve">10. </w:t>
        </w:r>
        <w:r w:rsidRPr="008A47E7">
          <w:rPr>
            <w:rStyle w:val="Hyperlink"/>
            <w:noProof/>
            <w:lang w:val="en-GB"/>
          </w:rPr>
          <w:t>Sensitivity analysis</w:t>
        </w:r>
        <w:r>
          <w:rPr>
            <w:noProof/>
            <w:webHidden/>
          </w:rPr>
          <w:tab/>
        </w:r>
        <w:r>
          <w:rPr>
            <w:noProof/>
            <w:webHidden/>
          </w:rPr>
          <w:fldChar w:fldCharType="begin"/>
        </w:r>
        <w:r>
          <w:rPr>
            <w:noProof/>
            <w:webHidden/>
          </w:rPr>
          <w:instrText xml:space="preserve"> PAGEREF _Toc208850251 \h </w:instrText>
        </w:r>
        <w:r>
          <w:rPr>
            <w:noProof/>
            <w:webHidden/>
          </w:rPr>
        </w:r>
        <w:r>
          <w:rPr>
            <w:noProof/>
            <w:webHidden/>
          </w:rPr>
          <w:fldChar w:fldCharType="separate"/>
        </w:r>
        <w:r>
          <w:rPr>
            <w:noProof/>
            <w:webHidden/>
          </w:rPr>
          <w:t>17</w:t>
        </w:r>
        <w:r>
          <w:rPr>
            <w:noProof/>
            <w:webHidden/>
          </w:rPr>
          <w:fldChar w:fldCharType="end"/>
        </w:r>
      </w:hyperlink>
    </w:p>
    <w:p w14:paraId="7D9FA060" w14:textId="6D301ACB" w:rsidR="00360510" w:rsidRDefault="00360510">
      <w:pPr>
        <w:pStyle w:val="TOC1"/>
        <w:rPr>
          <w:rFonts w:asciiTheme="minorHAnsi" w:eastAsiaTheme="minorEastAsia" w:hAnsiTheme="minorHAnsi" w:cstheme="minorBidi"/>
          <w:noProof/>
          <w:kern w:val="2"/>
          <w:szCs w:val="24"/>
          <w:lang w:val="en-SE"/>
          <w14:ligatures w14:val="standardContextual"/>
        </w:rPr>
      </w:pPr>
      <w:hyperlink w:anchor="_Toc208850252" w:history="1">
        <w:r w:rsidRPr="008A47E7">
          <w:rPr>
            <w:rStyle w:val="Hyperlink"/>
            <w:noProof/>
          </w:rPr>
          <w:t>References</w:t>
        </w:r>
        <w:r>
          <w:rPr>
            <w:noProof/>
            <w:webHidden/>
          </w:rPr>
          <w:tab/>
        </w:r>
        <w:r>
          <w:rPr>
            <w:noProof/>
            <w:webHidden/>
          </w:rPr>
          <w:fldChar w:fldCharType="begin"/>
        </w:r>
        <w:r>
          <w:rPr>
            <w:noProof/>
            <w:webHidden/>
          </w:rPr>
          <w:instrText xml:space="preserve"> PAGEREF _Toc208850252 \h </w:instrText>
        </w:r>
        <w:r>
          <w:rPr>
            <w:noProof/>
            <w:webHidden/>
          </w:rPr>
        </w:r>
        <w:r>
          <w:rPr>
            <w:noProof/>
            <w:webHidden/>
          </w:rPr>
          <w:fldChar w:fldCharType="separate"/>
        </w:r>
        <w:r>
          <w:rPr>
            <w:noProof/>
            <w:webHidden/>
          </w:rPr>
          <w:t>19</w:t>
        </w:r>
        <w:r>
          <w:rPr>
            <w:noProof/>
            <w:webHidden/>
          </w:rPr>
          <w:fldChar w:fldCharType="end"/>
        </w:r>
      </w:hyperlink>
    </w:p>
    <w:p w14:paraId="692D0325" w14:textId="6FD875E3" w:rsidR="00250E9B" w:rsidRDefault="00360510" w:rsidP="00713197">
      <w:r>
        <w:rPr>
          <w:rFonts w:eastAsia="Times New Roman"/>
          <w:szCs w:val="28"/>
          <w:lang w:eastAsia="en-GB"/>
        </w:rPr>
        <w:fldChar w:fldCharType="end"/>
      </w:r>
    </w:p>
    <w:p w14:paraId="7131B315" w14:textId="77777777" w:rsidR="00360510" w:rsidRDefault="00360510" w:rsidP="00250E9B">
      <w:pPr>
        <w:pStyle w:val="Heading1"/>
        <w:rPr>
          <w:color w:val="0E2841" w:themeColor="text2"/>
          <w:sz w:val="32"/>
          <w:szCs w:val="32"/>
        </w:rPr>
      </w:pPr>
      <w:bookmarkStart w:id="5" w:name="_Toc176789941"/>
      <w:bookmarkStart w:id="6" w:name="_Toc208849798"/>
    </w:p>
    <w:p w14:paraId="6E070DD6" w14:textId="77777777" w:rsidR="00360510" w:rsidRDefault="00360510" w:rsidP="00360510"/>
    <w:p w14:paraId="51FB394E" w14:textId="77777777" w:rsidR="00360510" w:rsidRDefault="00360510" w:rsidP="00360510"/>
    <w:p w14:paraId="590E4463" w14:textId="77777777" w:rsidR="00360510" w:rsidRDefault="00360510" w:rsidP="00360510"/>
    <w:p w14:paraId="79CD4B19" w14:textId="77777777" w:rsidR="00360510" w:rsidRPr="00713197" w:rsidRDefault="00360510" w:rsidP="00713197"/>
    <w:p w14:paraId="7EDE8053" w14:textId="23C900D5" w:rsidR="00250E9B" w:rsidRPr="00EC0378" w:rsidRDefault="00250E9B" w:rsidP="00250E9B">
      <w:pPr>
        <w:pStyle w:val="Heading1"/>
        <w:rPr>
          <w:color w:val="0E2841" w:themeColor="text2"/>
          <w:sz w:val="32"/>
          <w:szCs w:val="32"/>
        </w:rPr>
      </w:pPr>
      <w:bookmarkStart w:id="7" w:name="_Toc208850242"/>
      <w:r w:rsidRPr="00EC0378">
        <w:rPr>
          <w:color w:val="0E2841" w:themeColor="text2"/>
          <w:sz w:val="32"/>
          <w:szCs w:val="32"/>
        </w:rPr>
        <w:lastRenderedPageBreak/>
        <w:t xml:space="preserve">1. Historical </w:t>
      </w:r>
      <w:r w:rsidR="00620FD6">
        <w:rPr>
          <w:color w:val="0E2841" w:themeColor="text2"/>
          <w:sz w:val="32"/>
          <w:szCs w:val="32"/>
        </w:rPr>
        <w:t xml:space="preserve">and future </w:t>
      </w:r>
      <w:r w:rsidRPr="00EC0378">
        <w:rPr>
          <w:color w:val="0E2841" w:themeColor="text2"/>
          <w:sz w:val="32"/>
          <w:szCs w:val="32"/>
        </w:rPr>
        <w:t>installed capacity</w:t>
      </w:r>
      <w:bookmarkEnd w:id="1"/>
      <w:bookmarkEnd w:id="2"/>
      <w:bookmarkEnd w:id="3"/>
      <w:bookmarkEnd w:id="4"/>
      <w:bookmarkEnd w:id="5"/>
      <w:bookmarkEnd w:id="6"/>
      <w:bookmarkEnd w:id="7"/>
    </w:p>
    <w:p w14:paraId="38EDE0D8" w14:textId="77777777" w:rsidR="00250E9B" w:rsidRPr="00421B5A" w:rsidRDefault="00250E9B" w:rsidP="00DD4861">
      <w:pPr>
        <w:jc w:val="both"/>
        <w:rPr>
          <w:sz w:val="22"/>
          <w:szCs w:val="22"/>
        </w:rPr>
      </w:pPr>
    </w:p>
    <w:p w14:paraId="63B7DBBF" w14:textId="293D6E4C" w:rsidR="00620FD6" w:rsidRPr="00620FD6" w:rsidRDefault="00DD4861" w:rsidP="00620FD6">
      <w:pPr>
        <w:jc w:val="both"/>
        <w:rPr>
          <w:sz w:val="22"/>
          <w:szCs w:val="22"/>
        </w:rPr>
      </w:pPr>
      <w:r w:rsidRPr="00DD4861">
        <w:rPr>
          <w:sz w:val="22"/>
          <w:szCs w:val="22"/>
        </w:rPr>
        <w:t xml:space="preserve">Cumulative stock data for grid-connected solar PV were obtained from the Swedish Energy Agency </w:t>
      </w:r>
      <w:r w:rsidRPr="00DD4861">
        <w:rPr>
          <w:sz w:val="22"/>
          <w:szCs w:val="22"/>
        </w:rPr>
        <w:fldChar w:fldCharType="begin"/>
      </w:r>
      <w:r w:rsidR="00064DB6">
        <w:rPr>
          <w:sz w:val="22"/>
          <w:szCs w:val="22"/>
        </w:rPr>
        <w:instrText xml:space="preserve"> ADDIN ZOTERO_ITEM CSL_CITATION {"citationID":"peY0SzA9","properties":{"formattedCitation":"(Lindahl et al., 2020)","plainCitation":"(Lindahl et al., 2020)","noteIndex":0},"citationItems":[{"id":16794,"uris":["http://zotero.org/groups/5509458/items/728N6NCI"],"itemData":{"id":16794,"type":"report","event-place":"Swedish Energy Agency","publisher-place":"Swedish Energy Agency","title":"National Survey Report of PV Power Applications in Sweden","URL":"https://iea-pvps.org/wp-content/uploads/2021/10/National-Survey-Report-of-PV-Power-Applications-in-Sweden-2020.pdf","author":[{"family":"Lindahl","given":"Johan"},{"family":"Oller Westerberg","given":"Amelia"},{"family":"Vanky","given":"Katarina"}],"issued":{"date-parts":[["2020"]]}}}],"schema":"https://github.com/citation-style-language/schema/raw/master/csl-citation.json"} </w:instrText>
      </w:r>
      <w:r w:rsidRPr="00DD4861">
        <w:rPr>
          <w:sz w:val="22"/>
          <w:szCs w:val="22"/>
        </w:rPr>
        <w:fldChar w:fldCharType="separate"/>
      </w:r>
      <w:r w:rsidR="00064DB6">
        <w:rPr>
          <w:sz w:val="22"/>
          <w:szCs w:val="22"/>
        </w:rPr>
        <w:t>(Lindahl et al., 2020)</w:t>
      </w:r>
      <w:r w:rsidRPr="00DD4861">
        <w:rPr>
          <w:sz w:val="22"/>
          <w:szCs w:val="22"/>
        </w:rPr>
        <w:fldChar w:fldCharType="end"/>
      </w:r>
      <w:r w:rsidR="0089480D">
        <w:rPr>
          <w:sz w:val="22"/>
          <w:szCs w:val="22"/>
        </w:rPr>
        <w:t xml:space="preserve"> [see Figure S1.</w:t>
      </w:r>
      <w:r w:rsidR="006E1449">
        <w:rPr>
          <w:sz w:val="22"/>
          <w:szCs w:val="22"/>
        </w:rPr>
        <w:t>2</w:t>
      </w:r>
      <w:r w:rsidR="0089480D">
        <w:rPr>
          <w:sz w:val="22"/>
          <w:szCs w:val="22"/>
        </w:rPr>
        <w:t>]</w:t>
      </w:r>
      <w:r w:rsidRPr="00DD4861">
        <w:rPr>
          <w:sz w:val="22"/>
          <w:szCs w:val="22"/>
        </w:rPr>
        <w:t xml:space="preserve">. For wind power, annual inflow (power capacity) data from the Swedish wind turbine registry </w:t>
      </w:r>
      <w:r w:rsidRPr="00DD4861">
        <w:rPr>
          <w:sz w:val="22"/>
          <w:szCs w:val="22"/>
        </w:rPr>
        <w:fldChar w:fldCharType="begin"/>
      </w:r>
      <w:r w:rsidR="00064DB6">
        <w:rPr>
          <w:sz w:val="22"/>
          <w:szCs w:val="22"/>
        </w:rPr>
        <w:instrText xml:space="preserve"> ADDIN ZOTERO_ITEM CSL_CITATION {"citationID":"ksRA2vfO","properties":{"formattedCitation":"(Lansstyrelsen, 2022)","plainCitation":"(Lansstyrelsen, 2022)","noteIndex":0},"citationItems":[{"id":15478,"uris":["http://zotero.org/groups/4945499/items/YH7YFYAK"],"itemData":{"id":15478,"type":"report","title":"Vindbrukskollen [Master Data Register of Wind Turbines]","URL":"https://vbk.lansstyrelsen.se/","author":[{"family":"Lansstyrelsen","given":""}],"accessed":{"date-parts":[["2022",5,10]]},"issued":{"date-parts":[["2022"]]}}}],"schema":"https://github.com/citation-style-language/schema/raw/master/csl-citation.json"} </w:instrText>
      </w:r>
      <w:r w:rsidRPr="00DD4861">
        <w:rPr>
          <w:sz w:val="22"/>
          <w:szCs w:val="22"/>
        </w:rPr>
        <w:fldChar w:fldCharType="separate"/>
      </w:r>
      <w:r w:rsidR="00064DB6">
        <w:rPr>
          <w:sz w:val="22"/>
          <w:szCs w:val="22"/>
        </w:rPr>
        <w:t>(</w:t>
      </w:r>
      <w:proofErr w:type="spellStart"/>
      <w:r w:rsidR="00064DB6">
        <w:rPr>
          <w:sz w:val="22"/>
          <w:szCs w:val="22"/>
        </w:rPr>
        <w:t>Lansstyrelsen</w:t>
      </w:r>
      <w:proofErr w:type="spellEnd"/>
      <w:r w:rsidR="00064DB6">
        <w:rPr>
          <w:sz w:val="22"/>
          <w:szCs w:val="22"/>
        </w:rPr>
        <w:t>, 2022)</w:t>
      </w:r>
      <w:r w:rsidRPr="00DD4861">
        <w:rPr>
          <w:sz w:val="22"/>
          <w:szCs w:val="22"/>
        </w:rPr>
        <w:fldChar w:fldCharType="end"/>
      </w:r>
      <w:r w:rsidRPr="00DD4861">
        <w:rPr>
          <w:sz w:val="22"/>
          <w:szCs w:val="22"/>
        </w:rPr>
        <w:t xml:space="preserve"> were used. Savvidou and Johnsson </w:t>
      </w:r>
      <w:r w:rsidRPr="00DD4861">
        <w:rPr>
          <w:sz w:val="22"/>
          <w:szCs w:val="22"/>
        </w:rPr>
        <w:fldChar w:fldCharType="begin"/>
      </w:r>
      <w:r w:rsidRPr="00DD4861">
        <w:rPr>
          <w:sz w:val="22"/>
          <w:szCs w:val="22"/>
        </w:rPr>
        <w:instrText xml:space="preserve"> ADDIN ZOTERO_ITEM CSL_CITATION {"citationID":"2883IZKi","properties":{"formattedCitation":"(2023)","plainCitation":"(2023)","noteIndex":0},"citationItems":[{"id":15887,"uris":["http://zotero.org/groups/4945499/items/RZLAMIUR"],"itemData":{"id":15887,"type":"article-journal","container-title":"Sustainable Production and Consumption","DOI":"10.1016/j.spc.2023.07.012","ISSN":"23525509","journalAbbreviation":"Sustainable Production and Consumption","language":"en","page":"471-487","source":"DOI.org (Crossref)","title":"Material Requirements, Circularity Potential and Embodied Emissions Associated with Wind Energy","volume":"40","author":[{"family":"Savvidou","given":"Georgia"},{"family":"Johnsson","given":"Filip"}],"issued":{"date-parts":[["2023",9]]}},"label":"page","suppress-author":true}],"schema":"https://github.com/citation-style-language/schema/raw/master/csl-citation.json"} </w:instrText>
      </w:r>
      <w:r w:rsidRPr="00DD4861">
        <w:rPr>
          <w:sz w:val="22"/>
          <w:szCs w:val="22"/>
        </w:rPr>
        <w:fldChar w:fldCharType="separate"/>
      </w:r>
      <w:r w:rsidR="00064DB6">
        <w:rPr>
          <w:sz w:val="22"/>
          <w:szCs w:val="22"/>
        </w:rPr>
        <w:t>(2023)</w:t>
      </w:r>
      <w:r w:rsidRPr="00DD4861">
        <w:rPr>
          <w:sz w:val="22"/>
          <w:szCs w:val="22"/>
        </w:rPr>
        <w:fldChar w:fldCharType="end"/>
      </w:r>
      <w:r w:rsidRPr="00DD4861">
        <w:rPr>
          <w:sz w:val="22"/>
          <w:szCs w:val="22"/>
        </w:rPr>
        <w:t xml:space="preserve"> conducted an inflow-driven MFA to estimate cumulative stock wind capacity used in this study</w:t>
      </w:r>
      <w:r w:rsidR="005037C7">
        <w:rPr>
          <w:sz w:val="22"/>
          <w:szCs w:val="22"/>
        </w:rPr>
        <w:t xml:space="preserve"> (Figure S1.</w:t>
      </w:r>
      <w:r w:rsidR="006E1449">
        <w:rPr>
          <w:sz w:val="22"/>
          <w:szCs w:val="22"/>
        </w:rPr>
        <w:t>1</w:t>
      </w:r>
      <w:r w:rsidR="005037C7">
        <w:rPr>
          <w:sz w:val="22"/>
          <w:szCs w:val="22"/>
        </w:rPr>
        <w:t>)</w:t>
      </w:r>
      <w:r w:rsidRPr="00DD4861">
        <w:rPr>
          <w:sz w:val="22"/>
          <w:szCs w:val="22"/>
        </w:rPr>
        <w:t>.</w:t>
      </w:r>
      <w:r w:rsidR="005037C7">
        <w:rPr>
          <w:sz w:val="22"/>
          <w:szCs w:val="22"/>
        </w:rPr>
        <w:t xml:space="preserve"> </w:t>
      </w:r>
      <w:r w:rsidR="005C4B49" w:rsidRPr="00620FD6">
        <w:rPr>
          <w:sz w:val="22"/>
          <w:szCs w:val="22"/>
          <w:lang w:val="en-GB"/>
        </w:rPr>
        <w:t xml:space="preserve">Future MFA stocks are based on solar PV, onshore, and offshore wind capacities from the RE pathway developed by </w:t>
      </w:r>
      <w:proofErr w:type="spellStart"/>
      <w:r w:rsidR="005C4B49" w:rsidRPr="00620FD6">
        <w:rPr>
          <w:sz w:val="22"/>
          <w:szCs w:val="22"/>
          <w:lang w:val="en-GB"/>
        </w:rPr>
        <w:t>SvK</w:t>
      </w:r>
      <w:proofErr w:type="spellEnd"/>
      <w:r w:rsidR="005C4B49" w:rsidRPr="00620FD6">
        <w:rPr>
          <w:sz w:val="22"/>
          <w:szCs w:val="22"/>
          <w:lang w:val="en-GB"/>
        </w:rPr>
        <w:t xml:space="preserve"> </w:t>
      </w:r>
      <w:r w:rsidR="005C4B49" w:rsidRPr="00620FD6">
        <w:rPr>
          <w:sz w:val="22"/>
          <w:szCs w:val="22"/>
          <w:lang w:val="en-GB"/>
        </w:rPr>
        <w:fldChar w:fldCharType="begin"/>
      </w:r>
      <w:r w:rsidR="00064DB6">
        <w:rPr>
          <w:sz w:val="22"/>
          <w:szCs w:val="22"/>
          <w:lang w:val="en-GB"/>
        </w:rPr>
        <w:instrText xml:space="preserve"> ADDIN ZOTERO_ITEM CSL_CITATION {"citationID":"B1H3ge2R","properties":{"formattedCitation":"(Svenska Kraftn\\uc0\\u228{}t, 2021)","plainCitation":"(Svenska Kraftnät, 2021)","noteIndex":0},"citationItems":[{"id":15474,"uris":["http://zotero.org/groups/4945499/items/GYFDC6XL"],"itemData":{"id":15474,"type":"report","event-place":"Sundbyberg, Stockholm","number":"Svk 2019/3305","publisher-place":"Sundbyberg, Stockholm","title":"Långsiktig marknadsanalys 2021. Scenarier för elsystemets utveckling fram till 2050","URL":"https://www.svk.se/siteassets/om-oss/rapporter/2021/langsiktig-marknadsanalys-2021.pdf","author":[{"family":"Svenska Kraftnät","given":""}],"accessed":{"date-parts":[["2023",10,2]]},"issued":{"date-parts":[["2021"]]}}}],"schema":"https://github.com/citation-style-language/schema/raw/master/csl-citation.json"} </w:instrText>
      </w:r>
      <w:r w:rsidR="005C4B49" w:rsidRPr="00620FD6">
        <w:rPr>
          <w:sz w:val="22"/>
          <w:szCs w:val="22"/>
          <w:lang w:val="en-GB"/>
        </w:rPr>
        <w:fldChar w:fldCharType="separate"/>
      </w:r>
      <w:r w:rsidR="003527DD" w:rsidRPr="00064DB6">
        <w:rPr>
          <w:sz w:val="22"/>
          <w:szCs w:val="24"/>
          <w:lang w:val="en-GB" w:eastAsia="en-GB"/>
        </w:rPr>
        <w:t xml:space="preserve">(Svenska </w:t>
      </w:r>
      <w:proofErr w:type="spellStart"/>
      <w:r w:rsidR="003527DD" w:rsidRPr="00064DB6">
        <w:rPr>
          <w:sz w:val="22"/>
          <w:szCs w:val="24"/>
          <w:lang w:val="en-GB" w:eastAsia="en-GB"/>
        </w:rPr>
        <w:t>Kraftnät</w:t>
      </w:r>
      <w:proofErr w:type="spellEnd"/>
      <w:r w:rsidR="003527DD" w:rsidRPr="00064DB6">
        <w:rPr>
          <w:sz w:val="22"/>
          <w:szCs w:val="24"/>
          <w:lang w:val="en-GB" w:eastAsia="en-GB"/>
        </w:rPr>
        <w:t>, 2021)</w:t>
      </w:r>
      <w:r w:rsidR="005C4B49" w:rsidRPr="00620FD6">
        <w:rPr>
          <w:sz w:val="22"/>
          <w:szCs w:val="22"/>
        </w:rPr>
        <w:fldChar w:fldCharType="end"/>
      </w:r>
      <w:r w:rsidR="005C4B49" w:rsidRPr="00620FD6">
        <w:rPr>
          <w:sz w:val="22"/>
          <w:szCs w:val="22"/>
          <w:lang w:val="en-GB"/>
        </w:rPr>
        <w:t xml:space="preserve"> [see Figure </w:t>
      </w:r>
      <w:r w:rsidR="005C4B49">
        <w:rPr>
          <w:sz w:val="22"/>
          <w:szCs w:val="22"/>
          <w:lang w:val="en-GB"/>
        </w:rPr>
        <w:t>2 in main manuscript</w:t>
      </w:r>
      <w:r w:rsidR="005C4B49" w:rsidRPr="00620FD6">
        <w:rPr>
          <w:sz w:val="22"/>
          <w:szCs w:val="22"/>
          <w:lang w:val="en-GB"/>
        </w:rPr>
        <w:t>], which projects electricity demand to rise from ~140 TWh today to nearly 300 TWh by 2050. By then, electricity generation is dominated by these technologies.</w:t>
      </w:r>
    </w:p>
    <w:p w14:paraId="3C50339E" w14:textId="77777777" w:rsidR="00250E9B" w:rsidRPr="00F73297" w:rsidRDefault="00250E9B" w:rsidP="005037C7">
      <w:pPr>
        <w:rPr>
          <w:i/>
          <w:color w:val="0E2841"/>
          <w:sz w:val="18"/>
          <w:szCs w:val="18"/>
        </w:rPr>
      </w:pPr>
    </w:p>
    <w:p w14:paraId="6BD91128" w14:textId="77777777" w:rsidR="00250E9B" w:rsidRPr="005B3DC2" w:rsidRDefault="00250E9B" w:rsidP="00250E9B">
      <w:pPr>
        <w:jc w:val="center"/>
        <w:rPr>
          <w:sz w:val="22"/>
          <w:szCs w:val="22"/>
        </w:rPr>
      </w:pPr>
    </w:p>
    <w:p w14:paraId="017426CB" w14:textId="77777777" w:rsidR="00250E9B" w:rsidRPr="005B3DC2" w:rsidRDefault="00250E9B" w:rsidP="00250E9B">
      <w:pPr>
        <w:jc w:val="center"/>
        <w:rPr>
          <w:sz w:val="22"/>
          <w:szCs w:val="22"/>
        </w:rPr>
      </w:pPr>
    </w:p>
    <w:p w14:paraId="7A5C811C" w14:textId="77777777" w:rsidR="005037C7" w:rsidRPr="00F05D5B" w:rsidRDefault="005037C7" w:rsidP="00250E9B">
      <w:pPr>
        <w:jc w:val="center"/>
        <w:rPr>
          <w:color w:val="0E2841"/>
          <w:sz w:val="18"/>
          <w:szCs w:val="18"/>
        </w:rPr>
      </w:pPr>
    </w:p>
    <w:p w14:paraId="102ABE3F" w14:textId="77777777" w:rsidR="00250E9B" w:rsidRPr="00F05D5B" w:rsidRDefault="00250E9B" w:rsidP="00250E9B">
      <w:pPr>
        <w:jc w:val="center"/>
        <w:rPr>
          <w:color w:val="0E2841"/>
          <w:sz w:val="18"/>
          <w:szCs w:val="18"/>
        </w:rPr>
      </w:pPr>
    </w:p>
    <w:p w14:paraId="4EA0C663" w14:textId="77777777" w:rsidR="005037C7" w:rsidRPr="005B3DC2" w:rsidRDefault="005037C7" w:rsidP="005037C7">
      <w:pPr>
        <w:jc w:val="center"/>
        <w:rPr>
          <w:sz w:val="20"/>
        </w:rPr>
      </w:pPr>
      <w:r w:rsidRPr="00F73297">
        <w:rPr>
          <w:noProof/>
          <w:sz w:val="18"/>
          <w:szCs w:val="18"/>
        </w:rPr>
        <w:drawing>
          <wp:inline distT="0" distB="0" distL="0" distR="0" wp14:anchorId="3AF67E7B" wp14:editId="1D5EFCC4">
            <wp:extent cx="4721860" cy="2273300"/>
            <wp:effectExtent l="0" t="0" r="0" b="0"/>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8E7AD78" w14:textId="34419C8B" w:rsidR="005037C7" w:rsidRPr="00F73297" w:rsidRDefault="005037C7" w:rsidP="005037C7">
      <w:pPr>
        <w:jc w:val="center"/>
        <w:rPr>
          <w:i/>
          <w:color w:val="0E2841"/>
          <w:sz w:val="18"/>
          <w:szCs w:val="18"/>
        </w:rPr>
      </w:pPr>
      <w:r w:rsidRPr="00F05D5B">
        <w:rPr>
          <w:b/>
          <w:color w:val="0E2841"/>
          <w:sz w:val="18"/>
          <w:szCs w:val="18"/>
        </w:rPr>
        <w:t>Figure S1</w:t>
      </w:r>
      <w:r>
        <w:rPr>
          <w:b/>
          <w:color w:val="0E2841"/>
          <w:sz w:val="18"/>
          <w:szCs w:val="18"/>
        </w:rPr>
        <w:t>.</w:t>
      </w:r>
      <w:r w:rsidR="006E1449">
        <w:rPr>
          <w:b/>
          <w:color w:val="0E2841"/>
          <w:sz w:val="18"/>
          <w:szCs w:val="18"/>
        </w:rPr>
        <w:t>1</w:t>
      </w:r>
      <w:r w:rsidRPr="00F05D5B">
        <w:rPr>
          <w:b/>
          <w:color w:val="0E2841"/>
          <w:sz w:val="18"/>
          <w:szCs w:val="18"/>
        </w:rPr>
        <w:t>:</w:t>
      </w:r>
      <w:r w:rsidRPr="00F05D5B">
        <w:rPr>
          <w:color w:val="0E2841"/>
          <w:sz w:val="18"/>
          <w:szCs w:val="18"/>
        </w:rPr>
        <w:t xml:space="preserve"> Cumulative installed capacities of onshore and offshore wind power between 1996 and 2021.</w:t>
      </w:r>
      <w:r>
        <w:rPr>
          <w:color w:val="0E2841"/>
          <w:sz w:val="18"/>
          <w:szCs w:val="18"/>
        </w:rPr>
        <w:t xml:space="preserve"> </w:t>
      </w:r>
      <w:bookmarkStart w:id="8" w:name="_Hlk193792544"/>
      <w:r>
        <w:rPr>
          <w:color w:val="0E2841"/>
          <w:sz w:val="18"/>
          <w:szCs w:val="18"/>
        </w:rPr>
        <w:t xml:space="preserve">Source: </w:t>
      </w:r>
      <w:bookmarkEnd w:id="8"/>
      <w:r w:rsidRPr="00DD4861">
        <w:rPr>
          <w:color w:val="0E2841"/>
          <w:sz w:val="18"/>
          <w:szCs w:val="18"/>
        </w:rPr>
        <w:fldChar w:fldCharType="begin"/>
      </w:r>
      <w:r w:rsidR="003527DD">
        <w:rPr>
          <w:color w:val="0E2841"/>
          <w:sz w:val="18"/>
          <w:szCs w:val="18"/>
        </w:rPr>
        <w:instrText xml:space="preserve"> ADDIN ZOTERO_ITEM CSL_CITATION {"citationID":"a1cpgt147qq","properties":{"formattedCitation":"(Lansstyrelsen, 2022; Savvidou &amp; Johnsson, 2023)","plainCitation":"(Lansstyrelsen, 2022; Savvidou &amp; Johnsson, 2023)","noteIndex":0},"citationItems":[{"id":15478,"uris":["http://zotero.org/groups/4945499/items/YH7YFYAK"],"itemData":{"id":15478,"type":"report","title":"Vindbrukskollen [Master Data Register of Wind Turbines]","URL":"https://vbk.lansstyrelsen.se/","author":[{"family":"Lansstyrelsen","given":""}],"accessed":{"date-parts":[["2022",5,10]]},"issued":{"date-parts":[["2022"]]}}},{"id":15887,"uris":["http://zotero.org/groups/4945499/items/RZLAMIUR"],"itemData":{"id":15887,"type":"article-journal","container-title":"Sustainable Production and Consumption","DOI":"10.1016/j.spc.2023.07.012","ISSN":"23525509","journalAbbreviation":"Sustainable Production and Consumption","language":"en","page":"471-487","source":"DOI.org (Crossref)","title":"Material Requirements, Circularity Potential and Embodied Emissions Associated with Wind Energy","volume":"40","author":[{"family":"Savvidou","given":"Georgia"},{"family":"Johnsson","given":"Filip"}],"issued":{"date-parts":[["2023",9]]}}}],"schema":"https://github.com/citation-style-language/schema/raw/master/csl-citation.json"} </w:instrText>
      </w:r>
      <w:r w:rsidRPr="00DD4861">
        <w:rPr>
          <w:color w:val="0E2841"/>
          <w:sz w:val="18"/>
          <w:szCs w:val="18"/>
        </w:rPr>
        <w:fldChar w:fldCharType="separate"/>
      </w:r>
      <w:r w:rsidR="003527DD">
        <w:rPr>
          <w:color w:val="008080"/>
          <w:sz w:val="18"/>
          <w:szCs w:val="24"/>
          <w:lang w:val="en-GB" w:eastAsia="en-GB"/>
        </w:rPr>
        <w:t>(</w:t>
      </w:r>
      <w:proofErr w:type="spellStart"/>
      <w:r w:rsidR="003527DD">
        <w:rPr>
          <w:color w:val="008080"/>
          <w:sz w:val="18"/>
          <w:szCs w:val="24"/>
          <w:lang w:val="en-GB" w:eastAsia="en-GB"/>
        </w:rPr>
        <w:t>Lansstyrelsen</w:t>
      </w:r>
      <w:proofErr w:type="spellEnd"/>
      <w:r w:rsidR="003527DD">
        <w:rPr>
          <w:color w:val="008080"/>
          <w:sz w:val="18"/>
          <w:szCs w:val="24"/>
          <w:lang w:val="en-GB" w:eastAsia="en-GB"/>
        </w:rPr>
        <w:t>, 2022; Savvidou &amp; Johnsson, 2023)</w:t>
      </w:r>
      <w:r w:rsidRPr="00DD4861">
        <w:rPr>
          <w:color w:val="0E2841"/>
          <w:sz w:val="18"/>
          <w:szCs w:val="18"/>
          <w:lang w:val="en-GB"/>
        </w:rPr>
        <w:fldChar w:fldCharType="end"/>
      </w:r>
    </w:p>
    <w:p w14:paraId="52D13D3E" w14:textId="77777777" w:rsidR="00250E9B" w:rsidRPr="00421B5A" w:rsidRDefault="00250E9B" w:rsidP="00250E9B">
      <w:pPr>
        <w:jc w:val="center"/>
        <w:rPr>
          <w:sz w:val="22"/>
          <w:szCs w:val="22"/>
        </w:rPr>
      </w:pPr>
    </w:p>
    <w:p w14:paraId="7B736B3E" w14:textId="44BF4E6A" w:rsidR="009E31CA" w:rsidRDefault="009E31CA" w:rsidP="00C61F76">
      <w:pPr>
        <w:rPr>
          <w:lang w:val="en-GB"/>
        </w:rPr>
      </w:pPr>
    </w:p>
    <w:p w14:paraId="6321AA83" w14:textId="77777777" w:rsidR="00250E9B" w:rsidRPr="00C61F76" w:rsidRDefault="00250E9B" w:rsidP="00250E9B">
      <w:pPr>
        <w:rPr>
          <w:lang w:val="en-GB"/>
        </w:rPr>
      </w:pPr>
    </w:p>
    <w:p w14:paraId="2A20DB69" w14:textId="77777777" w:rsidR="006E1449" w:rsidRPr="00F05D5B" w:rsidRDefault="006E1449" w:rsidP="006E1449">
      <w:pPr>
        <w:jc w:val="center"/>
        <w:rPr>
          <w:b/>
          <w:sz w:val="22"/>
          <w:szCs w:val="22"/>
        </w:rPr>
      </w:pPr>
      <w:bookmarkStart w:id="9" w:name="_Toc171362993"/>
      <w:bookmarkStart w:id="10" w:name="_Toc171616699"/>
      <w:bookmarkStart w:id="11" w:name="_Toc172657874"/>
      <w:bookmarkStart w:id="12" w:name="_Toc173327298"/>
      <w:bookmarkStart w:id="13" w:name="_Toc176448297"/>
      <w:r w:rsidRPr="00F05D5B">
        <w:rPr>
          <w:b/>
          <w:noProof/>
          <w:sz w:val="22"/>
          <w:szCs w:val="22"/>
        </w:rPr>
        <w:drawing>
          <wp:inline distT="0" distB="0" distL="0" distR="0" wp14:anchorId="68510137" wp14:editId="06A88814">
            <wp:extent cx="4729480" cy="2272030"/>
            <wp:effectExtent l="0" t="0" r="0" b="0"/>
            <wp:docPr id="39235584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98E048A" w14:textId="1F88E9DE" w:rsidR="006E1449" w:rsidRDefault="006E1449" w:rsidP="006E1449">
      <w:pPr>
        <w:jc w:val="center"/>
        <w:rPr>
          <w:color w:val="0E2841"/>
          <w:sz w:val="18"/>
          <w:szCs w:val="18"/>
        </w:rPr>
      </w:pPr>
      <w:r w:rsidRPr="00F05D5B">
        <w:rPr>
          <w:b/>
          <w:color w:val="0E2841"/>
          <w:sz w:val="18"/>
          <w:szCs w:val="18"/>
        </w:rPr>
        <w:t>Figure S</w:t>
      </w:r>
      <w:r>
        <w:rPr>
          <w:b/>
          <w:color w:val="0E2841"/>
          <w:sz w:val="18"/>
          <w:szCs w:val="18"/>
        </w:rPr>
        <w:t>1.2</w:t>
      </w:r>
      <w:r w:rsidRPr="00F05D5B">
        <w:rPr>
          <w:b/>
          <w:color w:val="0E2841"/>
          <w:sz w:val="18"/>
          <w:szCs w:val="18"/>
        </w:rPr>
        <w:t>:</w:t>
      </w:r>
      <w:r w:rsidRPr="00F05D5B">
        <w:rPr>
          <w:color w:val="0E2841"/>
          <w:sz w:val="18"/>
          <w:szCs w:val="18"/>
        </w:rPr>
        <w:t xml:space="preserve"> Cumulative installed capacities of solar PV off-grid and grid-connected (distributed and centralized) between 1996 and 2021.</w:t>
      </w:r>
      <w:r>
        <w:rPr>
          <w:color w:val="0E2841"/>
          <w:sz w:val="18"/>
          <w:szCs w:val="18"/>
        </w:rPr>
        <w:t xml:space="preserve"> Source: </w:t>
      </w:r>
      <w:r w:rsidRPr="00DD4861">
        <w:rPr>
          <w:color w:val="0E2841"/>
          <w:sz w:val="18"/>
          <w:szCs w:val="18"/>
        </w:rPr>
        <w:fldChar w:fldCharType="begin"/>
      </w:r>
      <w:r w:rsidR="003527DD">
        <w:rPr>
          <w:color w:val="0E2841"/>
          <w:sz w:val="18"/>
          <w:szCs w:val="18"/>
        </w:rPr>
        <w:instrText xml:space="preserve"> ADDIN ZOTERO_ITEM CSL_CITATION {"citationID":"BbD0uo6u","properties":{"formattedCitation":"(Lindahl et al., 2020)","plainCitation":"(Lindahl et al., 2020)","noteIndex":0},"citationItems":[{"id":16794,"uris":["http://zotero.org/groups/5509458/items/728N6NCI"],"itemData":{"id":16794,"type":"report","event-place":"Swedish Energy Agency","publisher-place":"Swedish Energy Agency","title":"National Survey Report of PV Power Applications in Sweden","URL":"https://iea-pvps.org/wp-content/uploads/2021/10/National-Survey-Report-of-PV-Power-Applications-in-Sweden-2020.pdf","author":[{"family":"Lindahl","given":"Johan"},{"family":"Oller Westerberg","given":"Amelia"},{"family":"Vanky","given":"Katarina"}],"issued":{"date-parts":[["2020"]]}}}],"schema":"https://github.com/citation-style-language/schema/raw/master/csl-citation.json"} </w:instrText>
      </w:r>
      <w:r w:rsidRPr="00DD4861">
        <w:rPr>
          <w:color w:val="0E2841"/>
          <w:sz w:val="18"/>
          <w:szCs w:val="18"/>
        </w:rPr>
        <w:fldChar w:fldCharType="separate"/>
      </w:r>
      <w:r w:rsidR="003527DD">
        <w:rPr>
          <w:color w:val="0E2841"/>
          <w:sz w:val="18"/>
          <w:szCs w:val="18"/>
        </w:rPr>
        <w:t>(Lindahl et al., 2020)</w:t>
      </w:r>
      <w:r w:rsidRPr="00DD4861">
        <w:rPr>
          <w:color w:val="0E2841"/>
          <w:sz w:val="18"/>
          <w:szCs w:val="18"/>
        </w:rPr>
        <w:fldChar w:fldCharType="end"/>
      </w:r>
    </w:p>
    <w:p w14:paraId="18678FAE" w14:textId="77777777" w:rsidR="00250E9B" w:rsidRDefault="00250E9B" w:rsidP="00250E9B">
      <w:pPr>
        <w:jc w:val="both"/>
        <w:rPr>
          <w:color w:val="0E2841"/>
          <w:sz w:val="32"/>
          <w:szCs w:val="32"/>
        </w:rPr>
        <w:sectPr w:rsidR="00250E9B" w:rsidSect="00250E9B">
          <w:headerReference w:type="default" r:id="rId14"/>
          <w:footerReference w:type="default" r:id="rId15"/>
          <w:headerReference w:type="first" r:id="rId16"/>
          <w:pgSz w:w="12240" w:h="15840"/>
          <w:pgMar w:top="1440" w:right="1800" w:bottom="1440" w:left="1800" w:header="720" w:footer="720" w:gutter="0"/>
          <w:cols w:space="720"/>
        </w:sectPr>
      </w:pPr>
    </w:p>
    <w:p w14:paraId="57FFD57C" w14:textId="77777777" w:rsidR="00250E9B" w:rsidRPr="00EC0378" w:rsidRDefault="00250E9B" w:rsidP="00250E9B">
      <w:pPr>
        <w:pStyle w:val="Heading1"/>
        <w:rPr>
          <w:color w:val="0E2841" w:themeColor="text2"/>
          <w:sz w:val="32"/>
          <w:szCs w:val="32"/>
        </w:rPr>
      </w:pPr>
      <w:bookmarkStart w:id="14" w:name="_Toc176788410"/>
      <w:bookmarkStart w:id="15" w:name="_Toc176788452"/>
      <w:bookmarkStart w:id="16" w:name="_Toc176788569"/>
      <w:bookmarkStart w:id="17" w:name="_Toc176789086"/>
      <w:bookmarkStart w:id="18" w:name="_Toc176789942"/>
      <w:bookmarkStart w:id="19" w:name="_Toc208849799"/>
      <w:bookmarkStart w:id="20" w:name="_Toc208850243"/>
      <w:r w:rsidRPr="00EC0378">
        <w:rPr>
          <w:color w:val="0E2841" w:themeColor="text2"/>
          <w:sz w:val="32"/>
          <w:szCs w:val="32"/>
        </w:rPr>
        <w:lastRenderedPageBreak/>
        <w:t>2. Characteristics</w:t>
      </w:r>
      <w:bookmarkEnd w:id="9"/>
      <w:bookmarkEnd w:id="10"/>
      <w:r w:rsidRPr="00EC0378">
        <w:rPr>
          <w:color w:val="0E2841" w:themeColor="text2"/>
          <w:sz w:val="32"/>
          <w:szCs w:val="32"/>
        </w:rPr>
        <w:t xml:space="preserve"> of minor metals</w:t>
      </w:r>
      <w:bookmarkEnd w:id="11"/>
      <w:bookmarkEnd w:id="12"/>
      <w:bookmarkEnd w:id="13"/>
      <w:bookmarkEnd w:id="14"/>
      <w:bookmarkEnd w:id="15"/>
      <w:bookmarkEnd w:id="16"/>
      <w:bookmarkEnd w:id="17"/>
      <w:bookmarkEnd w:id="18"/>
      <w:bookmarkEnd w:id="19"/>
      <w:bookmarkEnd w:id="20"/>
    </w:p>
    <w:p w14:paraId="0CADD6A2" w14:textId="77777777" w:rsidR="00250E9B" w:rsidRDefault="00250E9B" w:rsidP="00250E9B">
      <w:pPr>
        <w:jc w:val="center"/>
        <w:rPr>
          <w:color w:val="0E2841"/>
          <w:sz w:val="18"/>
          <w:szCs w:val="18"/>
        </w:rPr>
      </w:pPr>
      <w:r w:rsidRPr="00F05D5B">
        <w:rPr>
          <w:b/>
          <w:color w:val="0E2841"/>
          <w:sz w:val="18"/>
          <w:szCs w:val="18"/>
        </w:rPr>
        <w:t>Table S1</w:t>
      </w:r>
      <w:r>
        <w:rPr>
          <w:b/>
          <w:color w:val="0E2841"/>
          <w:sz w:val="18"/>
          <w:szCs w:val="18"/>
        </w:rPr>
        <w:t>.1</w:t>
      </w:r>
      <w:r w:rsidRPr="00F05D5B">
        <w:rPr>
          <w:b/>
          <w:color w:val="0E2841"/>
          <w:sz w:val="18"/>
          <w:szCs w:val="18"/>
        </w:rPr>
        <w:t>:</w:t>
      </w:r>
      <w:r w:rsidRPr="00F05D5B">
        <w:rPr>
          <w:color w:val="0E2841"/>
          <w:sz w:val="18"/>
          <w:szCs w:val="18"/>
        </w:rPr>
        <w:t xml:space="preserve"> Key demand and supply characteristics for minor metals used in wind and solar PV technologies.</w:t>
      </w:r>
    </w:p>
    <w:p w14:paraId="040FBD80" w14:textId="77777777" w:rsidR="00250E9B" w:rsidRPr="00F05D5B" w:rsidRDefault="00250E9B" w:rsidP="00250E9B">
      <w:pPr>
        <w:jc w:val="center"/>
        <w:rPr>
          <w:color w:val="0E2841"/>
          <w:sz w:val="18"/>
          <w:szCs w:val="18"/>
        </w:rPr>
      </w:pPr>
    </w:p>
    <w:tbl>
      <w:tblPr>
        <w:tblW w:w="14312"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57" w:type="dxa"/>
          <w:right w:w="62" w:type="dxa"/>
        </w:tblCellMar>
        <w:tblLook w:val="04A0" w:firstRow="1" w:lastRow="0" w:firstColumn="1" w:lastColumn="0" w:noHBand="0" w:noVBand="1"/>
      </w:tblPr>
      <w:tblGrid>
        <w:gridCol w:w="846"/>
        <w:gridCol w:w="1701"/>
        <w:gridCol w:w="1701"/>
        <w:gridCol w:w="1716"/>
        <w:gridCol w:w="987"/>
        <w:gridCol w:w="1134"/>
        <w:gridCol w:w="1276"/>
        <w:gridCol w:w="992"/>
        <w:gridCol w:w="1408"/>
        <w:gridCol w:w="1275"/>
        <w:gridCol w:w="1276"/>
      </w:tblGrid>
      <w:tr w:rsidR="00250E9B" w:rsidRPr="004010B1" w14:paraId="3CE4E250" w14:textId="77777777">
        <w:trPr>
          <w:trHeight w:val="841"/>
          <w:jc w:val="center"/>
        </w:trPr>
        <w:tc>
          <w:tcPr>
            <w:tcW w:w="846" w:type="dxa"/>
            <w:vAlign w:val="center"/>
          </w:tcPr>
          <w:p w14:paraId="6AE59743" w14:textId="77777777" w:rsidR="00250E9B" w:rsidRPr="004010B1" w:rsidRDefault="00250E9B">
            <w:pPr>
              <w:jc w:val="center"/>
              <w:rPr>
                <w:rFonts w:eastAsia="Aptos"/>
                <w:b/>
                <w:color w:val="0E2841"/>
                <w:kern w:val="2"/>
                <w:sz w:val="18"/>
                <w:szCs w:val="18"/>
              </w:rPr>
            </w:pPr>
            <w:r w:rsidRPr="004010B1">
              <w:rPr>
                <w:rFonts w:eastAsia="Aptos"/>
                <w:b/>
                <w:color w:val="0E2841"/>
                <w:kern w:val="2"/>
                <w:sz w:val="18"/>
                <w:szCs w:val="18"/>
              </w:rPr>
              <w:t>Minor metal</w:t>
            </w:r>
          </w:p>
        </w:tc>
        <w:tc>
          <w:tcPr>
            <w:tcW w:w="1701" w:type="dxa"/>
            <w:vAlign w:val="center"/>
          </w:tcPr>
          <w:p w14:paraId="04E8D549" w14:textId="77777777" w:rsidR="00250E9B" w:rsidRPr="004010B1" w:rsidRDefault="00250E9B">
            <w:pPr>
              <w:jc w:val="center"/>
              <w:rPr>
                <w:rFonts w:eastAsia="Aptos"/>
                <w:b/>
                <w:color w:val="0E2841"/>
                <w:kern w:val="2"/>
                <w:sz w:val="18"/>
                <w:szCs w:val="18"/>
              </w:rPr>
            </w:pPr>
            <w:r w:rsidRPr="004010B1">
              <w:rPr>
                <w:rFonts w:eastAsia="Aptos"/>
                <w:b/>
                <w:color w:val="0E2841"/>
                <w:kern w:val="2"/>
                <w:sz w:val="18"/>
                <w:szCs w:val="18"/>
              </w:rPr>
              <w:t>Sub-technology</w:t>
            </w:r>
          </w:p>
        </w:tc>
        <w:tc>
          <w:tcPr>
            <w:tcW w:w="1701" w:type="dxa"/>
            <w:vAlign w:val="center"/>
          </w:tcPr>
          <w:p w14:paraId="734B1361" w14:textId="77777777" w:rsidR="00250E9B" w:rsidRPr="004010B1" w:rsidRDefault="00250E9B">
            <w:pPr>
              <w:jc w:val="center"/>
              <w:rPr>
                <w:rFonts w:eastAsia="Aptos"/>
                <w:b/>
                <w:color w:val="0E2841"/>
                <w:kern w:val="2"/>
                <w:sz w:val="18"/>
                <w:szCs w:val="18"/>
              </w:rPr>
            </w:pPr>
            <w:r w:rsidRPr="004010B1">
              <w:rPr>
                <w:rFonts w:eastAsia="Aptos"/>
                <w:b/>
                <w:color w:val="0E2841"/>
                <w:kern w:val="2"/>
                <w:sz w:val="18"/>
                <w:szCs w:val="18"/>
              </w:rPr>
              <w:t>Share of sub-technology production in relation to world production</w:t>
            </w:r>
          </w:p>
        </w:tc>
        <w:tc>
          <w:tcPr>
            <w:tcW w:w="1716" w:type="dxa"/>
            <w:vAlign w:val="center"/>
            <w:hideMark/>
          </w:tcPr>
          <w:p w14:paraId="2233637B" w14:textId="77777777" w:rsidR="00250E9B" w:rsidRPr="004010B1" w:rsidRDefault="00250E9B">
            <w:pPr>
              <w:jc w:val="center"/>
              <w:rPr>
                <w:rFonts w:eastAsia="Aptos"/>
                <w:b/>
                <w:color w:val="0E2841"/>
                <w:kern w:val="2"/>
                <w:sz w:val="18"/>
                <w:szCs w:val="18"/>
              </w:rPr>
            </w:pPr>
            <w:r w:rsidRPr="004010B1">
              <w:rPr>
                <w:rFonts w:eastAsia="Aptos"/>
                <w:b/>
                <w:color w:val="0E2841"/>
                <w:kern w:val="2"/>
                <w:sz w:val="18"/>
                <w:szCs w:val="18"/>
              </w:rPr>
              <w:t>Primary metal with which the by-product metal is recovered</w:t>
            </w:r>
          </w:p>
        </w:tc>
        <w:tc>
          <w:tcPr>
            <w:tcW w:w="987" w:type="dxa"/>
            <w:vAlign w:val="center"/>
            <w:hideMark/>
          </w:tcPr>
          <w:p w14:paraId="287C273F" w14:textId="77777777" w:rsidR="00250E9B" w:rsidRPr="004010B1" w:rsidRDefault="00250E9B">
            <w:pPr>
              <w:jc w:val="center"/>
              <w:rPr>
                <w:rFonts w:eastAsia="Aptos"/>
                <w:b/>
                <w:color w:val="0E2841"/>
                <w:kern w:val="2"/>
                <w:sz w:val="18"/>
                <w:szCs w:val="18"/>
              </w:rPr>
            </w:pPr>
            <w:r w:rsidRPr="004010B1">
              <w:rPr>
                <w:rFonts w:eastAsia="Aptos"/>
                <w:b/>
                <w:color w:val="0E2841"/>
                <w:kern w:val="2"/>
                <w:sz w:val="18"/>
                <w:szCs w:val="18"/>
              </w:rPr>
              <w:t>Share of largest supplier in 2022</w:t>
            </w:r>
          </w:p>
        </w:tc>
        <w:tc>
          <w:tcPr>
            <w:tcW w:w="1134" w:type="dxa"/>
            <w:vAlign w:val="center"/>
            <w:hideMark/>
          </w:tcPr>
          <w:p w14:paraId="3DFA7341" w14:textId="77777777" w:rsidR="00250E9B" w:rsidRPr="004010B1" w:rsidRDefault="00250E9B">
            <w:pPr>
              <w:jc w:val="center"/>
              <w:rPr>
                <w:rFonts w:eastAsia="Aptos"/>
                <w:b/>
                <w:color w:val="0E2841"/>
                <w:kern w:val="2"/>
                <w:sz w:val="18"/>
                <w:szCs w:val="18"/>
                <w:vertAlign w:val="superscript"/>
              </w:rPr>
            </w:pPr>
            <w:proofErr w:type="spellStart"/>
            <w:r w:rsidRPr="004010B1">
              <w:rPr>
                <w:rFonts w:eastAsia="Aptos"/>
                <w:b/>
                <w:color w:val="0E2841"/>
                <w:kern w:val="2"/>
                <w:sz w:val="18"/>
                <w:szCs w:val="18"/>
              </w:rPr>
              <w:t>EoL</w:t>
            </w:r>
            <w:proofErr w:type="spellEnd"/>
            <w:r w:rsidRPr="004010B1">
              <w:rPr>
                <w:rFonts w:eastAsia="Aptos"/>
                <w:b/>
                <w:color w:val="0E2841"/>
                <w:kern w:val="2"/>
                <w:sz w:val="18"/>
                <w:szCs w:val="18"/>
              </w:rPr>
              <w:t xml:space="preserve"> recycling rate of byproduct </w:t>
            </w:r>
            <w:proofErr w:type="spellStart"/>
            <w:r w:rsidRPr="004010B1">
              <w:rPr>
                <w:rFonts w:eastAsia="Aptos"/>
                <w:b/>
                <w:color w:val="0E2841"/>
                <w:kern w:val="2"/>
                <w:sz w:val="18"/>
                <w:szCs w:val="18"/>
              </w:rPr>
              <w:t>metal</w:t>
            </w:r>
            <w:r w:rsidRPr="004010B1">
              <w:rPr>
                <w:rFonts w:eastAsia="Aptos"/>
                <w:b/>
                <w:color w:val="0E2841"/>
                <w:kern w:val="2"/>
                <w:sz w:val="18"/>
                <w:szCs w:val="18"/>
                <w:vertAlign w:val="superscript"/>
              </w:rPr>
              <w:t>a</w:t>
            </w:r>
            <w:proofErr w:type="spellEnd"/>
          </w:p>
        </w:tc>
        <w:tc>
          <w:tcPr>
            <w:tcW w:w="1276" w:type="dxa"/>
            <w:vAlign w:val="center"/>
            <w:hideMark/>
          </w:tcPr>
          <w:p w14:paraId="4C245682" w14:textId="77777777" w:rsidR="00250E9B" w:rsidRPr="004010B1" w:rsidRDefault="00250E9B">
            <w:pPr>
              <w:jc w:val="center"/>
              <w:rPr>
                <w:rFonts w:eastAsia="Aptos"/>
                <w:b/>
                <w:color w:val="0E2841"/>
                <w:kern w:val="2"/>
                <w:sz w:val="18"/>
                <w:szCs w:val="18"/>
                <w:vertAlign w:val="superscript"/>
              </w:rPr>
            </w:pPr>
            <w:r w:rsidRPr="004010B1">
              <w:rPr>
                <w:rFonts w:eastAsia="Aptos"/>
                <w:b/>
                <w:color w:val="0E2841"/>
                <w:kern w:val="2"/>
                <w:sz w:val="18"/>
                <w:szCs w:val="18"/>
              </w:rPr>
              <w:t xml:space="preserve">Substitution potential of byproduct </w:t>
            </w:r>
            <w:proofErr w:type="spellStart"/>
            <w:r w:rsidRPr="004010B1">
              <w:rPr>
                <w:rFonts w:eastAsia="Aptos"/>
                <w:b/>
                <w:color w:val="0E2841"/>
                <w:kern w:val="2"/>
                <w:sz w:val="18"/>
                <w:szCs w:val="18"/>
              </w:rPr>
              <w:t>metal</w:t>
            </w:r>
            <w:r w:rsidRPr="004010B1">
              <w:rPr>
                <w:rFonts w:eastAsia="Aptos"/>
                <w:b/>
                <w:color w:val="0E2841"/>
                <w:kern w:val="2"/>
                <w:sz w:val="18"/>
                <w:szCs w:val="18"/>
                <w:vertAlign w:val="superscript"/>
              </w:rPr>
              <w:t>b</w:t>
            </w:r>
            <w:proofErr w:type="spellEnd"/>
          </w:p>
        </w:tc>
        <w:tc>
          <w:tcPr>
            <w:tcW w:w="992" w:type="dxa"/>
            <w:vAlign w:val="center"/>
            <w:hideMark/>
          </w:tcPr>
          <w:p w14:paraId="2917A786" w14:textId="77777777" w:rsidR="00250E9B" w:rsidRPr="004010B1" w:rsidRDefault="00250E9B">
            <w:pPr>
              <w:jc w:val="center"/>
              <w:rPr>
                <w:rFonts w:eastAsia="Aptos"/>
                <w:b/>
                <w:color w:val="0E2841"/>
                <w:kern w:val="2"/>
                <w:sz w:val="18"/>
                <w:szCs w:val="18"/>
                <w:vertAlign w:val="superscript"/>
              </w:rPr>
            </w:pPr>
            <w:r w:rsidRPr="004010B1">
              <w:rPr>
                <w:rFonts w:eastAsia="Aptos"/>
                <w:b/>
                <w:color w:val="0E2841"/>
                <w:kern w:val="2"/>
                <w:sz w:val="18"/>
                <w:szCs w:val="18"/>
              </w:rPr>
              <w:t>EU import reliance (2016-</w:t>
            </w:r>
            <w:proofErr w:type="gramStart"/>
            <w:r w:rsidRPr="004010B1">
              <w:rPr>
                <w:rFonts w:eastAsia="Aptos"/>
                <w:b/>
                <w:color w:val="0E2841"/>
                <w:kern w:val="2"/>
                <w:sz w:val="18"/>
                <w:szCs w:val="18"/>
              </w:rPr>
              <w:t>2020)</w:t>
            </w:r>
            <w:r w:rsidRPr="004010B1">
              <w:rPr>
                <w:rFonts w:eastAsia="Aptos"/>
                <w:b/>
                <w:color w:val="0E2841"/>
                <w:kern w:val="2"/>
                <w:sz w:val="18"/>
                <w:szCs w:val="18"/>
                <w:vertAlign w:val="superscript"/>
              </w:rPr>
              <w:t>c</w:t>
            </w:r>
            <w:proofErr w:type="gramEnd"/>
          </w:p>
        </w:tc>
        <w:tc>
          <w:tcPr>
            <w:tcW w:w="1408" w:type="dxa"/>
            <w:vAlign w:val="center"/>
            <w:hideMark/>
          </w:tcPr>
          <w:p w14:paraId="0B82818C" w14:textId="77777777" w:rsidR="00250E9B" w:rsidRPr="004010B1" w:rsidRDefault="00250E9B">
            <w:pPr>
              <w:jc w:val="center"/>
              <w:rPr>
                <w:rFonts w:eastAsia="Aptos"/>
                <w:b/>
                <w:color w:val="0E2841"/>
                <w:kern w:val="2"/>
                <w:sz w:val="18"/>
                <w:szCs w:val="18"/>
                <w:vertAlign w:val="superscript"/>
              </w:rPr>
            </w:pPr>
            <w:r w:rsidRPr="004010B1">
              <w:rPr>
                <w:rFonts w:eastAsia="Aptos"/>
                <w:b/>
                <w:color w:val="0E2841"/>
                <w:kern w:val="2"/>
                <w:sz w:val="18"/>
                <w:szCs w:val="18"/>
              </w:rPr>
              <w:t>Top EU supplier for the byproduct metal (2016-</w:t>
            </w:r>
            <w:proofErr w:type="gramStart"/>
            <w:r w:rsidRPr="004010B1">
              <w:rPr>
                <w:rFonts w:eastAsia="Aptos"/>
                <w:b/>
                <w:color w:val="0E2841"/>
                <w:kern w:val="2"/>
                <w:sz w:val="18"/>
                <w:szCs w:val="18"/>
              </w:rPr>
              <w:t>2020)</w:t>
            </w:r>
            <w:r w:rsidRPr="004010B1">
              <w:rPr>
                <w:rFonts w:eastAsia="Aptos"/>
                <w:b/>
                <w:color w:val="0E2841"/>
                <w:kern w:val="2"/>
                <w:sz w:val="18"/>
                <w:szCs w:val="18"/>
                <w:vertAlign w:val="superscript"/>
              </w:rPr>
              <w:t>c</w:t>
            </w:r>
            <w:proofErr w:type="gramEnd"/>
          </w:p>
        </w:tc>
        <w:tc>
          <w:tcPr>
            <w:tcW w:w="1275" w:type="dxa"/>
            <w:vAlign w:val="center"/>
            <w:hideMark/>
          </w:tcPr>
          <w:p w14:paraId="28B07E60" w14:textId="77777777" w:rsidR="00250E9B" w:rsidRPr="004010B1" w:rsidRDefault="00250E9B">
            <w:pPr>
              <w:jc w:val="center"/>
              <w:rPr>
                <w:rFonts w:eastAsia="Aptos"/>
                <w:b/>
                <w:color w:val="0E2841"/>
                <w:kern w:val="2"/>
                <w:sz w:val="18"/>
                <w:szCs w:val="18"/>
                <w:vertAlign w:val="superscript"/>
              </w:rPr>
            </w:pPr>
            <w:r w:rsidRPr="004010B1">
              <w:rPr>
                <w:rFonts w:eastAsia="Aptos"/>
                <w:b/>
                <w:color w:val="0E2841"/>
                <w:kern w:val="2"/>
                <w:sz w:val="18"/>
                <w:szCs w:val="18"/>
              </w:rPr>
              <w:t xml:space="preserve">EU's share of world byproduct </w:t>
            </w:r>
            <w:proofErr w:type="gramStart"/>
            <w:r w:rsidRPr="004010B1">
              <w:rPr>
                <w:rFonts w:eastAsia="Aptos"/>
                <w:b/>
                <w:color w:val="0E2841"/>
                <w:kern w:val="2"/>
                <w:sz w:val="18"/>
                <w:szCs w:val="18"/>
              </w:rPr>
              <w:t xml:space="preserve">metal  </w:t>
            </w:r>
            <w:proofErr w:type="spellStart"/>
            <w:r w:rsidRPr="004010B1">
              <w:rPr>
                <w:rFonts w:eastAsia="Aptos"/>
                <w:b/>
                <w:color w:val="0E2841"/>
                <w:kern w:val="2"/>
                <w:sz w:val="18"/>
                <w:szCs w:val="18"/>
              </w:rPr>
              <w:t>production</w:t>
            </w:r>
            <w:r w:rsidRPr="004010B1">
              <w:rPr>
                <w:rFonts w:eastAsia="Aptos"/>
                <w:b/>
                <w:color w:val="0E2841"/>
                <w:kern w:val="2"/>
                <w:sz w:val="18"/>
                <w:szCs w:val="18"/>
                <w:vertAlign w:val="superscript"/>
              </w:rPr>
              <w:t>c</w:t>
            </w:r>
            <w:proofErr w:type="gramEnd"/>
            <w:r w:rsidRPr="004010B1">
              <w:rPr>
                <w:rFonts w:eastAsia="Aptos"/>
                <w:b/>
                <w:color w:val="0E2841"/>
                <w:kern w:val="2"/>
                <w:sz w:val="18"/>
                <w:szCs w:val="18"/>
                <w:vertAlign w:val="superscript"/>
              </w:rPr>
              <w:t>,d</w:t>
            </w:r>
            <w:proofErr w:type="spellEnd"/>
          </w:p>
        </w:tc>
        <w:tc>
          <w:tcPr>
            <w:tcW w:w="1276" w:type="dxa"/>
            <w:vAlign w:val="center"/>
          </w:tcPr>
          <w:p w14:paraId="15ECEA4A" w14:textId="77777777" w:rsidR="00250E9B" w:rsidRPr="004010B1" w:rsidRDefault="00250E9B">
            <w:pPr>
              <w:jc w:val="center"/>
              <w:rPr>
                <w:rFonts w:eastAsia="Aptos"/>
                <w:b/>
                <w:color w:val="0E2841"/>
                <w:kern w:val="2"/>
                <w:sz w:val="18"/>
                <w:szCs w:val="18"/>
                <w:vertAlign w:val="superscript"/>
              </w:rPr>
            </w:pPr>
            <w:r w:rsidRPr="004010B1">
              <w:rPr>
                <w:rFonts w:eastAsia="Aptos"/>
                <w:b/>
                <w:color w:val="0E2841"/>
                <w:kern w:val="2"/>
                <w:sz w:val="18"/>
                <w:szCs w:val="18"/>
              </w:rPr>
              <w:t>Byproduct (B) or primary metal (</w:t>
            </w:r>
            <w:proofErr w:type="gramStart"/>
            <w:r w:rsidRPr="004010B1">
              <w:rPr>
                <w:rFonts w:eastAsia="Aptos"/>
                <w:b/>
                <w:color w:val="0E2841"/>
                <w:kern w:val="2"/>
                <w:sz w:val="18"/>
                <w:szCs w:val="18"/>
              </w:rPr>
              <w:t>P)  EU</w:t>
            </w:r>
            <w:proofErr w:type="gramEnd"/>
            <w:r w:rsidRPr="004010B1">
              <w:rPr>
                <w:rFonts w:eastAsia="Aptos"/>
                <w:b/>
                <w:color w:val="0E2841"/>
                <w:kern w:val="2"/>
                <w:sz w:val="18"/>
                <w:szCs w:val="18"/>
              </w:rPr>
              <w:t xml:space="preserve"> </w:t>
            </w:r>
            <w:proofErr w:type="spellStart"/>
            <w:r w:rsidRPr="004010B1">
              <w:rPr>
                <w:rFonts w:eastAsia="Aptos"/>
                <w:b/>
                <w:color w:val="0E2841"/>
                <w:kern w:val="2"/>
                <w:sz w:val="18"/>
                <w:szCs w:val="18"/>
              </w:rPr>
              <w:t>reserves</w:t>
            </w:r>
            <w:r w:rsidRPr="004010B1">
              <w:rPr>
                <w:rFonts w:eastAsia="Aptos"/>
                <w:b/>
                <w:color w:val="0E2841"/>
                <w:kern w:val="2"/>
                <w:sz w:val="18"/>
                <w:szCs w:val="18"/>
                <w:vertAlign w:val="superscript"/>
              </w:rPr>
              <w:t>c</w:t>
            </w:r>
            <w:proofErr w:type="spellEnd"/>
          </w:p>
        </w:tc>
      </w:tr>
      <w:tr w:rsidR="00250E9B" w:rsidRPr="004010B1" w14:paraId="0A1E70D4" w14:textId="77777777">
        <w:trPr>
          <w:trHeight w:val="351"/>
          <w:jc w:val="center"/>
        </w:trPr>
        <w:tc>
          <w:tcPr>
            <w:tcW w:w="846" w:type="dxa"/>
            <w:vAlign w:val="center"/>
          </w:tcPr>
          <w:p w14:paraId="33CAF134"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Nd</w:t>
            </w:r>
          </w:p>
        </w:tc>
        <w:tc>
          <w:tcPr>
            <w:tcW w:w="1701" w:type="dxa"/>
            <w:vMerge w:val="restart"/>
            <w:vAlign w:val="center"/>
          </w:tcPr>
          <w:p w14:paraId="0B941F13" w14:textId="77777777" w:rsidR="00250E9B" w:rsidRPr="004010B1" w:rsidRDefault="00250E9B">
            <w:pPr>
              <w:jc w:val="center"/>
              <w:rPr>
                <w:rFonts w:eastAsia="Aptos"/>
                <w:color w:val="0E2841"/>
                <w:kern w:val="2"/>
                <w:sz w:val="18"/>
                <w:szCs w:val="18"/>
              </w:rPr>
            </w:pPr>
          </w:p>
          <w:p w14:paraId="4C78E4CF" w14:textId="77777777" w:rsidR="00250E9B" w:rsidRPr="004010B1" w:rsidRDefault="00250E9B">
            <w:pPr>
              <w:jc w:val="center"/>
              <w:rPr>
                <w:rFonts w:eastAsia="Aptos"/>
                <w:color w:val="0E2841"/>
                <w:kern w:val="2"/>
                <w:sz w:val="18"/>
                <w:szCs w:val="18"/>
              </w:rPr>
            </w:pPr>
          </w:p>
          <w:p w14:paraId="54EEA8EC"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Wind turbines with REE-containing PM</w:t>
            </w:r>
          </w:p>
        </w:tc>
        <w:tc>
          <w:tcPr>
            <w:tcW w:w="1701" w:type="dxa"/>
            <w:vMerge w:val="restart"/>
            <w:vAlign w:val="center"/>
          </w:tcPr>
          <w:p w14:paraId="62D349C3" w14:textId="77777777" w:rsidR="00250E9B" w:rsidRPr="004010B1" w:rsidRDefault="00250E9B">
            <w:pPr>
              <w:jc w:val="center"/>
              <w:rPr>
                <w:rFonts w:eastAsia="Aptos"/>
                <w:color w:val="0E2841"/>
                <w:kern w:val="2"/>
                <w:sz w:val="18"/>
                <w:szCs w:val="18"/>
              </w:rPr>
            </w:pPr>
          </w:p>
          <w:p w14:paraId="5EC1AA7C" w14:textId="77777777" w:rsidR="00250E9B" w:rsidRPr="004010B1" w:rsidRDefault="00250E9B">
            <w:pPr>
              <w:jc w:val="center"/>
              <w:rPr>
                <w:rFonts w:eastAsia="Aptos"/>
                <w:color w:val="0E2841"/>
                <w:kern w:val="2"/>
                <w:sz w:val="18"/>
                <w:szCs w:val="18"/>
              </w:rPr>
            </w:pPr>
          </w:p>
          <w:p w14:paraId="46B63F6C"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75%-80% of PM global production</w:t>
            </w:r>
          </w:p>
          <w:p w14:paraId="58ABED0C"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(China)</w:t>
            </w:r>
          </w:p>
          <w:p w14:paraId="56B1C4E4" w14:textId="77777777" w:rsidR="00250E9B" w:rsidRPr="004010B1" w:rsidRDefault="00250E9B">
            <w:pPr>
              <w:jc w:val="center"/>
              <w:rPr>
                <w:rFonts w:eastAsia="Aptos"/>
                <w:color w:val="0E2841"/>
                <w:kern w:val="2"/>
                <w:sz w:val="18"/>
                <w:szCs w:val="18"/>
              </w:rPr>
            </w:pPr>
          </w:p>
          <w:p w14:paraId="7CDB4F5E" w14:textId="1175F194" w:rsidR="00250E9B" w:rsidRPr="004010B1" w:rsidRDefault="00250E9B">
            <w:pPr>
              <w:jc w:val="center"/>
              <w:rPr>
                <w:rFonts w:eastAsia="Aptos"/>
                <w:color w:val="0E2841"/>
                <w:kern w:val="2"/>
                <w:sz w:val="18"/>
                <w:szCs w:val="18"/>
              </w:rPr>
            </w:pPr>
            <w:r w:rsidRPr="004010B1">
              <w:rPr>
                <w:rFonts w:eastAsia="Aptos"/>
                <w:color w:val="0E2841"/>
                <w:kern w:val="2"/>
                <w:sz w:val="18"/>
                <w:szCs w:val="18"/>
              </w:rPr>
              <w:fldChar w:fldCharType="begin"/>
            </w:r>
            <w:r w:rsidR="003527DD">
              <w:rPr>
                <w:rFonts w:eastAsia="Aptos"/>
                <w:color w:val="0E2841"/>
                <w:kern w:val="2"/>
                <w:sz w:val="18"/>
                <w:szCs w:val="18"/>
              </w:rPr>
              <w:instrText xml:space="preserve"> ADDIN ZOTERO_ITEM CSL_CITATION {"citationID":"EKfSgHAS","properties":{"formattedCitation":"(Nassar et al., 2016)","plainCitation":"(Nassar et al., 2016)","noteIndex":0},"citationItems":[{"id":15366,"uris":["http://zotero.org/groups/4945499/items/48GTN4Y8"],"itemData":{"id":15366,"type":"article-journal","abstract":"The United States has and will likely continue to obtain an increasing share of its electricity from solar photovoltaics (PV) and wind power, especially under the Clean Power Plan (CPP). The need for additional solar PV modules and wind turbines will, among other things, result in greater demand for a number of minor metals that are produced mainly or only as byproducts. In this analysis, the quantities of 11 byproduct metals (Ag, Cd, Te, In, Ga, Se, Ge, Nd, Pr, Dy, and Tb) required for wind turbines with rare-earth permanent magnets and four solar PV technologies are assessed through the year 2040. Three key uncertainties (electricity generation capacities, technology market shares, and material intensities) are varied to develop 42 scenarios for each byproduct metal. The results indicate that byproduct metal requirements vary signiﬁcantly across technologies, scenarios, and over time. In certain scenarios, the requirements are projected to become a signiﬁcant portion of current primary production. This is especially the case for Te, Ge, Dy, In, and Tb under the more aggressive scenarios of increasing market share and conservative material intensities. Te and Dy are, perhaps, of most concern given their substitution limitations. In certain years, the differences in byproduct metal requirements between the technology market share and material intensity scenarios are greater than those between the various CPP and No CPP scenarios. Cumulatively across years 2016–2040, the various CPP scenarios are estimated to require 15–43% more byproduct metals than the No CPP scenario depending on the speciﬁc byproduct metal and scenario. Increasing primary production via enhanced recovery rates of the byproduct metals during the beneﬁciation and enrichment operations, improving end-of-life recycling rates, and developing substitutes are important strategies that may help meet the increased demand for these byproduct metals.","container-title":"Applied Energy","DOI":"10.1016/j.apenergy.2016.08.062","ISSN":"03062619","journalAbbreviation":"Applied Energy","language":"en","page":"1209-1226","source":"DOI.org (Crossref)","title":"Byproduct metal requirements for U.S. wind and solar photovoltaic electricity generation up to the year 2040 under various Clean Power Plan scenarios","volume":"183","author":[{"family":"Nassar","given":"Nedal T."},{"family":"Wilburn","given":"David R."},{"family":"Goonan","given":"Thomas G."}],"issued":{"date-parts":[["2016",12]]}}}],"schema":"https://github.com/citation-style-language/schema/raw/master/csl-citation.json"} </w:instrText>
            </w:r>
            <w:r w:rsidRPr="004010B1">
              <w:rPr>
                <w:rFonts w:eastAsia="Aptos"/>
                <w:color w:val="0E2841"/>
                <w:kern w:val="2"/>
                <w:sz w:val="18"/>
                <w:szCs w:val="18"/>
              </w:rPr>
              <w:fldChar w:fldCharType="separate"/>
            </w:r>
            <w:r w:rsidR="003527DD">
              <w:rPr>
                <w:rFonts w:eastAsia="Aptos"/>
                <w:color w:val="0E2841"/>
                <w:kern w:val="2"/>
                <w:sz w:val="18"/>
                <w:szCs w:val="18"/>
              </w:rPr>
              <w:t>(Nassar et al., 2016)</w:t>
            </w:r>
            <w:r w:rsidRPr="004010B1">
              <w:rPr>
                <w:rFonts w:eastAsia="Aptos"/>
                <w:color w:val="0E2841"/>
                <w:kern w:val="2"/>
                <w:sz w:val="18"/>
                <w:szCs w:val="18"/>
              </w:rPr>
              <w:fldChar w:fldCharType="end"/>
            </w:r>
          </w:p>
        </w:tc>
        <w:tc>
          <w:tcPr>
            <w:tcW w:w="1716" w:type="dxa"/>
            <w:vMerge w:val="restart"/>
            <w:noWrap/>
            <w:vAlign w:val="center"/>
          </w:tcPr>
          <w:p w14:paraId="0480C29C" w14:textId="77777777" w:rsidR="00250E9B" w:rsidRPr="004010B1" w:rsidRDefault="00250E9B">
            <w:pPr>
              <w:jc w:val="center"/>
              <w:rPr>
                <w:rFonts w:eastAsia="Aptos"/>
                <w:color w:val="0E2841"/>
                <w:kern w:val="2"/>
                <w:sz w:val="18"/>
                <w:szCs w:val="18"/>
              </w:rPr>
            </w:pPr>
          </w:p>
          <w:p w14:paraId="5AB69F15"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Iron, other REE, tin (cassiterite), titanium (ilmenite)</w:t>
            </w:r>
          </w:p>
        </w:tc>
        <w:tc>
          <w:tcPr>
            <w:tcW w:w="987" w:type="dxa"/>
            <w:noWrap/>
            <w:vAlign w:val="center"/>
          </w:tcPr>
          <w:p w14:paraId="2B01BC40"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71%</w:t>
            </w:r>
            <w:r w:rsidRPr="004010B1">
              <w:rPr>
                <w:rFonts w:eastAsia="Aptos"/>
                <w:color w:val="0E2841"/>
                <w:kern w:val="2"/>
                <w:sz w:val="18"/>
                <w:szCs w:val="18"/>
                <w:vertAlign w:val="superscript"/>
              </w:rPr>
              <w:t>d</w:t>
            </w:r>
            <w:r w:rsidRPr="004010B1">
              <w:rPr>
                <w:rFonts w:eastAsia="Aptos"/>
                <w:color w:val="0E2841"/>
                <w:kern w:val="2"/>
                <w:sz w:val="18"/>
                <w:szCs w:val="18"/>
              </w:rPr>
              <w:t xml:space="preserve"> (China)</w:t>
            </w:r>
          </w:p>
        </w:tc>
        <w:tc>
          <w:tcPr>
            <w:tcW w:w="1134" w:type="dxa"/>
            <w:noWrap/>
            <w:vAlign w:val="center"/>
          </w:tcPr>
          <w:p w14:paraId="7C9FB1FF"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~0%</w:t>
            </w:r>
          </w:p>
        </w:tc>
        <w:tc>
          <w:tcPr>
            <w:tcW w:w="1276" w:type="dxa"/>
            <w:noWrap/>
            <w:vAlign w:val="center"/>
          </w:tcPr>
          <w:p w14:paraId="157C802C"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Medium</w:t>
            </w:r>
          </w:p>
        </w:tc>
        <w:tc>
          <w:tcPr>
            <w:tcW w:w="992" w:type="dxa"/>
            <w:noWrap/>
            <w:vAlign w:val="center"/>
          </w:tcPr>
          <w:p w14:paraId="644DC743"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100%</w:t>
            </w:r>
          </w:p>
        </w:tc>
        <w:tc>
          <w:tcPr>
            <w:tcW w:w="1408" w:type="dxa"/>
            <w:vAlign w:val="center"/>
          </w:tcPr>
          <w:p w14:paraId="16E246C9"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China (80%)</w:t>
            </w:r>
          </w:p>
        </w:tc>
        <w:tc>
          <w:tcPr>
            <w:tcW w:w="1275" w:type="dxa"/>
            <w:noWrap/>
            <w:vAlign w:val="center"/>
          </w:tcPr>
          <w:p w14:paraId="01C240A6"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0%</w:t>
            </w:r>
          </w:p>
        </w:tc>
        <w:tc>
          <w:tcPr>
            <w:tcW w:w="1276" w:type="dxa"/>
            <w:vMerge w:val="restart"/>
            <w:vAlign w:val="center"/>
          </w:tcPr>
          <w:p w14:paraId="1436D98E" w14:textId="77777777" w:rsidR="00250E9B" w:rsidRPr="004010B1" w:rsidRDefault="00250E9B">
            <w:pPr>
              <w:jc w:val="center"/>
              <w:rPr>
                <w:rFonts w:eastAsia="Aptos"/>
                <w:color w:val="0E2841"/>
                <w:kern w:val="2"/>
                <w:sz w:val="18"/>
                <w:szCs w:val="18"/>
              </w:rPr>
            </w:pPr>
          </w:p>
          <w:p w14:paraId="1744C760" w14:textId="77777777" w:rsidR="00250E9B" w:rsidRPr="004010B1" w:rsidRDefault="00250E9B">
            <w:pPr>
              <w:jc w:val="center"/>
              <w:rPr>
                <w:rFonts w:eastAsia="Aptos"/>
                <w:color w:val="0E2841"/>
                <w:kern w:val="2"/>
                <w:sz w:val="18"/>
                <w:szCs w:val="18"/>
              </w:rPr>
            </w:pPr>
          </w:p>
          <w:p w14:paraId="44A16D7D" w14:textId="77777777" w:rsidR="00250E9B" w:rsidRPr="004010B1" w:rsidRDefault="00250E9B">
            <w:pPr>
              <w:jc w:val="center"/>
              <w:rPr>
                <w:rFonts w:eastAsia="Aptos"/>
                <w:color w:val="0E2841"/>
                <w:kern w:val="2"/>
                <w:sz w:val="18"/>
                <w:szCs w:val="18"/>
              </w:rPr>
            </w:pPr>
          </w:p>
          <w:p w14:paraId="7FF2366A"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0.5% (B)</w:t>
            </w:r>
          </w:p>
        </w:tc>
      </w:tr>
      <w:tr w:rsidR="00250E9B" w:rsidRPr="004010B1" w14:paraId="3959E135" w14:textId="77777777">
        <w:trPr>
          <w:trHeight w:val="470"/>
          <w:jc w:val="center"/>
        </w:trPr>
        <w:tc>
          <w:tcPr>
            <w:tcW w:w="846" w:type="dxa"/>
            <w:vAlign w:val="center"/>
          </w:tcPr>
          <w:p w14:paraId="4CDB3348" w14:textId="77777777" w:rsidR="00250E9B" w:rsidRPr="004010B1" w:rsidRDefault="00250E9B">
            <w:pPr>
              <w:jc w:val="center"/>
              <w:rPr>
                <w:rFonts w:eastAsia="Aptos"/>
                <w:color w:val="0E2841"/>
                <w:kern w:val="2"/>
                <w:sz w:val="18"/>
                <w:szCs w:val="18"/>
              </w:rPr>
            </w:pPr>
            <w:proofErr w:type="spellStart"/>
            <w:r w:rsidRPr="004010B1">
              <w:rPr>
                <w:rFonts w:eastAsia="Aptos"/>
                <w:color w:val="0E2841"/>
                <w:kern w:val="2"/>
                <w:sz w:val="18"/>
                <w:szCs w:val="18"/>
              </w:rPr>
              <w:t>Pr</w:t>
            </w:r>
            <w:proofErr w:type="spellEnd"/>
          </w:p>
        </w:tc>
        <w:tc>
          <w:tcPr>
            <w:tcW w:w="1701" w:type="dxa"/>
            <w:vMerge/>
            <w:vAlign w:val="center"/>
          </w:tcPr>
          <w:p w14:paraId="104B28D3" w14:textId="77777777" w:rsidR="00250E9B" w:rsidRPr="004010B1" w:rsidRDefault="00250E9B">
            <w:pPr>
              <w:jc w:val="center"/>
              <w:rPr>
                <w:rFonts w:eastAsia="Aptos"/>
                <w:color w:val="0E2841"/>
                <w:kern w:val="2"/>
                <w:sz w:val="18"/>
                <w:szCs w:val="18"/>
              </w:rPr>
            </w:pPr>
          </w:p>
        </w:tc>
        <w:tc>
          <w:tcPr>
            <w:tcW w:w="1701" w:type="dxa"/>
            <w:vMerge/>
            <w:vAlign w:val="center"/>
          </w:tcPr>
          <w:p w14:paraId="2E69EE0F" w14:textId="77777777" w:rsidR="00250E9B" w:rsidRPr="004010B1" w:rsidRDefault="00250E9B">
            <w:pPr>
              <w:jc w:val="center"/>
              <w:rPr>
                <w:rFonts w:eastAsia="Aptos"/>
                <w:color w:val="0E2841"/>
                <w:kern w:val="2"/>
                <w:sz w:val="18"/>
                <w:szCs w:val="18"/>
              </w:rPr>
            </w:pPr>
          </w:p>
        </w:tc>
        <w:tc>
          <w:tcPr>
            <w:tcW w:w="1716" w:type="dxa"/>
            <w:vMerge/>
            <w:noWrap/>
            <w:vAlign w:val="center"/>
          </w:tcPr>
          <w:p w14:paraId="30DE9343" w14:textId="77777777" w:rsidR="00250E9B" w:rsidRPr="004010B1" w:rsidRDefault="00250E9B">
            <w:pPr>
              <w:jc w:val="center"/>
              <w:rPr>
                <w:rFonts w:eastAsia="Aptos"/>
                <w:color w:val="0E2841"/>
                <w:kern w:val="2"/>
                <w:sz w:val="18"/>
                <w:szCs w:val="18"/>
              </w:rPr>
            </w:pPr>
          </w:p>
        </w:tc>
        <w:tc>
          <w:tcPr>
            <w:tcW w:w="987" w:type="dxa"/>
            <w:noWrap/>
            <w:vAlign w:val="center"/>
          </w:tcPr>
          <w:p w14:paraId="65C434B3" w14:textId="77777777" w:rsidR="00250E9B" w:rsidRPr="004010B1" w:rsidRDefault="00250E9B">
            <w:pPr>
              <w:jc w:val="center"/>
              <w:rPr>
                <w:rFonts w:eastAsia="Aptos"/>
                <w:color w:val="0E2841"/>
                <w:kern w:val="2"/>
                <w:sz w:val="18"/>
                <w:szCs w:val="18"/>
                <w:vertAlign w:val="superscript"/>
              </w:rPr>
            </w:pPr>
            <w:r w:rsidRPr="004010B1">
              <w:rPr>
                <w:rFonts w:eastAsia="Aptos"/>
                <w:color w:val="0E2841"/>
                <w:kern w:val="2"/>
                <w:sz w:val="18"/>
                <w:szCs w:val="18"/>
              </w:rPr>
              <w:t>71%</w:t>
            </w:r>
            <w:r w:rsidRPr="004010B1">
              <w:rPr>
                <w:rFonts w:eastAsia="Aptos"/>
                <w:color w:val="0E2841"/>
                <w:kern w:val="2"/>
                <w:sz w:val="18"/>
                <w:szCs w:val="18"/>
                <w:vertAlign w:val="superscript"/>
              </w:rPr>
              <w:t>d</w:t>
            </w:r>
          </w:p>
          <w:p w14:paraId="33269C2F"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(China)</w:t>
            </w:r>
          </w:p>
        </w:tc>
        <w:tc>
          <w:tcPr>
            <w:tcW w:w="1134" w:type="dxa"/>
            <w:noWrap/>
            <w:vAlign w:val="center"/>
          </w:tcPr>
          <w:p w14:paraId="6B4272CA"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~0%</w:t>
            </w:r>
          </w:p>
        </w:tc>
        <w:tc>
          <w:tcPr>
            <w:tcW w:w="1276" w:type="dxa"/>
            <w:noWrap/>
            <w:vAlign w:val="center"/>
          </w:tcPr>
          <w:p w14:paraId="6F3AA6AB"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Medium</w:t>
            </w:r>
          </w:p>
        </w:tc>
        <w:tc>
          <w:tcPr>
            <w:tcW w:w="992" w:type="dxa"/>
            <w:noWrap/>
            <w:vAlign w:val="center"/>
          </w:tcPr>
          <w:p w14:paraId="3818CE8E"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100%</w:t>
            </w:r>
          </w:p>
        </w:tc>
        <w:tc>
          <w:tcPr>
            <w:tcW w:w="1408" w:type="dxa"/>
            <w:vAlign w:val="center"/>
          </w:tcPr>
          <w:p w14:paraId="2AB8EEBC"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China (80%)</w:t>
            </w:r>
          </w:p>
        </w:tc>
        <w:tc>
          <w:tcPr>
            <w:tcW w:w="1275" w:type="dxa"/>
            <w:noWrap/>
            <w:vAlign w:val="center"/>
          </w:tcPr>
          <w:p w14:paraId="13AB7146"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0%</w:t>
            </w:r>
          </w:p>
        </w:tc>
        <w:tc>
          <w:tcPr>
            <w:tcW w:w="1276" w:type="dxa"/>
            <w:vMerge/>
            <w:vAlign w:val="center"/>
          </w:tcPr>
          <w:p w14:paraId="33254F24" w14:textId="77777777" w:rsidR="00250E9B" w:rsidRPr="004010B1" w:rsidRDefault="00250E9B">
            <w:pPr>
              <w:jc w:val="center"/>
              <w:rPr>
                <w:rFonts w:eastAsia="Aptos"/>
                <w:color w:val="0E2841"/>
                <w:kern w:val="2"/>
                <w:sz w:val="18"/>
                <w:szCs w:val="18"/>
              </w:rPr>
            </w:pPr>
          </w:p>
        </w:tc>
      </w:tr>
      <w:tr w:rsidR="00250E9B" w:rsidRPr="004010B1" w14:paraId="3E3D9B82" w14:textId="77777777">
        <w:trPr>
          <w:trHeight w:val="450"/>
          <w:jc w:val="center"/>
        </w:trPr>
        <w:tc>
          <w:tcPr>
            <w:tcW w:w="846" w:type="dxa"/>
            <w:vAlign w:val="center"/>
          </w:tcPr>
          <w:p w14:paraId="482192E2"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Dy</w:t>
            </w:r>
          </w:p>
        </w:tc>
        <w:tc>
          <w:tcPr>
            <w:tcW w:w="1701" w:type="dxa"/>
            <w:vMerge/>
            <w:vAlign w:val="center"/>
          </w:tcPr>
          <w:p w14:paraId="4B0CBFC4" w14:textId="77777777" w:rsidR="00250E9B" w:rsidRPr="004010B1" w:rsidRDefault="00250E9B">
            <w:pPr>
              <w:jc w:val="center"/>
              <w:rPr>
                <w:rFonts w:eastAsia="Aptos"/>
                <w:color w:val="0E2841"/>
                <w:kern w:val="2"/>
                <w:sz w:val="18"/>
                <w:szCs w:val="18"/>
              </w:rPr>
            </w:pPr>
          </w:p>
        </w:tc>
        <w:tc>
          <w:tcPr>
            <w:tcW w:w="1701" w:type="dxa"/>
            <w:vMerge/>
            <w:vAlign w:val="center"/>
          </w:tcPr>
          <w:p w14:paraId="4325AFF9" w14:textId="77777777" w:rsidR="00250E9B" w:rsidRPr="004010B1" w:rsidRDefault="00250E9B">
            <w:pPr>
              <w:jc w:val="center"/>
              <w:rPr>
                <w:rFonts w:eastAsia="Aptos"/>
                <w:color w:val="0E2841"/>
                <w:kern w:val="2"/>
                <w:sz w:val="18"/>
                <w:szCs w:val="18"/>
              </w:rPr>
            </w:pPr>
          </w:p>
        </w:tc>
        <w:tc>
          <w:tcPr>
            <w:tcW w:w="1716" w:type="dxa"/>
            <w:vMerge/>
            <w:noWrap/>
            <w:vAlign w:val="center"/>
          </w:tcPr>
          <w:p w14:paraId="17DCC145" w14:textId="77777777" w:rsidR="00250E9B" w:rsidRPr="004010B1" w:rsidRDefault="00250E9B">
            <w:pPr>
              <w:jc w:val="center"/>
              <w:rPr>
                <w:rFonts w:eastAsia="Aptos"/>
                <w:color w:val="0E2841"/>
                <w:kern w:val="2"/>
                <w:sz w:val="18"/>
                <w:szCs w:val="18"/>
              </w:rPr>
            </w:pPr>
          </w:p>
        </w:tc>
        <w:tc>
          <w:tcPr>
            <w:tcW w:w="987" w:type="dxa"/>
            <w:noWrap/>
            <w:vAlign w:val="center"/>
          </w:tcPr>
          <w:p w14:paraId="0AEF376E"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68%</w:t>
            </w:r>
            <w:r w:rsidRPr="004010B1">
              <w:rPr>
                <w:rFonts w:eastAsia="Aptos"/>
                <w:color w:val="0E2841"/>
                <w:kern w:val="2"/>
                <w:sz w:val="18"/>
                <w:szCs w:val="18"/>
                <w:vertAlign w:val="superscript"/>
              </w:rPr>
              <w:t xml:space="preserve">d </w:t>
            </w:r>
            <w:r w:rsidRPr="004010B1">
              <w:rPr>
                <w:rFonts w:eastAsia="Aptos"/>
                <w:color w:val="0E2841"/>
                <w:kern w:val="2"/>
                <w:sz w:val="18"/>
                <w:szCs w:val="18"/>
              </w:rPr>
              <w:t>(China)</w:t>
            </w:r>
          </w:p>
        </w:tc>
        <w:tc>
          <w:tcPr>
            <w:tcW w:w="1134" w:type="dxa"/>
            <w:noWrap/>
            <w:vAlign w:val="center"/>
          </w:tcPr>
          <w:p w14:paraId="162E35C1"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~0%</w:t>
            </w:r>
          </w:p>
        </w:tc>
        <w:tc>
          <w:tcPr>
            <w:tcW w:w="1276" w:type="dxa"/>
            <w:noWrap/>
            <w:vAlign w:val="center"/>
          </w:tcPr>
          <w:p w14:paraId="05D0E8D6"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Medium</w:t>
            </w:r>
          </w:p>
        </w:tc>
        <w:tc>
          <w:tcPr>
            <w:tcW w:w="992" w:type="dxa"/>
            <w:noWrap/>
            <w:vAlign w:val="center"/>
          </w:tcPr>
          <w:p w14:paraId="3A81044D"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100%</w:t>
            </w:r>
          </w:p>
        </w:tc>
        <w:tc>
          <w:tcPr>
            <w:tcW w:w="1408" w:type="dxa"/>
            <w:vAlign w:val="center"/>
          </w:tcPr>
          <w:p w14:paraId="028EDE69"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Primarily China</w:t>
            </w:r>
          </w:p>
        </w:tc>
        <w:tc>
          <w:tcPr>
            <w:tcW w:w="1275" w:type="dxa"/>
            <w:noWrap/>
            <w:vAlign w:val="center"/>
          </w:tcPr>
          <w:p w14:paraId="3DF70CDB"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0%</w:t>
            </w:r>
          </w:p>
        </w:tc>
        <w:tc>
          <w:tcPr>
            <w:tcW w:w="1276" w:type="dxa"/>
            <w:vMerge/>
            <w:vAlign w:val="center"/>
          </w:tcPr>
          <w:p w14:paraId="49B4F591" w14:textId="77777777" w:rsidR="00250E9B" w:rsidRPr="004010B1" w:rsidRDefault="00250E9B">
            <w:pPr>
              <w:jc w:val="center"/>
              <w:rPr>
                <w:rFonts w:eastAsia="Aptos"/>
                <w:color w:val="0E2841"/>
                <w:kern w:val="2"/>
                <w:sz w:val="18"/>
                <w:szCs w:val="18"/>
              </w:rPr>
            </w:pPr>
          </w:p>
        </w:tc>
      </w:tr>
      <w:tr w:rsidR="00250E9B" w:rsidRPr="004010B1" w14:paraId="2CB9866E" w14:textId="77777777">
        <w:trPr>
          <w:trHeight w:val="243"/>
          <w:jc w:val="center"/>
        </w:trPr>
        <w:tc>
          <w:tcPr>
            <w:tcW w:w="846" w:type="dxa"/>
            <w:vAlign w:val="center"/>
          </w:tcPr>
          <w:p w14:paraId="5C83B047"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Tb</w:t>
            </w:r>
          </w:p>
        </w:tc>
        <w:tc>
          <w:tcPr>
            <w:tcW w:w="1701" w:type="dxa"/>
            <w:vMerge/>
            <w:vAlign w:val="center"/>
          </w:tcPr>
          <w:p w14:paraId="430E7CC5" w14:textId="77777777" w:rsidR="00250E9B" w:rsidRPr="004010B1" w:rsidRDefault="00250E9B">
            <w:pPr>
              <w:jc w:val="center"/>
              <w:rPr>
                <w:rFonts w:eastAsia="Aptos"/>
                <w:color w:val="0E2841"/>
                <w:kern w:val="2"/>
                <w:sz w:val="18"/>
                <w:szCs w:val="18"/>
              </w:rPr>
            </w:pPr>
          </w:p>
        </w:tc>
        <w:tc>
          <w:tcPr>
            <w:tcW w:w="1701" w:type="dxa"/>
            <w:vMerge/>
            <w:vAlign w:val="center"/>
          </w:tcPr>
          <w:p w14:paraId="1DD55767" w14:textId="77777777" w:rsidR="00250E9B" w:rsidRPr="004010B1" w:rsidRDefault="00250E9B">
            <w:pPr>
              <w:jc w:val="center"/>
              <w:rPr>
                <w:rFonts w:eastAsia="Aptos"/>
                <w:color w:val="0E2841"/>
                <w:kern w:val="2"/>
                <w:sz w:val="18"/>
                <w:szCs w:val="18"/>
              </w:rPr>
            </w:pPr>
          </w:p>
        </w:tc>
        <w:tc>
          <w:tcPr>
            <w:tcW w:w="1716" w:type="dxa"/>
            <w:vMerge/>
            <w:noWrap/>
            <w:vAlign w:val="center"/>
          </w:tcPr>
          <w:p w14:paraId="1C86C8FC" w14:textId="77777777" w:rsidR="00250E9B" w:rsidRPr="004010B1" w:rsidRDefault="00250E9B">
            <w:pPr>
              <w:jc w:val="center"/>
              <w:rPr>
                <w:rFonts w:eastAsia="Aptos"/>
                <w:color w:val="0E2841"/>
                <w:kern w:val="2"/>
                <w:sz w:val="18"/>
                <w:szCs w:val="18"/>
              </w:rPr>
            </w:pPr>
          </w:p>
        </w:tc>
        <w:tc>
          <w:tcPr>
            <w:tcW w:w="987" w:type="dxa"/>
            <w:noWrap/>
            <w:vAlign w:val="center"/>
          </w:tcPr>
          <w:p w14:paraId="79D938B8"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79%</w:t>
            </w:r>
            <w:r w:rsidRPr="004010B1">
              <w:rPr>
                <w:rFonts w:eastAsia="Aptos"/>
                <w:color w:val="0E2841"/>
                <w:kern w:val="2"/>
                <w:sz w:val="18"/>
                <w:szCs w:val="18"/>
                <w:vertAlign w:val="superscript"/>
              </w:rPr>
              <w:t>d</w:t>
            </w:r>
            <w:r w:rsidRPr="004010B1">
              <w:rPr>
                <w:rFonts w:eastAsia="Aptos"/>
                <w:color w:val="0E2841"/>
                <w:kern w:val="2"/>
                <w:sz w:val="18"/>
                <w:szCs w:val="18"/>
              </w:rPr>
              <w:t xml:space="preserve"> (China)</w:t>
            </w:r>
          </w:p>
        </w:tc>
        <w:tc>
          <w:tcPr>
            <w:tcW w:w="1134" w:type="dxa"/>
            <w:noWrap/>
            <w:vAlign w:val="center"/>
          </w:tcPr>
          <w:p w14:paraId="1D61EE7F"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~0%</w:t>
            </w:r>
          </w:p>
        </w:tc>
        <w:tc>
          <w:tcPr>
            <w:tcW w:w="1276" w:type="dxa"/>
            <w:noWrap/>
            <w:vAlign w:val="center"/>
          </w:tcPr>
          <w:p w14:paraId="51073728"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Medium</w:t>
            </w:r>
          </w:p>
        </w:tc>
        <w:tc>
          <w:tcPr>
            <w:tcW w:w="992" w:type="dxa"/>
            <w:noWrap/>
            <w:vAlign w:val="center"/>
          </w:tcPr>
          <w:p w14:paraId="1CDBDC24"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100%</w:t>
            </w:r>
          </w:p>
        </w:tc>
        <w:tc>
          <w:tcPr>
            <w:tcW w:w="1408" w:type="dxa"/>
            <w:vAlign w:val="center"/>
          </w:tcPr>
          <w:p w14:paraId="3999060E"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China (64%)</w:t>
            </w:r>
          </w:p>
        </w:tc>
        <w:tc>
          <w:tcPr>
            <w:tcW w:w="1275" w:type="dxa"/>
            <w:noWrap/>
            <w:vAlign w:val="center"/>
          </w:tcPr>
          <w:p w14:paraId="3E8A0AAC"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0%</w:t>
            </w:r>
          </w:p>
        </w:tc>
        <w:tc>
          <w:tcPr>
            <w:tcW w:w="1276" w:type="dxa"/>
            <w:vMerge/>
            <w:vAlign w:val="center"/>
          </w:tcPr>
          <w:p w14:paraId="50C83C2E" w14:textId="77777777" w:rsidR="00250E9B" w:rsidRPr="004010B1" w:rsidRDefault="00250E9B">
            <w:pPr>
              <w:jc w:val="center"/>
              <w:rPr>
                <w:rFonts w:eastAsia="Aptos"/>
                <w:color w:val="0E2841"/>
                <w:kern w:val="2"/>
                <w:sz w:val="18"/>
                <w:szCs w:val="18"/>
              </w:rPr>
            </w:pPr>
          </w:p>
        </w:tc>
      </w:tr>
      <w:tr w:rsidR="00250E9B" w:rsidRPr="004010B1" w14:paraId="7F4A9117" w14:textId="77777777">
        <w:trPr>
          <w:trHeight w:val="315"/>
          <w:jc w:val="center"/>
        </w:trPr>
        <w:tc>
          <w:tcPr>
            <w:tcW w:w="846" w:type="dxa"/>
            <w:vAlign w:val="center"/>
          </w:tcPr>
          <w:p w14:paraId="6466FC01"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Ag</w:t>
            </w:r>
          </w:p>
        </w:tc>
        <w:tc>
          <w:tcPr>
            <w:tcW w:w="1701" w:type="dxa"/>
            <w:vAlign w:val="center"/>
          </w:tcPr>
          <w:p w14:paraId="5DDEAE98"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c-Si</w:t>
            </w:r>
          </w:p>
        </w:tc>
        <w:tc>
          <w:tcPr>
            <w:tcW w:w="1701" w:type="dxa"/>
            <w:vMerge w:val="restart"/>
            <w:vAlign w:val="center"/>
          </w:tcPr>
          <w:p w14:paraId="42DCDD34" w14:textId="77777777" w:rsidR="00250E9B" w:rsidRPr="004010B1" w:rsidRDefault="00250E9B">
            <w:pPr>
              <w:jc w:val="center"/>
              <w:rPr>
                <w:rFonts w:eastAsia="Aptos"/>
                <w:color w:val="0E2841"/>
                <w:kern w:val="2"/>
                <w:sz w:val="18"/>
                <w:szCs w:val="18"/>
              </w:rPr>
            </w:pPr>
          </w:p>
          <w:p w14:paraId="2E1EE185" w14:textId="77777777" w:rsidR="00250E9B" w:rsidRPr="004010B1" w:rsidRDefault="00250E9B">
            <w:pPr>
              <w:jc w:val="center"/>
              <w:rPr>
                <w:rFonts w:eastAsia="Aptos"/>
                <w:color w:val="0E2841"/>
                <w:kern w:val="2"/>
                <w:sz w:val="18"/>
                <w:szCs w:val="18"/>
              </w:rPr>
            </w:pPr>
          </w:p>
          <w:p w14:paraId="71BE65AF" w14:textId="77777777" w:rsidR="00250E9B" w:rsidRPr="004010B1" w:rsidRDefault="00250E9B">
            <w:pPr>
              <w:jc w:val="center"/>
              <w:rPr>
                <w:rFonts w:eastAsia="Aptos"/>
                <w:color w:val="0E2841"/>
                <w:kern w:val="2"/>
                <w:sz w:val="18"/>
                <w:szCs w:val="18"/>
              </w:rPr>
            </w:pPr>
          </w:p>
          <w:p w14:paraId="304FD785" w14:textId="77777777" w:rsidR="00250E9B" w:rsidRPr="004010B1" w:rsidRDefault="00250E9B">
            <w:pPr>
              <w:jc w:val="center"/>
              <w:rPr>
                <w:rFonts w:eastAsia="Aptos"/>
                <w:color w:val="0E2841"/>
                <w:kern w:val="2"/>
                <w:sz w:val="18"/>
                <w:szCs w:val="18"/>
              </w:rPr>
            </w:pPr>
          </w:p>
          <w:p w14:paraId="020BE75B" w14:textId="77777777" w:rsidR="00250E9B" w:rsidRPr="004010B1" w:rsidRDefault="00250E9B">
            <w:pPr>
              <w:jc w:val="center"/>
              <w:rPr>
                <w:rFonts w:eastAsia="Aptos"/>
                <w:color w:val="0E2841"/>
                <w:kern w:val="2"/>
                <w:sz w:val="18"/>
                <w:szCs w:val="18"/>
              </w:rPr>
            </w:pPr>
          </w:p>
          <w:p w14:paraId="1DB73FF7"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90% of the semiconductor wafers used to produce solar cells</w:t>
            </w:r>
          </w:p>
          <w:p w14:paraId="1A1D992A"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(China)</w:t>
            </w:r>
          </w:p>
          <w:p w14:paraId="7C898DBC" w14:textId="77777777" w:rsidR="00250E9B" w:rsidRPr="004010B1" w:rsidRDefault="00250E9B">
            <w:pPr>
              <w:jc w:val="center"/>
              <w:rPr>
                <w:rFonts w:eastAsia="Aptos"/>
                <w:color w:val="0E2841"/>
                <w:kern w:val="2"/>
                <w:sz w:val="18"/>
                <w:szCs w:val="18"/>
              </w:rPr>
            </w:pPr>
          </w:p>
          <w:p w14:paraId="440F6F51" w14:textId="2EE824A0" w:rsidR="00250E9B" w:rsidRPr="004010B1" w:rsidRDefault="00250E9B">
            <w:pPr>
              <w:jc w:val="center"/>
              <w:rPr>
                <w:rFonts w:eastAsia="Aptos"/>
                <w:color w:val="0E2841"/>
                <w:kern w:val="2"/>
                <w:sz w:val="18"/>
                <w:szCs w:val="18"/>
              </w:rPr>
            </w:pPr>
            <w:r w:rsidRPr="004010B1">
              <w:rPr>
                <w:rFonts w:eastAsia="Aptos"/>
                <w:color w:val="0E2841"/>
                <w:kern w:val="2"/>
                <w:sz w:val="18"/>
                <w:szCs w:val="18"/>
              </w:rPr>
              <w:fldChar w:fldCharType="begin"/>
            </w:r>
            <w:r w:rsidR="003527DD">
              <w:rPr>
                <w:rFonts w:eastAsia="Aptos"/>
                <w:color w:val="0E2841"/>
                <w:kern w:val="2"/>
                <w:sz w:val="18"/>
                <w:szCs w:val="18"/>
              </w:rPr>
              <w:instrText xml:space="preserve"> ADDIN ZOTERO_ITEM CSL_CITATION {"citationID":"QgtNQ4vJ","properties":{"formattedCitation":"(Bordoff &amp; O\\uc0\\u8217{}Sullivan Meghan, 2022)","plainCitation":"(Bordoff &amp; O’Sullivan Meghan, 2022)","noteIndex":0},"citationItems":[{"id":16764,"uris":["http://zotero.org/groups/5509458/items/JNN6VII7"],"itemData":{"id":16764,"type":"report","collection-title":"Foreign Aff. 101, 68","title":"Green upheaval: the new geopolitics of energy","author":[{"family":"Bordoff","given":"J"},{"family":"O’Sullivan Meghan","given":"L"}],"issued":{"date-parts":[["2022"]]}}}],"schema":"https://github.com/citation-style-language/schema/raw/master/csl-citation.json"} </w:instrText>
            </w:r>
            <w:r w:rsidRPr="004010B1">
              <w:rPr>
                <w:rFonts w:eastAsia="Aptos"/>
                <w:color w:val="0E2841"/>
                <w:kern w:val="2"/>
                <w:sz w:val="18"/>
                <w:szCs w:val="18"/>
              </w:rPr>
              <w:fldChar w:fldCharType="separate"/>
            </w:r>
            <w:r w:rsidR="00120433" w:rsidRPr="003527DD">
              <w:rPr>
                <w:color w:val="008080"/>
                <w:sz w:val="18"/>
                <w:szCs w:val="24"/>
                <w:lang w:val="en-GB" w:eastAsia="en-GB"/>
              </w:rPr>
              <w:t>(Bordoff &amp; O’Sullivan Meghan, 2022)</w:t>
            </w:r>
            <w:r w:rsidRPr="004010B1">
              <w:rPr>
                <w:rFonts w:eastAsia="Aptos"/>
                <w:color w:val="0E2841"/>
                <w:kern w:val="2"/>
                <w:sz w:val="18"/>
                <w:szCs w:val="18"/>
              </w:rPr>
              <w:fldChar w:fldCharType="end"/>
            </w:r>
          </w:p>
          <w:p w14:paraId="1F2E4062" w14:textId="77777777" w:rsidR="00250E9B" w:rsidRPr="004010B1" w:rsidRDefault="00250E9B">
            <w:pPr>
              <w:jc w:val="center"/>
              <w:rPr>
                <w:rFonts w:eastAsia="Aptos"/>
                <w:color w:val="0E2841"/>
                <w:kern w:val="2"/>
                <w:sz w:val="18"/>
                <w:szCs w:val="18"/>
              </w:rPr>
            </w:pPr>
          </w:p>
        </w:tc>
        <w:tc>
          <w:tcPr>
            <w:tcW w:w="1716" w:type="dxa"/>
            <w:noWrap/>
            <w:vAlign w:val="center"/>
            <w:hideMark/>
          </w:tcPr>
          <w:p w14:paraId="4C68ADCB"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Lead-zinc, copper, gold</w:t>
            </w:r>
          </w:p>
        </w:tc>
        <w:tc>
          <w:tcPr>
            <w:tcW w:w="987" w:type="dxa"/>
            <w:noWrap/>
            <w:vAlign w:val="center"/>
            <w:hideMark/>
          </w:tcPr>
          <w:p w14:paraId="66E01571"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24% (Mexico)</w:t>
            </w:r>
          </w:p>
        </w:tc>
        <w:tc>
          <w:tcPr>
            <w:tcW w:w="1134" w:type="dxa"/>
            <w:noWrap/>
            <w:vAlign w:val="center"/>
            <w:hideMark/>
          </w:tcPr>
          <w:p w14:paraId="3DA381F1"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~0%</w:t>
            </w:r>
          </w:p>
        </w:tc>
        <w:tc>
          <w:tcPr>
            <w:tcW w:w="1276" w:type="dxa"/>
            <w:noWrap/>
            <w:vAlign w:val="center"/>
            <w:hideMark/>
          </w:tcPr>
          <w:p w14:paraId="44BCD7FD"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Medium</w:t>
            </w:r>
          </w:p>
        </w:tc>
        <w:tc>
          <w:tcPr>
            <w:tcW w:w="992" w:type="dxa"/>
            <w:noWrap/>
            <w:vAlign w:val="center"/>
            <w:hideMark/>
          </w:tcPr>
          <w:p w14:paraId="1BB6CBCB"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5%</w:t>
            </w:r>
          </w:p>
        </w:tc>
        <w:tc>
          <w:tcPr>
            <w:tcW w:w="1408" w:type="dxa"/>
            <w:vAlign w:val="center"/>
            <w:hideMark/>
          </w:tcPr>
          <w:p w14:paraId="4EB4FE24"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Poland (62%)</w:t>
            </w:r>
          </w:p>
        </w:tc>
        <w:tc>
          <w:tcPr>
            <w:tcW w:w="1275" w:type="dxa"/>
            <w:noWrap/>
            <w:vAlign w:val="center"/>
            <w:hideMark/>
          </w:tcPr>
          <w:p w14:paraId="10868B4A"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8%</w:t>
            </w:r>
          </w:p>
        </w:tc>
        <w:tc>
          <w:tcPr>
            <w:tcW w:w="1276" w:type="dxa"/>
            <w:vAlign w:val="center"/>
          </w:tcPr>
          <w:p w14:paraId="149A520E"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16% (B)</w:t>
            </w:r>
          </w:p>
        </w:tc>
      </w:tr>
      <w:tr w:rsidR="00250E9B" w:rsidRPr="004010B1" w14:paraId="45E9F79D" w14:textId="77777777">
        <w:trPr>
          <w:trHeight w:val="383"/>
          <w:jc w:val="center"/>
        </w:trPr>
        <w:tc>
          <w:tcPr>
            <w:tcW w:w="846" w:type="dxa"/>
            <w:vAlign w:val="center"/>
          </w:tcPr>
          <w:p w14:paraId="6AAD0D6C"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Cd</w:t>
            </w:r>
          </w:p>
        </w:tc>
        <w:tc>
          <w:tcPr>
            <w:tcW w:w="1701" w:type="dxa"/>
            <w:vMerge w:val="restart"/>
            <w:vAlign w:val="center"/>
          </w:tcPr>
          <w:p w14:paraId="0BE8E1FF" w14:textId="77777777" w:rsidR="00250E9B" w:rsidRPr="004010B1" w:rsidRDefault="00250E9B">
            <w:pPr>
              <w:jc w:val="center"/>
              <w:rPr>
                <w:rFonts w:eastAsia="Aptos"/>
                <w:color w:val="0E2841"/>
                <w:kern w:val="2"/>
                <w:sz w:val="18"/>
                <w:szCs w:val="18"/>
              </w:rPr>
            </w:pPr>
          </w:p>
          <w:p w14:paraId="0032AD7C" w14:textId="77777777" w:rsidR="00250E9B" w:rsidRPr="004010B1" w:rsidRDefault="00250E9B">
            <w:pPr>
              <w:jc w:val="center"/>
              <w:rPr>
                <w:rFonts w:eastAsia="Aptos"/>
                <w:color w:val="0E2841"/>
                <w:kern w:val="2"/>
                <w:sz w:val="18"/>
                <w:szCs w:val="18"/>
              </w:rPr>
            </w:pPr>
          </w:p>
          <w:p w14:paraId="33362A37" w14:textId="77777777" w:rsidR="00250E9B" w:rsidRPr="004010B1" w:rsidRDefault="00250E9B">
            <w:pPr>
              <w:jc w:val="center"/>
              <w:rPr>
                <w:rFonts w:eastAsia="Aptos"/>
                <w:color w:val="0E2841"/>
                <w:kern w:val="2"/>
                <w:sz w:val="18"/>
                <w:szCs w:val="18"/>
              </w:rPr>
            </w:pPr>
          </w:p>
          <w:p w14:paraId="3FFE545A" w14:textId="77777777" w:rsidR="00250E9B" w:rsidRPr="004010B1" w:rsidRDefault="00250E9B">
            <w:pPr>
              <w:jc w:val="center"/>
              <w:rPr>
                <w:rFonts w:eastAsia="Aptos"/>
                <w:color w:val="0E2841"/>
                <w:kern w:val="2"/>
                <w:sz w:val="18"/>
                <w:szCs w:val="18"/>
              </w:rPr>
            </w:pPr>
            <w:proofErr w:type="spellStart"/>
            <w:r w:rsidRPr="004010B1">
              <w:rPr>
                <w:rFonts w:eastAsia="Aptos"/>
                <w:color w:val="0E2841"/>
                <w:kern w:val="2"/>
                <w:sz w:val="18"/>
                <w:szCs w:val="18"/>
              </w:rPr>
              <w:t>CdTe</w:t>
            </w:r>
            <w:proofErr w:type="spellEnd"/>
          </w:p>
        </w:tc>
        <w:tc>
          <w:tcPr>
            <w:tcW w:w="1701" w:type="dxa"/>
            <w:vMerge/>
            <w:vAlign w:val="center"/>
          </w:tcPr>
          <w:p w14:paraId="1AF6D6CA" w14:textId="77777777" w:rsidR="00250E9B" w:rsidRPr="004010B1" w:rsidRDefault="00250E9B">
            <w:pPr>
              <w:jc w:val="center"/>
              <w:rPr>
                <w:rFonts w:eastAsia="Aptos"/>
                <w:color w:val="0E2841"/>
                <w:kern w:val="2"/>
                <w:sz w:val="18"/>
                <w:szCs w:val="18"/>
              </w:rPr>
            </w:pPr>
          </w:p>
        </w:tc>
        <w:tc>
          <w:tcPr>
            <w:tcW w:w="1716" w:type="dxa"/>
            <w:noWrap/>
            <w:vAlign w:val="center"/>
            <w:hideMark/>
          </w:tcPr>
          <w:p w14:paraId="0A9AD1E9"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Zinc</w:t>
            </w:r>
          </w:p>
        </w:tc>
        <w:tc>
          <w:tcPr>
            <w:tcW w:w="987" w:type="dxa"/>
            <w:noWrap/>
            <w:vAlign w:val="center"/>
            <w:hideMark/>
          </w:tcPr>
          <w:p w14:paraId="707398E8"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42% (China)</w:t>
            </w:r>
          </w:p>
        </w:tc>
        <w:tc>
          <w:tcPr>
            <w:tcW w:w="1134" w:type="dxa"/>
            <w:noWrap/>
            <w:vAlign w:val="center"/>
            <w:hideMark/>
          </w:tcPr>
          <w:p w14:paraId="1DBDDE24"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77%</w:t>
            </w:r>
          </w:p>
        </w:tc>
        <w:tc>
          <w:tcPr>
            <w:tcW w:w="1276" w:type="dxa"/>
            <w:noWrap/>
            <w:vAlign w:val="center"/>
            <w:hideMark/>
          </w:tcPr>
          <w:p w14:paraId="17FFC740"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Low</w:t>
            </w:r>
          </w:p>
        </w:tc>
        <w:tc>
          <w:tcPr>
            <w:tcW w:w="992" w:type="dxa"/>
            <w:noWrap/>
            <w:vAlign w:val="center"/>
            <w:hideMark/>
          </w:tcPr>
          <w:p w14:paraId="4A8B9041"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8%</w:t>
            </w:r>
          </w:p>
        </w:tc>
        <w:tc>
          <w:tcPr>
            <w:tcW w:w="1408" w:type="dxa"/>
            <w:vAlign w:val="center"/>
            <w:hideMark/>
          </w:tcPr>
          <w:p w14:paraId="6729FBAE"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The Netherlands (24%)</w:t>
            </w:r>
          </w:p>
        </w:tc>
        <w:tc>
          <w:tcPr>
            <w:tcW w:w="1275" w:type="dxa"/>
            <w:noWrap/>
            <w:vAlign w:val="center"/>
            <w:hideMark/>
          </w:tcPr>
          <w:p w14:paraId="50A93BE5"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8%</w:t>
            </w:r>
          </w:p>
        </w:tc>
        <w:tc>
          <w:tcPr>
            <w:tcW w:w="1276" w:type="dxa"/>
            <w:vAlign w:val="center"/>
          </w:tcPr>
          <w:p w14:paraId="076B996F" w14:textId="77777777" w:rsidR="00250E9B" w:rsidRPr="004010B1" w:rsidRDefault="00250E9B">
            <w:pPr>
              <w:jc w:val="center"/>
              <w:rPr>
                <w:rFonts w:eastAsia="Aptos"/>
                <w:color w:val="0E2841"/>
                <w:kern w:val="2"/>
                <w:sz w:val="18"/>
                <w:szCs w:val="18"/>
                <w:vertAlign w:val="superscript"/>
              </w:rPr>
            </w:pPr>
            <w:r w:rsidRPr="004010B1">
              <w:rPr>
                <w:rFonts w:eastAsia="Aptos"/>
                <w:color w:val="0E2841"/>
                <w:kern w:val="2"/>
                <w:sz w:val="18"/>
                <w:szCs w:val="18"/>
              </w:rPr>
              <w:t>0.03 (B)</w:t>
            </w:r>
            <w:r w:rsidRPr="004010B1">
              <w:rPr>
                <w:rFonts w:eastAsia="Aptos"/>
                <w:color w:val="0E2841"/>
                <w:kern w:val="2"/>
                <w:sz w:val="18"/>
                <w:szCs w:val="18"/>
                <w:vertAlign w:val="superscript"/>
              </w:rPr>
              <w:t>e</w:t>
            </w:r>
          </w:p>
        </w:tc>
      </w:tr>
      <w:tr w:rsidR="00250E9B" w:rsidRPr="004010B1" w14:paraId="4FFA7DBD" w14:textId="77777777">
        <w:trPr>
          <w:trHeight w:val="463"/>
          <w:jc w:val="center"/>
        </w:trPr>
        <w:tc>
          <w:tcPr>
            <w:tcW w:w="846" w:type="dxa"/>
            <w:vAlign w:val="center"/>
          </w:tcPr>
          <w:p w14:paraId="3BCD1608" w14:textId="77777777" w:rsidR="00250E9B" w:rsidRPr="004010B1" w:rsidRDefault="00250E9B">
            <w:pPr>
              <w:jc w:val="center"/>
              <w:rPr>
                <w:rFonts w:eastAsia="Aptos"/>
                <w:color w:val="0E2841"/>
                <w:kern w:val="2"/>
                <w:sz w:val="18"/>
                <w:szCs w:val="18"/>
              </w:rPr>
            </w:pPr>
            <w:proofErr w:type="spellStart"/>
            <w:r w:rsidRPr="004010B1">
              <w:rPr>
                <w:rFonts w:eastAsia="Aptos"/>
                <w:color w:val="0E2841"/>
                <w:kern w:val="2"/>
                <w:sz w:val="18"/>
                <w:szCs w:val="18"/>
              </w:rPr>
              <w:t>Te</w:t>
            </w:r>
            <w:proofErr w:type="spellEnd"/>
          </w:p>
        </w:tc>
        <w:tc>
          <w:tcPr>
            <w:tcW w:w="1701" w:type="dxa"/>
            <w:vMerge/>
            <w:vAlign w:val="center"/>
          </w:tcPr>
          <w:p w14:paraId="45D2FC22" w14:textId="77777777" w:rsidR="00250E9B" w:rsidRPr="004010B1" w:rsidRDefault="00250E9B">
            <w:pPr>
              <w:jc w:val="center"/>
              <w:rPr>
                <w:rFonts w:eastAsia="Aptos"/>
                <w:color w:val="0E2841"/>
                <w:kern w:val="2"/>
                <w:sz w:val="18"/>
                <w:szCs w:val="18"/>
              </w:rPr>
            </w:pPr>
          </w:p>
        </w:tc>
        <w:tc>
          <w:tcPr>
            <w:tcW w:w="1701" w:type="dxa"/>
            <w:vMerge/>
            <w:vAlign w:val="center"/>
          </w:tcPr>
          <w:p w14:paraId="4A1F8C47" w14:textId="77777777" w:rsidR="00250E9B" w:rsidRPr="004010B1" w:rsidRDefault="00250E9B">
            <w:pPr>
              <w:jc w:val="center"/>
              <w:rPr>
                <w:rFonts w:eastAsia="Aptos"/>
                <w:color w:val="0E2841"/>
                <w:kern w:val="2"/>
                <w:sz w:val="18"/>
                <w:szCs w:val="18"/>
              </w:rPr>
            </w:pPr>
          </w:p>
        </w:tc>
        <w:tc>
          <w:tcPr>
            <w:tcW w:w="1716" w:type="dxa"/>
            <w:noWrap/>
            <w:vAlign w:val="center"/>
            <w:hideMark/>
          </w:tcPr>
          <w:p w14:paraId="37555729"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Copper</w:t>
            </w:r>
          </w:p>
        </w:tc>
        <w:tc>
          <w:tcPr>
            <w:tcW w:w="987" w:type="dxa"/>
            <w:noWrap/>
            <w:vAlign w:val="center"/>
            <w:hideMark/>
          </w:tcPr>
          <w:p w14:paraId="5FFD91CA"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53% (China)</w:t>
            </w:r>
          </w:p>
        </w:tc>
        <w:tc>
          <w:tcPr>
            <w:tcW w:w="1134" w:type="dxa"/>
            <w:noWrap/>
            <w:vAlign w:val="center"/>
            <w:hideMark/>
          </w:tcPr>
          <w:p w14:paraId="1DCEE0AE"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77%</w:t>
            </w:r>
          </w:p>
        </w:tc>
        <w:tc>
          <w:tcPr>
            <w:tcW w:w="1276" w:type="dxa"/>
            <w:noWrap/>
            <w:vAlign w:val="center"/>
            <w:hideMark/>
          </w:tcPr>
          <w:p w14:paraId="248E3513"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Low</w:t>
            </w:r>
          </w:p>
        </w:tc>
        <w:tc>
          <w:tcPr>
            <w:tcW w:w="992" w:type="dxa"/>
            <w:noWrap/>
            <w:vAlign w:val="center"/>
            <w:hideMark/>
          </w:tcPr>
          <w:p w14:paraId="7E96E6C6"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0%</w:t>
            </w:r>
          </w:p>
        </w:tc>
        <w:tc>
          <w:tcPr>
            <w:tcW w:w="1408" w:type="dxa"/>
            <w:vAlign w:val="center"/>
            <w:hideMark/>
          </w:tcPr>
          <w:p w14:paraId="7E204811"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Canada (27%)</w:t>
            </w:r>
          </w:p>
        </w:tc>
        <w:tc>
          <w:tcPr>
            <w:tcW w:w="1275" w:type="dxa"/>
            <w:noWrap/>
            <w:vAlign w:val="center"/>
            <w:hideMark/>
          </w:tcPr>
          <w:p w14:paraId="3779A40B"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12%</w:t>
            </w:r>
          </w:p>
        </w:tc>
        <w:tc>
          <w:tcPr>
            <w:tcW w:w="1276" w:type="dxa"/>
            <w:vAlign w:val="center"/>
          </w:tcPr>
          <w:p w14:paraId="50971B2D"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3.1% (P)</w:t>
            </w:r>
          </w:p>
        </w:tc>
      </w:tr>
      <w:tr w:rsidR="00250E9B" w:rsidRPr="004010B1" w14:paraId="4F79D421" w14:textId="77777777">
        <w:trPr>
          <w:trHeight w:val="403"/>
          <w:jc w:val="center"/>
        </w:trPr>
        <w:tc>
          <w:tcPr>
            <w:tcW w:w="846" w:type="dxa"/>
            <w:vAlign w:val="center"/>
          </w:tcPr>
          <w:p w14:paraId="57B6A72E"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Ge</w:t>
            </w:r>
          </w:p>
        </w:tc>
        <w:tc>
          <w:tcPr>
            <w:tcW w:w="1701" w:type="dxa"/>
            <w:vAlign w:val="center"/>
          </w:tcPr>
          <w:p w14:paraId="153882A7"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a-Si</w:t>
            </w:r>
          </w:p>
        </w:tc>
        <w:tc>
          <w:tcPr>
            <w:tcW w:w="1701" w:type="dxa"/>
            <w:vMerge/>
            <w:vAlign w:val="center"/>
          </w:tcPr>
          <w:p w14:paraId="33F90C92" w14:textId="77777777" w:rsidR="00250E9B" w:rsidRPr="004010B1" w:rsidRDefault="00250E9B">
            <w:pPr>
              <w:jc w:val="center"/>
              <w:rPr>
                <w:rFonts w:eastAsia="Aptos"/>
                <w:color w:val="0E2841"/>
                <w:kern w:val="2"/>
                <w:sz w:val="18"/>
                <w:szCs w:val="18"/>
              </w:rPr>
            </w:pPr>
          </w:p>
        </w:tc>
        <w:tc>
          <w:tcPr>
            <w:tcW w:w="1716" w:type="dxa"/>
            <w:noWrap/>
            <w:vAlign w:val="center"/>
            <w:hideMark/>
          </w:tcPr>
          <w:p w14:paraId="746416F3"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Zinc, coal fly ash</w:t>
            </w:r>
          </w:p>
        </w:tc>
        <w:tc>
          <w:tcPr>
            <w:tcW w:w="987" w:type="dxa"/>
            <w:noWrap/>
            <w:vAlign w:val="center"/>
            <w:hideMark/>
          </w:tcPr>
          <w:p w14:paraId="3ED16748"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74% (China)</w:t>
            </w:r>
          </w:p>
        </w:tc>
        <w:tc>
          <w:tcPr>
            <w:tcW w:w="1134" w:type="dxa"/>
            <w:noWrap/>
            <w:vAlign w:val="center"/>
            <w:hideMark/>
          </w:tcPr>
          <w:p w14:paraId="02740A81"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~0%</w:t>
            </w:r>
          </w:p>
        </w:tc>
        <w:tc>
          <w:tcPr>
            <w:tcW w:w="1276" w:type="dxa"/>
            <w:noWrap/>
            <w:vAlign w:val="center"/>
            <w:hideMark/>
          </w:tcPr>
          <w:p w14:paraId="38C3A612"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Low</w:t>
            </w:r>
          </w:p>
        </w:tc>
        <w:tc>
          <w:tcPr>
            <w:tcW w:w="992" w:type="dxa"/>
            <w:noWrap/>
            <w:vAlign w:val="center"/>
            <w:hideMark/>
          </w:tcPr>
          <w:p w14:paraId="44C6C4A7"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42%</w:t>
            </w:r>
          </w:p>
        </w:tc>
        <w:tc>
          <w:tcPr>
            <w:tcW w:w="1408" w:type="dxa"/>
            <w:vAlign w:val="center"/>
            <w:hideMark/>
          </w:tcPr>
          <w:p w14:paraId="1873096C"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China (45%)</w:t>
            </w:r>
          </w:p>
        </w:tc>
        <w:tc>
          <w:tcPr>
            <w:tcW w:w="1275" w:type="dxa"/>
            <w:noWrap/>
            <w:vAlign w:val="center"/>
            <w:hideMark/>
          </w:tcPr>
          <w:p w14:paraId="103D240B"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5%</w:t>
            </w:r>
          </w:p>
        </w:tc>
        <w:tc>
          <w:tcPr>
            <w:tcW w:w="1276" w:type="dxa"/>
            <w:vAlign w:val="center"/>
          </w:tcPr>
          <w:p w14:paraId="149C6921"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No significant reserves</w:t>
            </w:r>
          </w:p>
        </w:tc>
      </w:tr>
      <w:tr w:rsidR="00250E9B" w:rsidRPr="004010B1" w14:paraId="225589AC" w14:textId="77777777">
        <w:trPr>
          <w:trHeight w:val="488"/>
          <w:jc w:val="center"/>
        </w:trPr>
        <w:tc>
          <w:tcPr>
            <w:tcW w:w="846" w:type="dxa"/>
            <w:vAlign w:val="center"/>
          </w:tcPr>
          <w:p w14:paraId="0FCBD839"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In</w:t>
            </w:r>
          </w:p>
        </w:tc>
        <w:tc>
          <w:tcPr>
            <w:tcW w:w="1701" w:type="dxa"/>
            <w:vMerge w:val="restart"/>
            <w:vAlign w:val="center"/>
          </w:tcPr>
          <w:p w14:paraId="1A32BB35" w14:textId="77777777" w:rsidR="00250E9B" w:rsidRPr="004010B1" w:rsidRDefault="00250E9B">
            <w:pPr>
              <w:jc w:val="center"/>
              <w:rPr>
                <w:rFonts w:eastAsia="Aptos"/>
                <w:color w:val="0E2841"/>
                <w:kern w:val="2"/>
                <w:sz w:val="18"/>
                <w:szCs w:val="18"/>
              </w:rPr>
            </w:pPr>
          </w:p>
          <w:p w14:paraId="27449215" w14:textId="77777777" w:rsidR="00250E9B" w:rsidRPr="004010B1" w:rsidRDefault="00250E9B">
            <w:pPr>
              <w:jc w:val="center"/>
              <w:rPr>
                <w:rFonts w:eastAsia="Aptos"/>
                <w:color w:val="0E2841"/>
                <w:kern w:val="2"/>
                <w:sz w:val="18"/>
                <w:szCs w:val="18"/>
              </w:rPr>
            </w:pPr>
          </w:p>
          <w:p w14:paraId="0CA50174" w14:textId="77777777" w:rsidR="00250E9B" w:rsidRPr="004010B1" w:rsidRDefault="00250E9B">
            <w:pPr>
              <w:jc w:val="center"/>
              <w:rPr>
                <w:rFonts w:eastAsia="Aptos"/>
                <w:color w:val="0E2841"/>
                <w:kern w:val="2"/>
                <w:sz w:val="18"/>
                <w:szCs w:val="18"/>
              </w:rPr>
            </w:pPr>
          </w:p>
          <w:p w14:paraId="3135801B"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CIGS</w:t>
            </w:r>
          </w:p>
        </w:tc>
        <w:tc>
          <w:tcPr>
            <w:tcW w:w="1701" w:type="dxa"/>
            <w:vMerge/>
            <w:vAlign w:val="center"/>
          </w:tcPr>
          <w:p w14:paraId="6C8051CA" w14:textId="77777777" w:rsidR="00250E9B" w:rsidRPr="004010B1" w:rsidRDefault="00250E9B">
            <w:pPr>
              <w:jc w:val="center"/>
              <w:rPr>
                <w:rFonts w:eastAsia="Aptos"/>
                <w:color w:val="0E2841"/>
                <w:kern w:val="2"/>
                <w:sz w:val="18"/>
                <w:szCs w:val="18"/>
              </w:rPr>
            </w:pPr>
          </w:p>
        </w:tc>
        <w:tc>
          <w:tcPr>
            <w:tcW w:w="1716" w:type="dxa"/>
            <w:noWrap/>
            <w:vAlign w:val="center"/>
            <w:hideMark/>
          </w:tcPr>
          <w:p w14:paraId="11CEA540"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Zinc</w:t>
            </w:r>
          </w:p>
        </w:tc>
        <w:tc>
          <w:tcPr>
            <w:tcW w:w="987" w:type="dxa"/>
            <w:noWrap/>
            <w:vAlign w:val="center"/>
            <w:hideMark/>
          </w:tcPr>
          <w:p w14:paraId="3FA64D42"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59% (China)</w:t>
            </w:r>
          </w:p>
        </w:tc>
        <w:tc>
          <w:tcPr>
            <w:tcW w:w="1134" w:type="dxa"/>
            <w:noWrap/>
            <w:vAlign w:val="center"/>
            <w:hideMark/>
          </w:tcPr>
          <w:p w14:paraId="69EEC1FA"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~0%</w:t>
            </w:r>
          </w:p>
        </w:tc>
        <w:tc>
          <w:tcPr>
            <w:tcW w:w="1276" w:type="dxa"/>
            <w:noWrap/>
            <w:vAlign w:val="center"/>
            <w:hideMark/>
          </w:tcPr>
          <w:p w14:paraId="07948E55"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Low</w:t>
            </w:r>
          </w:p>
        </w:tc>
        <w:tc>
          <w:tcPr>
            <w:tcW w:w="992" w:type="dxa"/>
            <w:noWrap/>
            <w:vAlign w:val="center"/>
            <w:hideMark/>
          </w:tcPr>
          <w:p w14:paraId="692505AE"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11%</w:t>
            </w:r>
          </w:p>
        </w:tc>
        <w:tc>
          <w:tcPr>
            <w:tcW w:w="1408" w:type="dxa"/>
            <w:vAlign w:val="center"/>
            <w:hideMark/>
          </w:tcPr>
          <w:p w14:paraId="4C57C3E5"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France (38%)</w:t>
            </w:r>
          </w:p>
        </w:tc>
        <w:tc>
          <w:tcPr>
            <w:tcW w:w="1275" w:type="dxa"/>
            <w:noWrap/>
            <w:vAlign w:val="center"/>
            <w:hideMark/>
          </w:tcPr>
          <w:p w14:paraId="5E03004E"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7%</w:t>
            </w:r>
          </w:p>
        </w:tc>
        <w:tc>
          <w:tcPr>
            <w:tcW w:w="1276" w:type="dxa"/>
            <w:vAlign w:val="center"/>
          </w:tcPr>
          <w:p w14:paraId="342FA18E"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No significant reserves</w:t>
            </w:r>
          </w:p>
        </w:tc>
      </w:tr>
      <w:tr w:rsidR="00250E9B" w:rsidRPr="004010B1" w14:paraId="0C920762" w14:textId="77777777">
        <w:trPr>
          <w:trHeight w:val="454"/>
          <w:jc w:val="center"/>
        </w:trPr>
        <w:tc>
          <w:tcPr>
            <w:tcW w:w="846" w:type="dxa"/>
            <w:vAlign w:val="center"/>
          </w:tcPr>
          <w:p w14:paraId="468F5118"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Ga</w:t>
            </w:r>
          </w:p>
        </w:tc>
        <w:tc>
          <w:tcPr>
            <w:tcW w:w="1701" w:type="dxa"/>
            <w:vMerge/>
            <w:vAlign w:val="center"/>
          </w:tcPr>
          <w:p w14:paraId="0326D5BF" w14:textId="77777777" w:rsidR="00250E9B" w:rsidRPr="004010B1" w:rsidRDefault="00250E9B">
            <w:pPr>
              <w:jc w:val="center"/>
              <w:rPr>
                <w:rFonts w:eastAsia="Aptos"/>
                <w:color w:val="0E2841"/>
                <w:kern w:val="2"/>
                <w:sz w:val="18"/>
                <w:szCs w:val="18"/>
              </w:rPr>
            </w:pPr>
          </w:p>
        </w:tc>
        <w:tc>
          <w:tcPr>
            <w:tcW w:w="1701" w:type="dxa"/>
            <w:vMerge/>
            <w:vAlign w:val="center"/>
          </w:tcPr>
          <w:p w14:paraId="03E2B391" w14:textId="77777777" w:rsidR="00250E9B" w:rsidRPr="004010B1" w:rsidRDefault="00250E9B">
            <w:pPr>
              <w:jc w:val="center"/>
              <w:rPr>
                <w:rFonts w:eastAsia="Aptos"/>
                <w:color w:val="0E2841"/>
                <w:kern w:val="2"/>
                <w:sz w:val="18"/>
                <w:szCs w:val="18"/>
              </w:rPr>
            </w:pPr>
          </w:p>
        </w:tc>
        <w:tc>
          <w:tcPr>
            <w:tcW w:w="1716" w:type="dxa"/>
            <w:noWrap/>
            <w:vAlign w:val="center"/>
            <w:hideMark/>
          </w:tcPr>
          <w:p w14:paraId="2B0F777A"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Bauxite, zinc</w:t>
            </w:r>
          </w:p>
        </w:tc>
        <w:tc>
          <w:tcPr>
            <w:tcW w:w="987" w:type="dxa"/>
            <w:noWrap/>
            <w:vAlign w:val="center"/>
            <w:hideMark/>
          </w:tcPr>
          <w:p w14:paraId="0B675DD4"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98% (China)</w:t>
            </w:r>
          </w:p>
        </w:tc>
        <w:tc>
          <w:tcPr>
            <w:tcW w:w="1134" w:type="dxa"/>
            <w:noWrap/>
            <w:vAlign w:val="center"/>
            <w:hideMark/>
          </w:tcPr>
          <w:p w14:paraId="1787426E"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~0%</w:t>
            </w:r>
          </w:p>
        </w:tc>
        <w:tc>
          <w:tcPr>
            <w:tcW w:w="1276" w:type="dxa"/>
            <w:noWrap/>
            <w:vAlign w:val="center"/>
            <w:hideMark/>
          </w:tcPr>
          <w:p w14:paraId="3B0C3ED4"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Low</w:t>
            </w:r>
          </w:p>
        </w:tc>
        <w:tc>
          <w:tcPr>
            <w:tcW w:w="992" w:type="dxa"/>
            <w:noWrap/>
            <w:vAlign w:val="center"/>
            <w:hideMark/>
          </w:tcPr>
          <w:p w14:paraId="5FD32A6F"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98%</w:t>
            </w:r>
          </w:p>
        </w:tc>
        <w:tc>
          <w:tcPr>
            <w:tcW w:w="1408" w:type="dxa"/>
            <w:vAlign w:val="center"/>
            <w:hideMark/>
          </w:tcPr>
          <w:p w14:paraId="430FDD8F"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China (69%)</w:t>
            </w:r>
          </w:p>
        </w:tc>
        <w:tc>
          <w:tcPr>
            <w:tcW w:w="1275" w:type="dxa"/>
            <w:noWrap/>
            <w:vAlign w:val="center"/>
            <w:hideMark/>
          </w:tcPr>
          <w:p w14:paraId="52B38CBE"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0%</w:t>
            </w:r>
          </w:p>
        </w:tc>
        <w:tc>
          <w:tcPr>
            <w:tcW w:w="1276" w:type="dxa"/>
            <w:vAlign w:val="center"/>
          </w:tcPr>
          <w:p w14:paraId="4D2B2E0A"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No significant reserves</w:t>
            </w:r>
          </w:p>
        </w:tc>
      </w:tr>
      <w:tr w:rsidR="00250E9B" w:rsidRPr="004010B1" w14:paraId="53171DC0" w14:textId="77777777">
        <w:trPr>
          <w:trHeight w:val="406"/>
          <w:jc w:val="center"/>
        </w:trPr>
        <w:tc>
          <w:tcPr>
            <w:tcW w:w="846" w:type="dxa"/>
            <w:vAlign w:val="center"/>
          </w:tcPr>
          <w:p w14:paraId="5931F498"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Se</w:t>
            </w:r>
          </w:p>
        </w:tc>
        <w:tc>
          <w:tcPr>
            <w:tcW w:w="1701" w:type="dxa"/>
            <w:vMerge/>
            <w:vAlign w:val="center"/>
          </w:tcPr>
          <w:p w14:paraId="6C815BAF" w14:textId="77777777" w:rsidR="00250E9B" w:rsidRPr="004010B1" w:rsidRDefault="00250E9B">
            <w:pPr>
              <w:jc w:val="center"/>
              <w:rPr>
                <w:rFonts w:eastAsia="Aptos"/>
                <w:color w:val="0E2841"/>
                <w:kern w:val="2"/>
                <w:sz w:val="18"/>
                <w:szCs w:val="18"/>
              </w:rPr>
            </w:pPr>
          </w:p>
        </w:tc>
        <w:tc>
          <w:tcPr>
            <w:tcW w:w="1701" w:type="dxa"/>
            <w:vMerge/>
            <w:vAlign w:val="center"/>
          </w:tcPr>
          <w:p w14:paraId="39A73B11" w14:textId="77777777" w:rsidR="00250E9B" w:rsidRPr="004010B1" w:rsidRDefault="00250E9B">
            <w:pPr>
              <w:jc w:val="center"/>
              <w:rPr>
                <w:rFonts w:eastAsia="Aptos"/>
                <w:color w:val="0E2841"/>
                <w:kern w:val="2"/>
                <w:sz w:val="18"/>
                <w:szCs w:val="18"/>
              </w:rPr>
            </w:pPr>
          </w:p>
        </w:tc>
        <w:tc>
          <w:tcPr>
            <w:tcW w:w="1716" w:type="dxa"/>
            <w:noWrap/>
            <w:vAlign w:val="center"/>
            <w:hideMark/>
          </w:tcPr>
          <w:p w14:paraId="5F91C3A1"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Copper</w:t>
            </w:r>
          </w:p>
        </w:tc>
        <w:tc>
          <w:tcPr>
            <w:tcW w:w="987" w:type="dxa"/>
            <w:noWrap/>
            <w:vAlign w:val="center"/>
            <w:hideMark/>
          </w:tcPr>
          <w:p w14:paraId="760AEA20"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41% (China)</w:t>
            </w:r>
          </w:p>
        </w:tc>
        <w:tc>
          <w:tcPr>
            <w:tcW w:w="1134" w:type="dxa"/>
            <w:noWrap/>
            <w:vAlign w:val="center"/>
            <w:hideMark/>
          </w:tcPr>
          <w:p w14:paraId="1BC4CA62"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~0%</w:t>
            </w:r>
          </w:p>
        </w:tc>
        <w:tc>
          <w:tcPr>
            <w:tcW w:w="1276" w:type="dxa"/>
            <w:noWrap/>
            <w:vAlign w:val="center"/>
            <w:hideMark/>
          </w:tcPr>
          <w:p w14:paraId="6794D5B6"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Low</w:t>
            </w:r>
          </w:p>
        </w:tc>
        <w:tc>
          <w:tcPr>
            <w:tcW w:w="992" w:type="dxa"/>
            <w:noWrap/>
            <w:vAlign w:val="center"/>
            <w:hideMark/>
          </w:tcPr>
          <w:p w14:paraId="53D7853A"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2%</w:t>
            </w:r>
          </w:p>
        </w:tc>
        <w:tc>
          <w:tcPr>
            <w:tcW w:w="1408" w:type="dxa"/>
            <w:vAlign w:val="center"/>
            <w:hideMark/>
          </w:tcPr>
          <w:p w14:paraId="0E1EE14F"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Denmark (34%)</w:t>
            </w:r>
          </w:p>
        </w:tc>
        <w:tc>
          <w:tcPr>
            <w:tcW w:w="1275" w:type="dxa"/>
            <w:noWrap/>
            <w:vAlign w:val="center"/>
            <w:hideMark/>
          </w:tcPr>
          <w:p w14:paraId="51B64201"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20%</w:t>
            </w:r>
          </w:p>
        </w:tc>
        <w:tc>
          <w:tcPr>
            <w:tcW w:w="1276" w:type="dxa"/>
            <w:vAlign w:val="center"/>
          </w:tcPr>
          <w:p w14:paraId="580F03F1" w14:textId="77777777" w:rsidR="00250E9B" w:rsidRPr="004010B1" w:rsidRDefault="00250E9B">
            <w:pPr>
              <w:jc w:val="center"/>
              <w:rPr>
                <w:rFonts w:eastAsia="Aptos"/>
                <w:color w:val="0E2841"/>
                <w:kern w:val="2"/>
                <w:sz w:val="18"/>
                <w:szCs w:val="18"/>
              </w:rPr>
            </w:pPr>
            <w:r w:rsidRPr="004010B1">
              <w:rPr>
                <w:rFonts w:eastAsia="Aptos"/>
                <w:color w:val="0E2841"/>
                <w:kern w:val="2"/>
                <w:sz w:val="18"/>
                <w:szCs w:val="18"/>
              </w:rPr>
              <w:t>4% (B)</w:t>
            </w:r>
          </w:p>
        </w:tc>
      </w:tr>
    </w:tbl>
    <w:p w14:paraId="38DD297D" w14:textId="5CEE1493" w:rsidR="00250E9B" w:rsidRPr="00421B5A" w:rsidRDefault="00250E9B" w:rsidP="00250E9B">
      <w:pPr>
        <w:jc w:val="both"/>
        <w:rPr>
          <w:i/>
          <w:sz w:val="18"/>
          <w:szCs w:val="18"/>
        </w:rPr>
      </w:pPr>
      <w:proofErr w:type="spellStart"/>
      <w:proofErr w:type="gramStart"/>
      <w:r w:rsidRPr="00421B5A">
        <w:rPr>
          <w:i/>
          <w:iCs/>
          <w:sz w:val="18"/>
          <w:szCs w:val="18"/>
          <w:vertAlign w:val="superscript"/>
        </w:rPr>
        <w:t>a</w:t>
      </w:r>
      <w:proofErr w:type="spellEnd"/>
      <w:proofErr w:type="gramEnd"/>
      <w:r w:rsidRPr="00421B5A">
        <w:rPr>
          <w:i/>
          <w:iCs/>
          <w:sz w:val="18"/>
          <w:szCs w:val="18"/>
          <w:vertAlign w:val="superscript"/>
        </w:rPr>
        <w:t xml:space="preserve"> </w:t>
      </w:r>
      <w:r w:rsidRPr="00421B5A">
        <w:rPr>
          <w:i/>
          <w:iCs/>
          <w:sz w:val="18"/>
          <w:szCs w:val="18"/>
        </w:rPr>
        <w:t xml:space="preserve">End-of-life recycling rate (the </w:t>
      </w:r>
      <w:r w:rsidRPr="00421B5A">
        <w:rPr>
          <w:i/>
          <w:sz w:val="18"/>
          <w:szCs w:val="18"/>
        </w:rPr>
        <w:t xml:space="preserve">proportion of a metal in waste flows that is recycled from solar PV and wind technologies). It represents the recyclability of metals within each technology. For instance, although silver’s total </w:t>
      </w:r>
      <w:proofErr w:type="spellStart"/>
      <w:r w:rsidRPr="00421B5A">
        <w:rPr>
          <w:i/>
          <w:sz w:val="18"/>
          <w:szCs w:val="18"/>
        </w:rPr>
        <w:t>EoL</w:t>
      </w:r>
      <w:proofErr w:type="spellEnd"/>
      <w:r w:rsidRPr="00421B5A">
        <w:rPr>
          <w:i/>
          <w:sz w:val="18"/>
          <w:szCs w:val="18"/>
        </w:rPr>
        <w:t xml:space="preserve">-RR recycling rate amounts to 35% </w:t>
      </w:r>
      <w:r w:rsidRPr="00421B5A">
        <w:rPr>
          <w:i/>
          <w:sz w:val="18"/>
          <w:szCs w:val="18"/>
        </w:rPr>
        <w:fldChar w:fldCharType="begin"/>
      </w:r>
      <w:r w:rsidR="00120433">
        <w:rPr>
          <w:i/>
          <w:sz w:val="18"/>
          <w:szCs w:val="18"/>
        </w:rPr>
        <w:instrText xml:space="preserve"> ADDIN ZOTERO_ITEM CSL_CITATION {"citationID":"EoZs6Fd2","properties":{"formattedCitation":"(Graedel et al., 2022)","plainCitation":"(Graedel et al., 2022)","noteIndex":0},"citationItems":[{"id":16806,"uris":["http://zotero.org/groups/5509458/items/JANIGFBA"],"itemData":{"id":16806,"type":"article-journal","abstract":"Abstract\n            Materials scientists employ metals and alloys that involve most of the periodic table. Nonetheless, materials scientists rarely take material criticality and reuse potential into account. In this work, we expand upon lists of “critical materials” generated by national and regional governments by showing that many materials are employed predominantly as alloying elements, which can be a deterrent to recovery and reuse at end of product life and, likely as a consequence, have low functional end-of-life recycling rates, among other problematic characteristics. We thereby single out six metals for enhanced concern: dysprosium, samarium, vanadium, niobium, tellurium, and gallium. From that perspective, the use of critical metals in low concentrations in alloys unlikely to be routinely recycled should be avoided if possible. If not, provision should be made for better identification and more efficient recycling so that materials designated as critical can have increased potential for more than a single functional use.","container-title":"Nature Communications","DOI":"10.1038/s41467-021-27829-w","ISSN":"2041-1723","issue":"1","journalAbbreviation":"Nat Commun","language":"en","page":"150","source":"DOI.org (Crossref)","title":"Alloy information helps prioritize material criticality lists","volume":"13","author":[{"family":"Graedel","given":"T. E."},{"family":"Reck","given":"Barbara K."},{"family":"Miatto","given":"Alessio"}],"issued":{"date-parts":[["2022",1,10]]}}}],"schema":"https://github.com/citation-style-language/schema/raw/master/csl-citation.json"} </w:instrText>
      </w:r>
      <w:r w:rsidRPr="00421B5A">
        <w:rPr>
          <w:i/>
          <w:sz w:val="18"/>
          <w:szCs w:val="18"/>
        </w:rPr>
        <w:fldChar w:fldCharType="separate"/>
      </w:r>
      <w:r w:rsidR="00120433">
        <w:rPr>
          <w:i/>
          <w:sz w:val="18"/>
          <w:szCs w:val="18"/>
        </w:rPr>
        <w:t>(Graedel et al., 2022)</w:t>
      </w:r>
      <w:r w:rsidRPr="00421B5A">
        <w:rPr>
          <w:sz w:val="18"/>
          <w:szCs w:val="18"/>
        </w:rPr>
        <w:fldChar w:fldCharType="end"/>
      </w:r>
      <w:r w:rsidRPr="00421B5A">
        <w:rPr>
          <w:i/>
          <w:sz w:val="18"/>
          <w:szCs w:val="18"/>
        </w:rPr>
        <w:t xml:space="preserve">, there is virtually no recycling happens of silver from PV panels. Source: </w:t>
      </w:r>
      <w:r w:rsidRPr="00421B5A">
        <w:rPr>
          <w:i/>
          <w:sz w:val="18"/>
          <w:szCs w:val="18"/>
        </w:rPr>
        <w:fldChar w:fldCharType="begin"/>
      </w:r>
      <w:r w:rsidR="00120433">
        <w:rPr>
          <w:i/>
          <w:sz w:val="18"/>
          <w:szCs w:val="18"/>
        </w:rPr>
        <w:instrText xml:space="preserve"> ADDIN ZOTERO_ITEM CSL_CITATION {"citationID":"soPeKDbi","properties":{"formattedCitation":"(Dominish et al., 2019)","plainCitation":"(Dominish et al., 2019)","noteIndex":0},"citationItems":[{"id":16800,"uris":["http://zotero.org/groups/5509458/items/AUSNGELF"],"itemData":{"id":16800,"type":"report","collection-title":"Report prepared for Earthworks by the Institute for Sustainable Futures, University of Technology Sydney.","title":"Responsible minerals sourcing for renewable energy","author":[{"family":"Dominish","given":"Elsa"},{"family":"Teske","given":"Sven"},{"family":"Florin","given":"Nick"}],"issued":{"date-parts":[["2019"]]}}}],"schema":"https://github.com/citation-style-language/schema/raw/master/csl-citation.json"} </w:instrText>
      </w:r>
      <w:r w:rsidRPr="00421B5A">
        <w:rPr>
          <w:i/>
          <w:sz w:val="18"/>
          <w:szCs w:val="18"/>
        </w:rPr>
        <w:fldChar w:fldCharType="separate"/>
      </w:r>
      <w:r w:rsidR="00120433">
        <w:rPr>
          <w:i/>
          <w:sz w:val="18"/>
          <w:szCs w:val="18"/>
        </w:rPr>
        <w:t>(</w:t>
      </w:r>
      <w:proofErr w:type="spellStart"/>
      <w:r w:rsidR="00120433">
        <w:rPr>
          <w:i/>
          <w:sz w:val="18"/>
          <w:szCs w:val="18"/>
        </w:rPr>
        <w:t>Dominish</w:t>
      </w:r>
      <w:proofErr w:type="spellEnd"/>
      <w:r w:rsidR="00120433">
        <w:rPr>
          <w:i/>
          <w:sz w:val="18"/>
          <w:szCs w:val="18"/>
        </w:rPr>
        <w:t xml:space="preserve"> et al., 2019)</w:t>
      </w:r>
      <w:r w:rsidRPr="00421B5A">
        <w:rPr>
          <w:sz w:val="18"/>
          <w:szCs w:val="18"/>
        </w:rPr>
        <w:fldChar w:fldCharType="end"/>
      </w:r>
      <w:r w:rsidRPr="00421B5A">
        <w:rPr>
          <w:i/>
          <w:sz w:val="18"/>
          <w:szCs w:val="18"/>
        </w:rPr>
        <w:t xml:space="preserve">. EU specific sources: </w:t>
      </w:r>
      <w:r w:rsidRPr="00421B5A">
        <w:rPr>
          <w:i/>
          <w:sz w:val="18"/>
          <w:szCs w:val="18"/>
        </w:rPr>
        <w:fldChar w:fldCharType="begin"/>
      </w:r>
      <w:r w:rsidRPr="00421B5A">
        <w:rPr>
          <w:i/>
          <w:sz w:val="18"/>
          <w:szCs w:val="18"/>
        </w:rPr>
        <w:instrText xml:space="preserve"> ADDIN ZOTERO_ITEM CSL_CITATION {"citationID":"TfIxCSD9","properties":{"formattedCitation":"(Carrara et al., 2020; Ciacci et al., 2019; Gregoir and van Acker, 2022)","plainCitation":"(Carrara et al., 2020; Ciacci et al., 2019; Gregoir and van Acker, 2022)","dontUpdate":true,"noteIndex":0},"citationItems":[{"id":15157,"uris":["http://zotero.org/groups/4945499/items/IB2K2VLT"],"itemData":{"id":15157,"type":"book","event-place":"European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id":15243,"uris":["http://zotero.org/groups/4945499/items/R6UIHVMH"],"itemData":{"id":15243,"type":"article-journal","abstract":"Sustainable management strategies for securing long–term supply of rare earth elements is priority for Europe due to a complex and interlinked production chain and its dependence on Chinese export. Among rare earth elements, neodymium captured most attention due to its essential role in a wide spectrum of applications including green–energy technologies such as wind turbines and electric vehicles. Being complementary to primary production, end–of–life recycling would diversify neodymium supply, relieve the Chinese dominance on primary production and contrast the balance problem. However, neodymium recycling at end–of–life is not yet in place. In this work, we developed a dynamic material ﬂow model to investigate neodymium stocks and ﬂows in the EU–28 to 2016. The analysis enabled a detailed investigation of secondary sources of neodymium, which set essential boundary conditions for material recovery and recycling. We found that roughly up to 50% of the annual neodymium demand in the EU–28 could be met by domestic secondary supply, if latent recycling potentials were turned into actual capacity. Signiﬁcant energy savings and GHG emissions cut could be also attained. However, product design, end–of–life collection, and scrap price issues are primary obstacles to neodymium recovery. Thus, unless going beyong those limits, establishing and maintaining a sustainable recycling chain for neodymium in the EU–28 will remain problematic.","container-title":"Resources, Conservation and Recycling","DOI":"10.1016/j.resconrec.2018.11.024","ISSN":"09213449","journalAbbreviation":"Resources, Conservation and Recycling","language":"en","page":"143-152","source":"DOI.org (Crossref)","title":"Recovering the “new twin”: Analysis of secondary neodymium sources and recycling potentials in Europe","title-short":"Recovering the “new twin”","volume":"142","author":[{"family":"Ciacci","given":"Luca"},{"family":"Vassura","given":"Ivano"},{"family":"Cao","given":"Zhi"},{"family":"Liu","given":"Gang"},{"family":"Passarini","given":"Fabrizio"}],"issued":{"date-parts":[["2019",3]]}}},{"id":15481,"uris":["http://zotero.org/groups/4945499/items/8CAGVTFD"],"itemData":{"id":15481,"type":"document","publisher":"Eurometaux","title":"Metals for Clean Energy: Pathways to solving Europe’s raw materials challenge","URL":"https://eurometaux.eu/media/rqocjybv/metals-for-clean-energy-final.pdf","author":[{"family":"Gregoir","given":"Liesbet"},{"family":"Acker","given":"Karel","non-dropping-particle":"van"}],"issued":{"date-parts":[["2022",4,25]]}}}],"schema":"https://github.com/citation-style-language/schema/raw/master/csl-citation.json"} </w:instrText>
      </w:r>
      <w:r w:rsidRPr="00421B5A">
        <w:rPr>
          <w:i/>
          <w:sz w:val="18"/>
          <w:szCs w:val="18"/>
        </w:rPr>
        <w:fldChar w:fldCharType="separate"/>
      </w:r>
      <w:r w:rsidRPr="00421B5A">
        <w:rPr>
          <w:i/>
          <w:sz w:val="18"/>
          <w:szCs w:val="18"/>
        </w:rPr>
        <w:t>Carrara et al. (2020), Ciacci et al. (2019), Gregoir and van Acker (2022)</w:t>
      </w:r>
      <w:r w:rsidRPr="00421B5A">
        <w:rPr>
          <w:sz w:val="18"/>
          <w:szCs w:val="18"/>
        </w:rPr>
        <w:fldChar w:fldCharType="end"/>
      </w:r>
      <w:r w:rsidRPr="00421B5A">
        <w:rPr>
          <w:i/>
          <w:sz w:val="18"/>
          <w:szCs w:val="18"/>
        </w:rPr>
        <w:t>.</w:t>
      </w:r>
    </w:p>
    <w:p w14:paraId="178D78FA" w14:textId="77777777" w:rsidR="00250E9B" w:rsidRPr="00421B5A" w:rsidRDefault="00250E9B" w:rsidP="00250E9B">
      <w:pPr>
        <w:jc w:val="both"/>
        <w:rPr>
          <w:i/>
          <w:sz w:val="18"/>
          <w:szCs w:val="18"/>
        </w:rPr>
      </w:pPr>
      <w:r w:rsidRPr="00421B5A">
        <w:rPr>
          <w:i/>
          <w:sz w:val="18"/>
          <w:szCs w:val="18"/>
          <w:vertAlign w:val="superscript"/>
        </w:rPr>
        <w:t xml:space="preserve">b </w:t>
      </w:r>
      <w:r w:rsidRPr="00421B5A">
        <w:rPr>
          <w:i/>
          <w:sz w:val="18"/>
          <w:szCs w:val="18"/>
        </w:rPr>
        <w:t>Based on authors own assessment. For more details, see Supplementary Materials section 7.</w:t>
      </w:r>
    </w:p>
    <w:p w14:paraId="2966DD1F" w14:textId="77777777" w:rsidR="00250E9B" w:rsidRPr="00421B5A" w:rsidRDefault="00250E9B" w:rsidP="00250E9B">
      <w:pPr>
        <w:jc w:val="both"/>
        <w:rPr>
          <w:i/>
          <w:sz w:val="18"/>
          <w:szCs w:val="18"/>
        </w:rPr>
      </w:pPr>
      <w:r w:rsidRPr="00421B5A">
        <w:rPr>
          <w:i/>
          <w:sz w:val="18"/>
          <w:szCs w:val="18"/>
          <w:vertAlign w:val="superscript"/>
        </w:rPr>
        <w:t xml:space="preserve">c </w:t>
      </w:r>
      <w:r w:rsidRPr="00421B5A">
        <w:rPr>
          <w:i/>
          <w:sz w:val="18"/>
          <w:szCs w:val="18"/>
        </w:rPr>
        <w:t>Source: Raw Materials Information System, European Commission, https://rmis.jrc.ec.europa.eu/rmp/</w:t>
      </w:r>
    </w:p>
    <w:p w14:paraId="6A3DC0FB" w14:textId="77777777" w:rsidR="00250E9B" w:rsidRPr="00421B5A" w:rsidRDefault="00250E9B" w:rsidP="00250E9B">
      <w:pPr>
        <w:jc w:val="both"/>
        <w:rPr>
          <w:i/>
          <w:sz w:val="18"/>
          <w:szCs w:val="18"/>
        </w:rPr>
      </w:pPr>
      <w:r w:rsidRPr="00421B5A">
        <w:rPr>
          <w:i/>
          <w:sz w:val="18"/>
          <w:szCs w:val="18"/>
          <w:vertAlign w:val="superscript"/>
        </w:rPr>
        <w:t xml:space="preserve">d </w:t>
      </w:r>
      <w:proofErr w:type="gramStart"/>
      <w:r w:rsidRPr="00421B5A">
        <w:rPr>
          <w:i/>
          <w:sz w:val="18"/>
          <w:szCs w:val="18"/>
        </w:rPr>
        <w:t>Of</w:t>
      </w:r>
      <w:proofErr w:type="gramEnd"/>
      <w:r w:rsidRPr="00421B5A">
        <w:rPr>
          <w:i/>
          <w:sz w:val="18"/>
          <w:szCs w:val="18"/>
        </w:rPr>
        <w:t xml:space="preserve"> primary or refined metal.</w:t>
      </w:r>
    </w:p>
    <w:p w14:paraId="5E214B67" w14:textId="649F544E" w:rsidR="00250E9B" w:rsidRPr="00421B5A" w:rsidRDefault="00250E9B" w:rsidP="00250E9B">
      <w:pPr>
        <w:jc w:val="both"/>
        <w:rPr>
          <w:i/>
          <w:sz w:val="18"/>
          <w:szCs w:val="18"/>
        </w:rPr>
      </w:pPr>
      <w:proofErr w:type="spellStart"/>
      <w:r w:rsidRPr="00421B5A">
        <w:rPr>
          <w:i/>
          <w:sz w:val="18"/>
          <w:szCs w:val="18"/>
          <w:vertAlign w:val="superscript"/>
        </w:rPr>
        <w:t>e</w:t>
      </w:r>
      <w:proofErr w:type="spellEnd"/>
      <w:r w:rsidRPr="00421B5A">
        <w:rPr>
          <w:i/>
          <w:sz w:val="18"/>
          <w:szCs w:val="18"/>
          <w:vertAlign w:val="superscript"/>
        </w:rPr>
        <w:t xml:space="preserve"> </w:t>
      </w:r>
      <w:r w:rsidRPr="00421B5A">
        <w:rPr>
          <w:i/>
          <w:sz w:val="18"/>
          <w:szCs w:val="18"/>
        </w:rPr>
        <w:t xml:space="preserve">Estimated based on mine production levels from mines of rare earth oxides </w:t>
      </w:r>
      <w:r w:rsidRPr="00421B5A">
        <w:rPr>
          <w:i/>
          <w:sz w:val="18"/>
          <w:szCs w:val="18"/>
        </w:rPr>
        <w:fldChar w:fldCharType="begin"/>
      </w:r>
      <w:r w:rsidR="00120433">
        <w:rPr>
          <w:i/>
          <w:sz w:val="18"/>
          <w:szCs w:val="18"/>
        </w:rPr>
        <w:instrText xml:space="preserve"> ADDIN ZOTERO_ITEM CSL_CITATION {"citationID":"5BFY9zfi","properties":{"formattedCitation":"(USGS, 2023)","plainCitation":"(USGS, 2023)","noteIndex":0},"citationItems":[{"id":16765,"uris":["http://zotero.org/groups/5509458/items/KI7VV5BL"],"itemData":{"id":16765,"type":"report","language":"en","note":"DOI: 10.3133/mcs2023","source":"DOI.org (Crossref)","title":"Mineral commodity summaries 2023","URL":"https://pubs.usgs.gov/publication/mcs2023","author":[{"family":"USGS","given":""}],"accessed":{"date-parts":[["2024",7,7]]},"issued":{"date-parts":[["2023"]]}}}],"schema":"https://github.com/citation-style-language/schema/raw/master/csl-citation.json"} </w:instrText>
      </w:r>
      <w:r w:rsidRPr="00421B5A">
        <w:rPr>
          <w:i/>
          <w:sz w:val="18"/>
          <w:szCs w:val="18"/>
        </w:rPr>
        <w:fldChar w:fldCharType="separate"/>
      </w:r>
      <w:r w:rsidR="00120433">
        <w:rPr>
          <w:i/>
          <w:sz w:val="18"/>
          <w:szCs w:val="18"/>
        </w:rPr>
        <w:t>(USGS, 2023)</w:t>
      </w:r>
      <w:r w:rsidRPr="00421B5A">
        <w:rPr>
          <w:sz w:val="18"/>
          <w:szCs w:val="18"/>
        </w:rPr>
        <w:fldChar w:fldCharType="end"/>
      </w:r>
      <w:r w:rsidRPr="00421B5A">
        <w:rPr>
          <w:i/>
          <w:sz w:val="18"/>
          <w:szCs w:val="18"/>
        </w:rPr>
        <w:t xml:space="preserve"> and the average REE content in different regions </w:t>
      </w:r>
      <w:r w:rsidRPr="00421B5A">
        <w:rPr>
          <w:i/>
          <w:sz w:val="18"/>
          <w:szCs w:val="18"/>
        </w:rPr>
        <w:fldChar w:fldCharType="begin"/>
      </w:r>
      <w:r w:rsidR="00120433">
        <w:rPr>
          <w:i/>
          <w:sz w:val="18"/>
          <w:szCs w:val="18"/>
        </w:rPr>
        <w:instrText xml:space="preserve"> ADDIN ZOTERO_ITEM CSL_CITATION {"citationID":"9D8NqG6z","properties":{"formattedCitation":"(Wang et al., 2024)","plainCitation":"(Wang et al., 2024)","noteIndex":0},"citationItems":[{"id":16530,"uris":["http://zotero.org/groups/5033565/items/WUS5IDHG"],"itemData":{"id":16530,"type":"article-journal","container-title":"Nature Geoscience","DOI":"10.1038/s41561-023-01350-9","ISSN":"1752-0894, 1752-0908","issue":"1","journalAbbreviation":"Nat. Geosci.","language":"en","page":"94-102","source":"DOI.org (Crossref)","title":"Regional rare-earth element supply and demand balanced with circular economy strategies","volume":"17","author":[{"family":"Wang","given":"Peng"},{"family":"Yang","given":"Yu-Yao"},{"family":"Heidrich","given":"Oliver"},{"family":"Chen","given":"Li-Yang"},{"family":"Chen","given":"Li-Hua"},{"family":"Fishman","given":"Tomer"},{"family":"Chen","given":"Wei-Qiang"}],"issued":{"date-parts":[["2024",1]]}}}],"schema":"https://github.com/citation-style-language/schema/raw/master/csl-citation.json"} </w:instrText>
      </w:r>
      <w:r w:rsidRPr="00421B5A">
        <w:rPr>
          <w:i/>
          <w:sz w:val="18"/>
          <w:szCs w:val="18"/>
        </w:rPr>
        <w:fldChar w:fldCharType="separate"/>
      </w:r>
      <w:r w:rsidR="00120433">
        <w:rPr>
          <w:i/>
          <w:sz w:val="18"/>
          <w:szCs w:val="18"/>
        </w:rPr>
        <w:t>(Wang et al., 2024)</w:t>
      </w:r>
      <w:r w:rsidRPr="00421B5A">
        <w:rPr>
          <w:sz w:val="18"/>
          <w:szCs w:val="18"/>
        </w:rPr>
        <w:fldChar w:fldCharType="end"/>
      </w:r>
      <w:r w:rsidRPr="00421B5A">
        <w:rPr>
          <w:i/>
          <w:sz w:val="18"/>
          <w:szCs w:val="18"/>
        </w:rPr>
        <w:t xml:space="preserve">. </w:t>
      </w:r>
    </w:p>
    <w:p w14:paraId="3E568FAD" w14:textId="4958D7EF" w:rsidR="00250E9B" w:rsidRPr="00EC0378" w:rsidRDefault="00250E9B" w:rsidP="00250E9B">
      <w:pPr>
        <w:sectPr w:rsidR="00250E9B" w:rsidRPr="00EC0378" w:rsidSect="00250E9B">
          <w:pgSz w:w="15840" w:h="12240" w:orient="landscape"/>
          <w:pgMar w:top="1797" w:right="1440" w:bottom="1797" w:left="1440" w:header="720" w:footer="720" w:gutter="0"/>
          <w:cols w:space="720"/>
        </w:sectPr>
      </w:pPr>
      <w:proofErr w:type="spellStart"/>
      <w:r w:rsidRPr="00421B5A">
        <w:rPr>
          <w:i/>
          <w:sz w:val="18"/>
          <w:szCs w:val="18"/>
          <w:vertAlign w:val="superscript"/>
        </w:rPr>
        <w:t>f</w:t>
      </w:r>
      <w:r w:rsidRPr="00421B5A">
        <w:rPr>
          <w:i/>
          <w:sz w:val="18"/>
          <w:szCs w:val="18"/>
        </w:rPr>
        <w:t>Derived</w:t>
      </w:r>
      <w:proofErr w:type="spellEnd"/>
      <w:r w:rsidRPr="00421B5A">
        <w:rPr>
          <w:i/>
          <w:sz w:val="18"/>
          <w:szCs w:val="18"/>
        </w:rPr>
        <w:t xml:space="preserve"> based </w:t>
      </w:r>
      <w:proofErr w:type="gramStart"/>
      <w:r w:rsidRPr="00421B5A">
        <w:rPr>
          <w:i/>
          <w:sz w:val="18"/>
          <w:szCs w:val="18"/>
        </w:rPr>
        <w:t>on:</w:t>
      </w:r>
      <w:proofErr w:type="gramEnd"/>
      <w:r w:rsidRPr="00421B5A">
        <w:rPr>
          <w:i/>
          <w:sz w:val="18"/>
          <w:szCs w:val="18"/>
        </w:rPr>
        <w:t xml:space="preserve"> 1) Primary metal (zinc) EU reserve: 10.8%; and 2) average cadmium content of typical zinc ores is about 0.03%. Source: </w:t>
      </w:r>
      <w:r w:rsidRPr="00421B5A">
        <w:rPr>
          <w:i/>
          <w:sz w:val="18"/>
          <w:szCs w:val="18"/>
        </w:rPr>
        <w:fldChar w:fldCharType="begin"/>
      </w:r>
      <w:r w:rsidR="00120433">
        <w:rPr>
          <w:i/>
          <w:sz w:val="18"/>
          <w:szCs w:val="18"/>
        </w:rPr>
        <w:instrText xml:space="preserve"> ADDIN ZOTERO_ITEM CSL_CITATION {"citationID":"V7uZvMxT","properties":{"formattedCitation":"(USGS, 2023)","plainCitation":"(USGS, 2023)","noteIndex":0},"citationItems":[{"id":16765,"uris":["http://zotero.org/groups/5509458/items/KI7VV5BL"],"itemData":{"id":16765,"type":"report","language":"en","note":"DOI: 10.3133/mcs2023","source":"DOI.org (Crossref)","title":"Mineral commodity summaries 2023","URL":"https://pubs.usgs.gov/publication/mcs2023","author":[{"family":"USGS","given":""}],"accessed":{"date-parts":[["2024",7,7]]},"issued":{"date-parts":[["2023"]]}}}],"schema":"https://github.com/citation-style-language/schema/raw/master/csl-citation.json"} </w:instrText>
      </w:r>
      <w:r w:rsidRPr="00421B5A">
        <w:rPr>
          <w:i/>
          <w:sz w:val="18"/>
          <w:szCs w:val="18"/>
        </w:rPr>
        <w:fldChar w:fldCharType="separate"/>
      </w:r>
      <w:r w:rsidR="00120433">
        <w:rPr>
          <w:i/>
          <w:sz w:val="18"/>
          <w:szCs w:val="18"/>
        </w:rPr>
        <w:t>(USGS, 2023)</w:t>
      </w:r>
      <w:r w:rsidRPr="00421B5A">
        <w:rPr>
          <w:sz w:val="18"/>
          <w:szCs w:val="18"/>
        </w:rPr>
        <w:fldChar w:fldCharType="end"/>
      </w:r>
    </w:p>
    <w:p w14:paraId="19D2B0D9" w14:textId="77777777" w:rsidR="00250E9B" w:rsidRDefault="00250E9B" w:rsidP="00250E9B"/>
    <w:p w14:paraId="42D735DF" w14:textId="77777777" w:rsidR="00250E9B" w:rsidRPr="00EC0378" w:rsidRDefault="00250E9B" w:rsidP="00250E9B">
      <w:pPr>
        <w:pStyle w:val="Heading1"/>
        <w:rPr>
          <w:color w:val="0E2841" w:themeColor="text2"/>
          <w:sz w:val="32"/>
          <w:szCs w:val="32"/>
        </w:rPr>
      </w:pPr>
      <w:bookmarkStart w:id="21" w:name="_Toc171362992"/>
      <w:bookmarkStart w:id="22" w:name="_Toc171616700"/>
      <w:bookmarkStart w:id="23" w:name="_Toc172657875"/>
      <w:bookmarkStart w:id="24" w:name="_Toc173327299"/>
      <w:bookmarkStart w:id="25" w:name="_Toc176448298"/>
      <w:bookmarkStart w:id="26" w:name="_Toc176788411"/>
      <w:bookmarkStart w:id="27" w:name="_Toc176788453"/>
      <w:bookmarkStart w:id="28" w:name="_Toc176788570"/>
      <w:bookmarkStart w:id="29" w:name="_Toc176789087"/>
      <w:bookmarkStart w:id="30" w:name="_Toc176789943"/>
      <w:bookmarkStart w:id="31" w:name="_Toc208849800"/>
      <w:bookmarkStart w:id="32" w:name="_Toc208850244"/>
      <w:bookmarkStart w:id="33" w:name="_Toc171362994"/>
      <w:r w:rsidRPr="00EC0378">
        <w:rPr>
          <w:color w:val="0E2841" w:themeColor="text2"/>
          <w:sz w:val="32"/>
          <w:szCs w:val="32"/>
        </w:rPr>
        <w:t>3. Wind and solar PV technology layers</w:t>
      </w:r>
      <w:bookmarkEnd w:id="21"/>
      <w:bookmarkEnd w:id="22"/>
      <w:bookmarkEnd w:id="23"/>
      <w:bookmarkEnd w:id="24"/>
      <w:bookmarkEnd w:id="25"/>
      <w:bookmarkEnd w:id="26"/>
      <w:bookmarkEnd w:id="27"/>
      <w:bookmarkEnd w:id="28"/>
      <w:bookmarkEnd w:id="29"/>
      <w:bookmarkEnd w:id="30"/>
      <w:bookmarkEnd w:id="31"/>
      <w:bookmarkEnd w:id="32"/>
      <w:r w:rsidRPr="00EC0378">
        <w:rPr>
          <w:color w:val="0E2841" w:themeColor="text2"/>
          <w:sz w:val="32"/>
          <w:szCs w:val="32"/>
        </w:rPr>
        <w:t xml:space="preserve"> </w:t>
      </w:r>
    </w:p>
    <w:p w14:paraId="553A78F6" w14:textId="77777777" w:rsidR="00250E9B" w:rsidRPr="005B3DC2" w:rsidRDefault="00250E9B" w:rsidP="00250E9B">
      <w:pPr>
        <w:jc w:val="both"/>
        <w:rPr>
          <w:sz w:val="22"/>
          <w:szCs w:val="22"/>
        </w:rPr>
      </w:pPr>
    </w:p>
    <w:p w14:paraId="3F3F641D" w14:textId="77777777" w:rsidR="00250E9B" w:rsidRPr="00F05D5B" w:rsidRDefault="00250E9B" w:rsidP="00250E9B">
      <w:pPr>
        <w:jc w:val="center"/>
        <w:rPr>
          <w:color w:val="0E2841"/>
          <w:sz w:val="18"/>
          <w:szCs w:val="18"/>
        </w:rPr>
      </w:pPr>
      <w:r w:rsidRPr="00F05D5B">
        <w:rPr>
          <w:b/>
          <w:color w:val="0E2841"/>
          <w:sz w:val="18"/>
          <w:szCs w:val="18"/>
        </w:rPr>
        <w:t>Table S</w:t>
      </w:r>
      <w:r>
        <w:rPr>
          <w:b/>
          <w:color w:val="0E2841"/>
          <w:sz w:val="18"/>
          <w:szCs w:val="18"/>
        </w:rPr>
        <w:t>1.</w:t>
      </w:r>
      <w:r w:rsidRPr="00F05D5B">
        <w:rPr>
          <w:b/>
          <w:color w:val="0E2841"/>
          <w:sz w:val="18"/>
          <w:szCs w:val="18"/>
        </w:rPr>
        <w:t>2:</w:t>
      </w:r>
      <w:r w:rsidRPr="00F05D5B">
        <w:rPr>
          <w:color w:val="0E2841"/>
          <w:sz w:val="18"/>
          <w:szCs w:val="18"/>
        </w:rPr>
        <w:t xml:space="preserve"> Technology, sub-technology, component, and material layers of wind and solar PV technologies used for the minor metals included in the present analysis.</w:t>
      </w:r>
    </w:p>
    <w:p w14:paraId="7DF071D7" w14:textId="77777777" w:rsidR="00250E9B" w:rsidRPr="00F73297" w:rsidRDefault="00250E9B" w:rsidP="00250E9B">
      <w:pPr>
        <w:jc w:val="center"/>
        <w:rPr>
          <w:i/>
          <w:color w:val="0E2841"/>
          <w:sz w:val="18"/>
          <w:szCs w:val="18"/>
        </w:rPr>
      </w:pPr>
    </w:p>
    <w:tbl>
      <w:tblPr>
        <w:tblW w:w="9346"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Look w:val="0420" w:firstRow="1" w:lastRow="0" w:firstColumn="0" w:lastColumn="0" w:noHBand="0" w:noVBand="1"/>
      </w:tblPr>
      <w:tblGrid>
        <w:gridCol w:w="1408"/>
        <w:gridCol w:w="3738"/>
        <w:gridCol w:w="1310"/>
        <w:gridCol w:w="2890"/>
      </w:tblGrid>
      <w:tr w:rsidR="00250E9B" w:rsidRPr="00F73297" w14:paraId="4F833F97" w14:textId="77777777">
        <w:trPr>
          <w:trHeight w:val="555"/>
          <w:jc w:val="center"/>
        </w:trPr>
        <w:tc>
          <w:tcPr>
            <w:tcW w:w="1408" w:type="dxa"/>
            <w:tcMar>
              <w:top w:w="15" w:type="dxa"/>
              <w:left w:w="15" w:type="dxa"/>
              <w:bottom w:w="0" w:type="dxa"/>
              <w:right w:w="15" w:type="dxa"/>
            </w:tcMar>
            <w:vAlign w:val="center"/>
            <w:hideMark/>
          </w:tcPr>
          <w:p w14:paraId="0C4C45FC" w14:textId="77777777" w:rsidR="00250E9B" w:rsidRPr="00F73297" w:rsidRDefault="00250E9B">
            <w:pPr>
              <w:jc w:val="center"/>
              <w:rPr>
                <w:i/>
                <w:color w:val="0E2841"/>
                <w:sz w:val="18"/>
                <w:szCs w:val="18"/>
              </w:rPr>
            </w:pPr>
            <w:r w:rsidRPr="00F73297">
              <w:rPr>
                <w:b/>
                <w:bCs/>
                <w:i/>
                <w:iCs/>
                <w:color w:val="0E2841"/>
                <w:sz w:val="18"/>
                <w:szCs w:val="18"/>
                <w:lang w:val="en-GB"/>
              </w:rPr>
              <w:t>Technology layer</w:t>
            </w:r>
          </w:p>
        </w:tc>
        <w:tc>
          <w:tcPr>
            <w:tcW w:w="3738" w:type="dxa"/>
            <w:tcMar>
              <w:top w:w="15" w:type="dxa"/>
              <w:left w:w="15" w:type="dxa"/>
              <w:bottom w:w="0" w:type="dxa"/>
              <w:right w:w="15" w:type="dxa"/>
            </w:tcMar>
            <w:vAlign w:val="center"/>
            <w:hideMark/>
          </w:tcPr>
          <w:p w14:paraId="65259835" w14:textId="77777777" w:rsidR="00250E9B" w:rsidRPr="00F73297" w:rsidRDefault="00250E9B">
            <w:pPr>
              <w:jc w:val="center"/>
              <w:rPr>
                <w:i/>
                <w:color w:val="0E2841"/>
                <w:sz w:val="18"/>
                <w:szCs w:val="18"/>
              </w:rPr>
            </w:pPr>
            <w:r w:rsidRPr="00F73297">
              <w:rPr>
                <w:b/>
                <w:bCs/>
                <w:i/>
                <w:iCs/>
                <w:color w:val="0E2841"/>
                <w:sz w:val="18"/>
                <w:szCs w:val="18"/>
                <w:lang w:val="en-GB"/>
              </w:rPr>
              <w:t>Sub-technology layer</w:t>
            </w:r>
          </w:p>
        </w:tc>
        <w:tc>
          <w:tcPr>
            <w:tcW w:w="1310" w:type="dxa"/>
            <w:tcMar>
              <w:top w:w="15" w:type="dxa"/>
              <w:left w:w="15" w:type="dxa"/>
              <w:bottom w:w="0" w:type="dxa"/>
              <w:right w:w="15" w:type="dxa"/>
            </w:tcMar>
            <w:vAlign w:val="center"/>
            <w:hideMark/>
          </w:tcPr>
          <w:p w14:paraId="6E4D03EA" w14:textId="77777777" w:rsidR="00250E9B" w:rsidRPr="00F73297" w:rsidRDefault="00250E9B">
            <w:pPr>
              <w:jc w:val="center"/>
              <w:rPr>
                <w:i/>
                <w:color w:val="0E2841"/>
                <w:sz w:val="18"/>
                <w:szCs w:val="18"/>
              </w:rPr>
            </w:pPr>
            <w:r w:rsidRPr="00F73297">
              <w:rPr>
                <w:b/>
                <w:bCs/>
                <w:i/>
                <w:iCs/>
                <w:color w:val="0E2841"/>
                <w:sz w:val="18"/>
                <w:szCs w:val="18"/>
                <w:lang w:val="en-GB"/>
              </w:rPr>
              <w:t>Component layer</w:t>
            </w:r>
          </w:p>
        </w:tc>
        <w:tc>
          <w:tcPr>
            <w:tcW w:w="2890" w:type="dxa"/>
            <w:tcMar>
              <w:top w:w="15" w:type="dxa"/>
              <w:left w:w="15" w:type="dxa"/>
              <w:bottom w:w="0" w:type="dxa"/>
              <w:right w:w="15" w:type="dxa"/>
            </w:tcMar>
            <w:vAlign w:val="center"/>
            <w:hideMark/>
          </w:tcPr>
          <w:p w14:paraId="1B9C1FF8" w14:textId="77777777" w:rsidR="00250E9B" w:rsidRPr="00F73297" w:rsidRDefault="00250E9B">
            <w:pPr>
              <w:jc w:val="center"/>
              <w:rPr>
                <w:i/>
                <w:color w:val="0E2841"/>
                <w:sz w:val="18"/>
                <w:szCs w:val="18"/>
              </w:rPr>
            </w:pPr>
            <w:r w:rsidRPr="00F73297">
              <w:rPr>
                <w:b/>
                <w:bCs/>
                <w:i/>
                <w:iCs/>
                <w:color w:val="0E2841"/>
                <w:sz w:val="18"/>
                <w:szCs w:val="18"/>
                <w:lang w:val="en-GB"/>
              </w:rPr>
              <w:t>Material layer</w:t>
            </w:r>
          </w:p>
        </w:tc>
      </w:tr>
      <w:tr w:rsidR="00250E9B" w:rsidRPr="00FA069F" w14:paraId="5F240DE8" w14:textId="77777777">
        <w:trPr>
          <w:trHeight w:val="1098"/>
          <w:jc w:val="center"/>
        </w:trPr>
        <w:tc>
          <w:tcPr>
            <w:tcW w:w="1408" w:type="dxa"/>
            <w:tcMar>
              <w:top w:w="15" w:type="dxa"/>
              <w:left w:w="15" w:type="dxa"/>
              <w:bottom w:w="0" w:type="dxa"/>
              <w:right w:w="15" w:type="dxa"/>
            </w:tcMar>
            <w:hideMark/>
          </w:tcPr>
          <w:p w14:paraId="792B5D2B" w14:textId="77777777" w:rsidR="00250E9B" w:rsidRPr="00F73297" w:rsidRDefault="00250E9B">
            <w:pPr>
              <w:jc w:val="center"/>
              <w:rPr>
                <w:i/>
                <w:iCs/>
                <w:color w:val="0E2841"/>
                <w:sz w:val="18"/>
                <w:szCs w:val="18"/>
                <w:lang w:val="en-GB"/>
              </w:rPr>
            </w:pPr>
          </w:p>
          <w:p w14:paraId="0FA2283F" w14:textId="77777777" w:rsidR="00250E9B" w:rsidRPr="00F73297" w:rsidRDefault="00250E9B">
            <w:pPr>
              <w:jc w:val="center"/>
              <w:rPr>
                <w:i/>
                <w:iCs/>
                <w:color w:val="0E2841"/>
                <w:sz w:val="18"/>
                <w:szCs w:val="18"/>
                <w:lang w:val="en-GB"/>
              </w:rPr>
            </w:pPr>
            <w:r w:rsidRPr="00F73297">
              <w:rPr>
                <w:i/>
                <w:iCs/>
                <w:color w:val="0E2841"/>
                <w:sz w:val="18"/>
                <w:szCs w:val="18"/>
                <w:lang w:val="en-GB"/>
              </w:rPr>
              <w:t>Wind</w:t>
            </w:r>
          </w:p>
          <w:p w14:paraId="5AEEA278" w14:textId="77777777" w:rsidR="00250E9B" w:rsidRPr="00F73297" w:rsidRDefault="00250E9B">
            <w:pPr>
              <w:jc w:val="center"/>
              <w:rPr>
                <w:i/>
                <w:iCs/>
                <w:color w:val="0E2841"/>
                <w:sz w:val="18"/>
                <w:szCs w:val="18"/>
                <w:lang w:val="en-GB"/>
              </w:rPr>
            </w:pPr>
          </w:p>
          <w:p w14:paraId="0FDBCE88" w14:textId="77777777" w:rsidR="00250E9B" w:rsidRPr="00F73297" w:rsidRDefault="00250E9B">
            <w:pPr>
              <w:jc w:val="center"/>
              <w:rPr>
                <w:i/>
                <w:iCs/>
                <w:color w:val="0E2841"/>
                <w:sz w:val="18"/>
                <w:szCs w:val="18"/>
                <w:lang w:val="en-GB"/>
              </w:rPr>
            </w:pPr>
            <w:r w:rsidRPr="00F73297">
              <w:rPr>
                <w:i/>
                <w:iCs/>
                <w:color w:val="0E2841"/>
                <w:sz w:val="18"/>
                <w:szCs w:val="18"/>
                <w:lang w:val="en-GB"/>
              </w:rPr>
              <w:t>(onshore &amp; offshore)</w:t>
            </w:r>
          </w:p>
          <w:p w14:paraId="7E8EF153" w14:textId="77777777" w:rsidR="00250E9B" w:rsidRPr="00F73297" w:rsidRDefault="00250E9B">
            <w:pPr>
              <w:jc w:val="center"/>
              <w:rPr>
                <w:i/>
                <w:color w:val="0E2841"/>
                <w:sz w:val="18"/>
                <w:szCs w:val="18"/>
              </w:rPr>
            </w:pPr>
          </w:p>
        </w:tc>
        <w:tc>
          <w:tcPr>
            <w:tcW w:w="3738" w:type="dxa"/>
            <w:tcMar>
              <w:top w:w="15" w:type="dxa"/>
              <w:left w:w="15" w:type="dxa"/>
              <w:bottom w:w="0" w:type="dxa"/>
              <w:right w:w="15" w:type="dxa"/>
            </w:tcMar>
            <w:vAlign w:val="center"/>
            <w:hideMark/>
          </w:tcPr>
          <w:p w14:paraId="4CCCE6A7" w14:textId="77777777" w:rsidR="00250E9B" w:rsidRPr="00F73297" w:rsidRDefault="00250E9B">
            <w:pPr>
              <w:jc w:val="center"/>
              <w:rPr>
                <w:i/>
                <w:iCs/>
                <w:color w:val="0E2841"/>
                <w:sz w:val="18"/>
                <w:szCs w:val="18"/>
                <w:lang w:val="en-GB"/>
              </w:rPr>
            </w:pPr>
            <w:r w:rsidRPr="00F73297">
              <w:rPr>
                <w:i/>
                <w:iCs/>
                <w:color w:val="0E2841"/>
                <w:sz w:val="18"/>
                <w:szCs w:val="18"/>
                <w:lang w:val="en-GB"/>
              </w:rPr>
              <w:t>Direct-drive permanent magnet synchronous generators (DD-PMSG)</w:t>
            </w:r>
          </w:p>
          <w:p w14:paraId="6BB964EA" w14:textId="77777777" w:rsidR="00250E9B" w:rsidRPr="00F73297" w:rsidRDefault="00250E9B">
            <w:pPr>
              <w:jc w:val="center"/>
              <w:rPr>
                <w:i/>
                <w:color w:val="0E2841"/>
                <w:sz w:val="18"/>
                <w:szCs w:val="18"/>
              </w:rPr>
            </w:pPr>
          </w:p>
          <w:p w14:paraId="42615374" w14:textId="77777777" w:rsidR="00250E9B" w:rsidRPr="00F73297" w:rsidRDefault="00250E9B">
            <w:pPr>
              <w:jc w:val="center"/>
              <w:rPr>
                <w:i/>
                <w:iCs/>
                <w:color w:val="0E2841"/>
                <w:sz w:val="18"/>
                <w:szCs w:val="18"/>
                <w:lang w:val="en-GB"/>
              </w:rPr>
            </w:pPr>
            <w:r w:rsidRPr="00F73297">
              <w:rPr>
                <w:i/>
                <w:iCs/>
                <w:color w:val="0E2841"/>
                <w:sz w:val="18"/>
                <w:szCs w:val="18"/>
                <w:lang w:val="en-GB"/>
              </w:rPr>
              <w:t>Gearbox permanent magnet synchronous generators (GB-PMSG)</w:t>
            </w:r>
          </w:p>
        </w:tc>
        <w:tc>
          <w:tcPr>
            <w:tcW w:w="1310" w:type="dxa"/>
            <w:tcMar>
              <w:top w:w="15" w:type="dxa"/>
              <w:left w:w="15" w:type="dxa"/>
              <w:bottom w:w="0" w:type="dxa"/>
              <w:right w:w="15" w:type="dxa"/>
            </w:tcMar>
            <w:vAlign w:val="center"/>
            <w:hideMark/>
          </w:tcPr>
          <w:p w14:paraId="2ACB5917" w14:textId="77777777" w:rsidR="00250E9B" w:rsidRPr="00F73297" w:rsidRDefault="00250E9B">
            <w:pPr>
              <w:jc w:val="center"/>
              <w:rPr>
                <w:i/>
                <w:color w:val="0E2841"/>
                <w:sz w:val="18"/>
                <w:szCs w:val="18"/>
              </w:rPr>
            </w:pPr>
            <w:r w:rsidRPr="00F73297">
              <w:rPr>
                <w:i/>
                <w:iCs/>
                <w:color w:val="0E2841"/>
                <w:sz w:val="18"/>
                <w:szCs w:val="18"/>
                <w:lang w:val="en-GB"/>
              </w:rPr>
              <w:t>REE</w:t>
            </w:r>
          </w:p>
          <w:p w14:paraId="562599ED" w14:textId="77777777" w:rsidR="00250E9B" w:rsidRPr="00F73297" w:rsidRDefault="00250E9B">
            <w:pPr>
              <w:jc w:val="center"/>
              <w:rPr>
                <w:i/>
                <w:color w:val="0E2841"/>
                <w:sz w:val="18"/>
                <w:szCs w:val="18"/>
              </w:rPr>
            </w:pPr>
            <w:r w:rsidRPr="00F73297">
              <w:rPr>
                <w:i/>
                <w:iCs/>
                <w:color w:val="0E2841"/>
                <w:sz w:val="18"/>
                <w:szCs w:val="18"/>
                <w:lang w:val="en-GB"/>
              </w:rPr>
              <w:t>permanent</w:t>
            </w:r>
          </w:p>
          <w:p w14:paraId="7B8EF961" w14:textId="77777777" w:rsidR="00250E9B" w:rsidRPr="00F73297" w:rsidRDefault="00250E9B">
            <w:pPr>
              <w:jc w:val="center"/>
              <w:rPr>
                <w:i/>
                <w:color w:val="0E2841"/>
                <w:sz w:val="18"/>
                <w:szCs w:val="18"/>
              </w:rPr>
            </w:pPr>
            <w:r w:rsidRPr="00F73297">
              <w:rPr>
                <w:i/>
                <w:iCs/>
                <w:color w:val="0E2841"/>
                <w:sz w:val="18"/>
                <w:szCs w:val="18"/>
                <w:lang w:val="en-GB"/>
              </w:rPr>
              <w:t>magnets (PM)</w:t>
            </w:r>
          </w:p>
        </w:tc>
        <w:tc>
          <w:tcPr>
            <w:tcW w:w="2890" w:type="dxa"/>
            <w:tcMar>
              <w:top w:w="15" w:type="dxa"/>
              <w:left w:w="15" w:type="dxa"/>
              <w:bottom w:w="0" w:type="dxa"/>
              <w:right w:w="15" w:type="dxa"/>
            </w:tcMar>
            <w:vAlign w:val="center"/>
            <w:hideMark/>
          </w:tcPr>
          <w:p w14:paraId="3701E7BD" w14:textId="77777777" w:rsidR="00250E9B" w:rsidRPr="00F73297" w:rsidRDefault="00250E9B">
            <w:pPr>
              <w:jc w:val="center"/>
              <w:rPr>
                <w:i/>
                <w:color w:val="0E2841"/>
                <w:sz w:val="18"/>
                <w:szCs w:val="18"/>
              </w:rPr>
            </w:pPr>
            <w:r w:rsidRPr="00F73297">
              <w:rPr>
                <w:i/>
                <w:color w:val="0E2841"/>
                <w:sz w:val="18"/>
                <w:szCs w:val="18"/>
              </w:rPr>
              <w:t>PM: Neodymium (Nd), Praseodymium (</w:t>
            </w:r>
            <w:proofErr w:type="spellStart"/>
            <w:r w:rsidRPr="00F73297">
              <w:rPr>
                <w:i/>
                <w:color w:val="0E2841"/>
                <w:sz w:val="18"/>
                <w:szCs w:val="18"/>
              </w:rPr>
              <w:t>Pr</w:t>
            </w:r>
            <w:proofErr w:type="spellEnd"/>
            <w:r w:rsidRPr="00F73297">
              <w:rPr>
                <w:i/>
                <w:color w:val="0E2841"/>
                <w:sz w:val="18"/>
                <w:szCs w:val="18"/>
              </w:rPr>
              <w:t>), Dysprosium (Dy), Terbium (Tb)</w:t>
            </w:r>
          </w:p>
        </w:tc>
      </w:tr>
      <w:tr w:rsidR="00250E9B" w:rsidRPr="00CD7521" w14:paraId="46EDBA24" w14:textId="77777777">
        <w:trPr>
          <w:trHeight w:val="1007"/>
          <w:jc w:val="center"/>
        </w:trPr>
        <w:tc>
          <w:tcPr>
            <w:tcW w:w="1408" w:type="dxa"/>
            <w:tcMar>
              <w:top w:w="15" w:type="dxa"/>
              <w:left w:w="15" w:type="dxa"/>
              <w:bottom w:w="0" w:type="dxa"/>
              <w:right w:w="15" w:type="dxa"/>
            </w:tcMar>
            <w:hideMark/>
          </w:tcPr>
          <w:p w14:paraId="05366BBB" w14:textId="77777777" w:rsidR="00250E9B" w:rsidRPr="00F73297" w:rsidRDefault="00250E9B">
            <w:pPr>
              <w:jc w:val="center"/>
              <w:rPr>
                <w:i/>
                <w:color w:val="0E2841"/>
                <w:sz w:val="18"/>
                <w:szCs w:val="18"/>
              </w:rPr>
            </w:pPr>
          </w:p>
          <w:p w14:paraId="13CF8E5F" w14:textId="77777777" w:rsidR="00250E9B" w:rsidRPr="00F73297" w:rsidRDefault="00250E9B">
            <w:pPr>
              <w:jc w:val="center"/>
              <w:rPr>
                <w:i/>
                <w:iCs/>
                <w:color w:val="0E2841"/>
                <w:sz w:val="18"/>
                <w:szCs w:val="18"/>
                <w:lang w:val="en-GB"/>
              </w:rPr>
            </w:pPr>
            <w:r w:rsidRPr="00F73297">
              <w:rPr>
                <w:i/>
                <w:iCs/>
                <w:color w:val="0E2841"/>
                <w:sz w:val="18"/>
                <w:szCs w:val="18"/>
                <w:lang w:val="en-GB"/>
              </w:rPr>
              <w:t>Solar PV</w:t>
            </w:r>
          </w:p>
          <w:p w14:paraId="1C959726" w14:textId="77777777" w:rsidR="00250E9B" w:rsidRPr="00F73297" w:rsidRDefault="00250E9B">
            <w:pPr>
              <w:jc w:val="center"/>
              <w:rPr>
                <w:i/>
                <w:iCs/>
                <w:color w:val="0E2841"/>
                <w:sz w:val="18"/>
                <w:szCs w:val="18"/>
                <w:lang w:val="en-GB"/>
              </w:rPr>
            </w:pPr>
          </w:p>
          <w:p w14:paraId="31D44EF8" w14:textId="77777777" w:rsidR="00250E9B" w:rsidRPr="00F73297" w:rsidRDefault="00250E9B">
            <w:pPr>
              <w:jc w:val="center"/>
              <w:rPr>
                <w:i/>
                <w:color w:val="0E2841"/>
                <w:sz w:val="18"/>
                <w:szCs w:val="18"/>
              </w:rPr>
            </w:pPr>
            <w:r w:rsidRPr="00F73297">
              <w:rPr>
                <w:i/>
                <w:color w:val="0E2841"/>
                <w:sz w:val="18"/>
                <w:szCs w:val="18"/>
              </w:rPr>
              <w:t>(grid-connected [distributed &amp; centralized])</w:t>
            </w:r>
          </w:p>
          <w:p w14:paraId="38E6427B" w14:textId="77777777" w:rsidR="00250E9B" w:rsidRPr="00F73297" w:rsidRDefault="00250E9B">
            <w:pPr>
              <w:jc w:val="center"/>
              <w:rPr>
                <w:i/>
                <w:iCs/>
                <w:color w:val="0E2841"/>
                <w:sz w:val="18"/>
                <w:szCs w:val="18"/>
                <w:lang w:val="en-GB"/>
              </w:rPr>
            </w:pPr>
          </w:p>
        </w:tc>
        <w:tc>
          <w:tcPr>
            <w:tcW w:w="3738" w:type="dxa"/>
            <w:tcMar>
              <w:top w:w="15" w:type="dxa"/>
              <w:left w:w="15" w:type="dxa"/>
              <w:bottom w:w="0" w:type="dxa"/>
              <w:right w:w="15" w:type="dxa"/>
            </w:tcMar>
            <w:vAlign w:val="center"/>
            <w:hideMark/>
          </w:tcPr>
          <w:p w14:paraId="74913FF9" w14:textId="77777777" w:rsidR="00250E9B" w:rsidRPr="00F73297" w:rsidRDefault="00250E9B">
            <w:pPr>
              <w:jc w:val="center"/>
              <w:rPr>
                <w:i/>
                <w:iCs/>
                <w:color w:val="0E2841"/>
                <w:sz w:val="18"/>
                <w:szCs w:val="18"/>
                <w:lang w:val="en-GB"/>
              </w:rPr>
            </w:pPr>
            <w:r w:rsidRPr="00F73297">
              <w:rPr>
                <w:i/>
                <w:iCs/>
                <w:color w:val="0E2841"/>
                <w:sz w:val="18"/>
                <w:szCs w:val="18"/>
                <w:lang w:val="en-GB"/>
              </w:rPr>
              <w:t>Crystalline silicon (c-Si)</w:t>
            </w:r>
          </w:p>
          <w:p w14:paraId="035024C1" w14:textId="77777777" w:rsidR="00250E9B" w:rsidRPr="00F73297" w:rsidRDefault="00250E9B">
            <w:pPr>
              <w:jc w:val="center"/>
              <w:rPr>
                <w:i/>
                <w:color w:val="0E2841"/>
                <w:sz w:val="18"/>
                <w:szCs w:val="18"/>
              </w:rPr>
            </w:pPr>
          </w:p>
          <w:p w14:paraId="349EA5CE" w14:textId="77777777" w:rsidR="00250E9B" w:rsidRPr="00F73297" w:rsidRDefault="00250E9B">
            <w:pPr>
              <w:jc w:val="center"/>
              <w:rPr>
                <w:i/>
                <w:iCs/>
                <w:color w:val="0E2841"/>
                <w:sz w:val="18"/>
                <w:szCs w:val="18"/>
                <w:lang w:val="en-GB"/>
              </w:rPr>
            </w:pPr>
            <w:r w:rsidRPr="00F73297">
              <w:rPr>
                <w:i/>
                <w:iCs/>
                <w:color w:val="0E2841"/>
                <w:sz w:val="18"/>
                <w:szCs w:val="18"/>
                <w:lang w:val="en-GB"/>
              </w:rPr>
              <w:t>Amorphous silicon (a-Si)</w:t>
            </w:r>
          </w:p>
          <w:p w14:paraId="454B9153" w14:textId="77777777" w:rsidR="00250E9B" w:rsidRPr="00F73297" w:rsidRDefault="00250E9B">
            <w:pPr>
              <w:jc w:val="center"/>
              <w:rPr>
                <w:i/>
                <w:color w:val="0E2841"/>
                <w:sz w:val="18"/>
                <w:szCs w:val="18"/>
              </w:rPr>
            </w:pPr>
          </w:p>
          <w:p w14:paraId="7F13048D" w14:textId="77777777" w:rsidR="00250E9B" w:rsidRPr="00F73297" w:rsidRDefault="00250E9B">
            <w:pPr>
              <w:jc w:val="center"/>
              <w:rPr>
                <w:i/>
                <w:iCs/>
                <w:color w:val="0E2841"/>
                <w:sz w:val="18"/>
                <w:szCs w:val="18"/>
                <w:lang w:val="en-GB"/>
              </w:rPr>
            </w:pPr>
            <w:r w:rsidRPr="00F73297">
              <w:rPr>
                <w:i/>
                <w:iCs/>
                <w:color w:val="0E2841"/>
                <w:sz w:val="18"/>
                <w:szCs w:val="18"/>
                <w:lang w:val="en-GB"/>
              </w:rPr>
              <w:t>Cadmium telluride (</w:t>
            </w:r>
            <w:proofErr w:type="spellStart"/>
            <w:r w:rsidRPr="00F73297">
              <w:rPr>
                <w:i/>
                <w:iCs/>
                <w:color w:val="0E2841"/>
                <w:sz w:val="18"/>
                <w:szCs w:val="18"/>
                <w:lang w:val="en-GB"/>
              </w:rPr>
              <w:t>CdTe</w:t>
            </w:r>
            <w:proofErr w:type="spellEnd"/>
            <w:r w:rsidRPr="00F73297">
              <w:rPr>
                <w:i/>
                <w:iCs/>
                <w:color w:val="0E2841"/>
                <w:sz w:val="18"/>
                <w:szCs w:val="18"/>
                <w:lang w:val="en-GB"/>
              </w:rPr>
              <w:t>)</w:t>
            </w:r>
          </w:p>
          <w:p w14:paraId="17A2888A" w14:textId="77777777" w:rsidR="00250E9B" w:rsidRPr="00F73297" w:rsidRDefault="00250E9B">
            <w:pPr>
              <w:jc w:val="center"/>
              <w:rPr>
                <w:i/>
                <w:color w:val="0E2841"/>
                <w:sz w:val="18"/>
                <w:szCs w:val="18"/>
              </w:rPr>
            </w:pPr>
          </w:p>
          <w:p w14:paraId="515CDE96" w14:textId="77777777" w:rsidR="00250E9B" w:rsidRPr="00F73297" w:rsidRDefault="00250E9B">
            <w:pPr>
              <w:jc w:val="center"/>
              <w:rPr>
                <w:i/>
                <w:color w:val="0E2841"/>
                <w:sz w:val="18"/>
                <w:szCs w:val="18"/>
              </w:rPr>
            </w:pPr>
            <w:r w:rsidRPr="00F73297">
              <w:rPr>
                <w:i/>
                <w:iCs/>
                <w:color w:val="0E2841"/>
                <w:sz w:val="18"/>
                <w:szCs w:val="18"/>
                <w:lang w:val="en-GB"/>
              </w:rPr>
              <w:t xml:space="preserve">Copper indium gallium </w:t>
            </w:r>
            <w:proofErr w:type="spellStart"/>
            <w:r w:rsidRPr="00F73297">
              <w:rPr>
                <w:i/>
                <w:iCs/>
                <w:color w:val="0E2841"/>
                <w:sz w:val="18"/>
                <w:szCs w:val="18"/>
                <w:lang w:val="en-GB"/>
              </w:rPr>
              <w:t>diselenide</w:t>
            </w:r>
            <w:proofErr w:type="spellEnd"/>
            <w:r w:rsidRPr="00F73297">
              <w:rPr>
                <w:i/>
                <w:iCs/>
                <w:color w:val="0E2841"/>
                <w:sz w:val="18"/>
                <w:szCs w:val="18"/>
                <w:lang w:val="en-GB"/>
              </w:rPr>
              <w:t xml:space="preserve"> (CIGS)</w:t>
            </w:r>
          </w:p>
        </w:tc>
        <w:tc>
          <w:tcPr>
            <w:tcW w:w="1310" w:type="dxa"/>
            <w:tcMar>
              <w:top w:w="15" w:type="dxa"/>
              <w:left w:w="15" w:type="dxa"/>
              <w:bottom w:w="0" w:type="dxa"/>
              <w:right w:w="15" w:type="dxa"/>
            </w:tcMar>
            <w:vAlign w:val="center"/>
            <w:hideMark/>
          </w:tcPr>
          <w:p w14:paraId="72D41321" w14:textId="77777777" w:rsidR="00250E9B" w:rsidRPr="00F73297" w:rsidRDefault="00250E9B">
            <w:pPr>
              <w:jc w:val="center"/>
              <w:rPr>
                <w:i/>
                <w:color w:val="0E2841"/>
                <w:sz w:val="18"/>
                <w:szCs w:val="18"/>
              </w:rPr>
            </w:pPr>
            <w:r w:rsidRPr="00F73297">
              <w:rPr>
                <w:i/>
                <w:color w:val="0E2841"/>
                <w:sz w:val="18"/>
                <w:szCs w:val="18"/>
              </w:rPr>
              <w:t>-</w:t>
            </w:r>
          </w:p>
        </w:tc>
        <w:tc>
          <w:tcPr>
            <w:tcW w:w="2890" w:type="dxa"/>
            <w:tcMar>
              <w:top w:w="15" w:type="dxa"/>
              <w:left w:w="15" w:type="dxa"/>
              <w:bottom w:w="0" w:type="dxa"/>
              <w:right w:w="15" w:type="dxa"/>
            </w:tcMar>
            <w:vAlign w:val="center"/>
            <w:hideMark/>
          </w:tcPr>
          <w:p w14:paraId="4CEED5BE" w14:textId="77777777" w:rsidR="00250E9B" w:rsidRPr="00F73297" w:rsidRDefault="00250E9B">
            <w:pPr>
              <w:jc w:val="center"/>
              <w:rPr>
                <w:i/>
                <w:iCs/>
                <w:color w:val="0E2841"/>
                <w:sz w:val="18"/>
                <w:szCs w:val="18"/>
                <w:lang w:val="sv-SE"/>
              </w:rPr>
            </w:pPr>
            <w:r w:rsidRPr="00F73297">
              <w:rPr>
                <w:i/>
                <w:iCs/>
                <w:color w:val="0E2841"/>
                <w:sz w:val="18"/>
                <w:szCs w:val="18"/>
                <w:lang w:val="sv-SE"/>
              </w:rPr>
              <w:t>c-Si: Silver (Ag)</w:t>
            </w:r>
          </w:p>
          <w:p w14:paraId="018AC480" w14:textId="77777777" w:rsidR="00250E9B" w:rsidRPr="00EE1723" w:rsidRDefault="00250E9B">
            <w:pPr>
              <w:jc w:val="center"/>
              <w:rPr>
                <w:i/>
                <w:color w:val="0E2841"/>
                <w:sz w:val="18"/>
                <w:szCs w:val="18"/>
                <w:lang w:val="sv-SE"/>
              </w:rPr>
            </w:pPr>
          </w:p>
          <w:p w14:paraId="43A11A3F" w14:textId="77777777" w:rsidR="00250E9B" w:rsidRPr="00F73297" w:rsidRDefault="00250E9B">
            <w:pPr>
              <w:jc w:val="center"/>
              <w:rPr>
                <w:i/>
                <w:iCs/>
                <w:color w:val="0E2841"/>
                <w:sz w:val="18"/>
                <w:szCs w:val="18"/>
                <w:lang w:val="sv-SE"/>
              </w:rPr>
            </w:pPr>
            <w:r w:rsidRPr="00F73297">
              <w:rPr>
                <w:i/>
                <w:iCs/>
                <w:color w:val="0E2841"/>
                <w:sz w:val="18"/>
                <w:szCs w:val="18"/>
                <w:lang w:val="sv-SE"/>
              </w:rPr>
              <w:t>a-Si: Germanium (Ge)</w:t>
            </w:r>
          </w:p>
          <w:p w14:paraId="1678C220" w14:textId="77777777" w:rsidR="00250E9B" w:rsidRPr="00EE1723" w:rsidRDefault="00250E9B">
            <w:pPr>
              <w:jc w:val="center"/>
              <w:rPr>
                <w:i/>
                <w:color w:val="0E2841"/>
                <w:sz w:val="18"/>
                <w:szCs w:val="18"/>
                <w:lang w:val="sv-SE"/>
              </w:rPr>
            </w:pPr>
          </w:p>
          <w:p w14:paraId="31BBFF65" w14:textId="77777777" w:rsidR="00250E9B" w:rsidRPr="00F73297" w:rsidRDefault="00250E9B">
            <w:pPr>
              <w:jc w:val="center"/>
              <w:rPr>
                <w:i/>
                <w:iCs/>
                <w:color w:val="0E2841"/>
                <w:sz w:val="18"/>
                <w:szCs w:val="18"/>
                <w:lang w:val="en-GB"/>
              </w:rPr>
            </w:pPr>
            <w:proofErr w:type="spellStart"/>
            <w:r w:rsidRPr="00F73297">
              <w:rPr>
                <w:i/>
                <w:iCs/>
                <w:color w:val="0E2841"/>
                <w:sz w:val="18"/>
                <w:szCs w:val="18"/>
                <w:lang w:val="en-GB"/>
              </w:rPr>
              <w:t>CdTe</w:t>
            </w:r>
            <w:proofErr w:type="spellEnd"/>
            <w:r w:rsidRPr="00F73297">
              <w:rPr>
                <w:i/>
                <w:iCs/>
                <w:color w:val="0E2841"/>
                <w:sz w:val="18"/>
                <w:szCs w:val="18"/>
                <w:lang w:val="en-GB"/>
              </w:rPr>
              <w:t>: Cadmium (Cd), Tellurium (</w:t>
            </w:r>
            <w:proofErr w:type="spellStart"/>
            <w:r w:rsidRPr="00F73297">
              <w:rPr>
                <w:i/>
                <w:iCs/>
                <w:color w:val="0E2841"/>
                <w:sz w:val="18"/>
                <w:szCs w:val="18"/>
                <w:lang w:val="en-GB"/>
              </w:rPr>
              <w:t>Te</w:t>
            </w:r>
            <w:proofErr w:type="spellEnd"/>
            <w:r w:rsidRPr="00F73297">
              <w:rPr>
                <w:i/>
                <w:iCs/>
                <w:color w:val="0E2841"/>
                <w:sz w:val="18"/>
                <w:szCs w:val="18"/>
                <w:lang w:val="en-GB"/>
              </w:rPr>
              <w:t>)</w:t>
            </w:r>
          </w:p>
          <w:p w14:paraId="1441A142" w14:textId="77777777" w:rsidR="00250E9B" w:rsidRPr="00F73297" w:rsidRDefault="00250E9B">
            <w:pPr>
              <w:jc w:val="center"/>
              <w:rPr>
                <w:i/>
                <w:color w:val="0E2841"/>
                <w:sz w:val="18"/>
                <w:szCs w:val="18"/>
              </w:rPr>
            </w:pPr>
          </w:p>
          <w:p w14:paraId="34D4131B" w14:textId="77777777" w:rsidR="00250E9B" w:rsidRPr="00EE1723" w:rsidRDefault="00250E9B">
            <w:pPr>
              <w:jc w:val="center"/>
              <w:rPr>
                <w:i/>
                <w:color w:val="0E2841"/>
                <w:sz w:val="18"/>
                <w:szCs w:val="18"/>
                <w:lang w:val="sv-SE"/>
              </w:rPr>
            </w:pPr>
            <w:r w:rsidRPr="00F73297">
              <w:rPr>
                <w:i/>
                <w:iCs/>
                <w:color w:val="0E2841"/>
                <w:sz w:val="18"/>
                <w:szCs w:val="18"/>
                <w:lang w:val="sv-SE"/>
              </w:rPr>
              <w:t>CIGS: Indium (In), Gallium (</w:t>
            </w:r>
            <w:proofErr w:type="spellStart"/>
            <w:r w:rsidRPr="00F73297">
              <w:rPr>
                <w:i/>
                <w:iCs/>
                <w:color w:val="0E2841"/>
                <w:sz w:val="18"/>
                <w:szCs w:val="18"/>
                <w:lang w:val="sv-SE"/>
              </w:rPr>
              <w:t>Ga</w:t>
            </w:r>
            <w:proofErr w:type="spellEnd"/>
            <w:r w:rsidRPr="00F73297">
              <w:rPr>
                <w:i/>
                <w:iCs/>
                <w:color w:val="0E2841"/>
                <w:sz w:val="18"/>
                <w:szCs w:val="18"/>
                <w:lang w:val="sv-SE"/>
              </w:rPr>
              <w:t xml:space="preserve">), </w:t>
            </w:r>
            <w:proofErr w:type="spellStart"/>
            <w:r w:rsidRPr="00F73297">
              <w:rPr>
                <w:i/>
                <w:iCs/>
                <w:color w:val="0E2841"/>
                <w:sz w:val="18"/>
                <w:szCs w:val="18"/>
                <w:lang w:val="sv-SE"/>
              </w:rPr>
              <w:t>Selenium</w:t>
            </w:r>
            <w:proofErr w:type="spellEnd"/>
            <w:r w:rsidRPr="00F73297">
              <w:rPr>
                <w:i/>
                <w:iCs/>
                <w:color w:val="0E2841"/>
                <w:sz w:val="18"/>
                <w:szCs w:val="18"/>
                <w:lang w:val="sv-SE"/>
              </w:rPr>
              <w:t xml:space="preserve"> (Se)</w:t>
            </w:r>
          </w:p>
        </w:tc>
      </w:tr>
    </w:tbl>
    <w:p w14:paraId="290ACDEC" w14:textId="77777777" w:rsidR="00250E9B" w:rsidRPr="00EE1723" w:rsidRDefault="00250E9B" w:rsidP="00250E9B">
      <w:pPr>
        <w:jc w:val="both"/>
        <w:rPr>
          <w:sz w:val="22"/>
          <w:szCs w:val="22"/>
          <w:lang w:val="sv-SE"/>
        </w:rPr>
      </w:pPr>
    </w:p>
    <w:p w14:paraId="46E488C2" w14:textId="77777777" w:rsidR="00250E9B" w:rsidRPr="00EE1723" w:rsidRDefault="00250E9B" w:rsidP="00250E9B">
      <w:pPr>
        <w:jc w:val="both"/>
        <w:rPr>
          <w:sz w:val="22"/>
          <w:szCs w:val="22"/>
          <w:lang w:val="sv-SE"/>
        </w:rPr>
      </w:pPr>
    </w:p>
    <w:p w14:paraId="288B7E4F" w14:textId="75F0618B" w:rsidR="00250E9B" w:rsidRPr="005B3DC2" w:rsidRDefault="005F40C6" w:rsidP="00EE1723">
      <w:pPr>
        <w:pStyle w:val="Heading1"/>
        <w:rPr>
          <w:sz w:val="22"/>
          <w:szCs w:val="22"/>
        </w:rPr>
      </w:pPr>
      <w:bookmarkStart w:id="34" w:name="_Toc208849801"/>
      <w:bookmarkStart w:id="35" w:name="_Toc208850245"/>
      <w:r w:rsidRPr="00EC0378">
        <w:rPr>
          <w:color w:val="0E2841" w:themeColor="text2"/>
          <w:sz w:val="32"/>
          <w:szCs w:val="32"/>
        </w:rPr>
        <w:t xml:space="preserve">4. </w:t>
      </w:r>
      <w:r>
        <w:rPr>
          <w:color w:val="0E2841" w:themeColor="text2"/>
          <w:sz w:val="32"/>
          <w:szCs w:val="32"/>
        </w:rPr>
        <w:t>Examples of commercial or near-commercial CE applications</w:t>
      </w:r>
      <w:bookmarkEnd w:id="34"/>
      <w:bookmarkEnd w:id="35"/>
    </w:p>
    <w:p w14:paraId="0A795905" w14:textId="77777777" w:rsidR="00250E9B" w:rsidRPr="00EE1723" w:rsidRDefault="00250E9B" w:rsidP="00250E9B">
      <w:pPr>
        <w:jc w:val="both"/>
        <w:rPr>
          <w:b/>
          <w:color w:val="0E2841"/>
          <w:sz w:val="18"/>
          <w:szCs w:val="18"/>
        </w:rPr>
      </w:pPr>
    </w:p>
    <w:p w14:paraId="1616DA15" w14:textId="47E2C26B" w:rsidR="005C1D3A" w:rsidRPr="00EE1723" w:rsidRDefault="005C1D3A" w:rsidP="005C1D3A">
      <w:pPr>
        <w:spacing w:afterLines="20" w:after="48"/>
        <w:jc w:val="center"/>
        <w:rPr>
          <w:color w:val="0E2841"/>
          <w:sz w:val="18"/>
          <w:szCs w:val="18"/>
        </w:rPr>
      </w:pPr>
      <w:r w:rsidRPr="00EE1723">
        <w:rPr>
          <w:b/>
          <w:color w:val="0E2841"/>
          <w:sz w:val="18"/>
          <w:szCs w:val="18"/>
        </w:rPr>
        <w:t>Table S1.3:</w:t>
      </w:r>
      <w:r w:rsidRPr="00EE1723">
        <w:rPr>
          <w:color w:val="0E2841" w:themeColor="text2"/>
          <w:sz w:val="18"/>
          <w:szCs w:val="18"/>
          <w:lang w:val="en-GB"/>
        </w:rPr>
        <w:t xml:space="preserve"> </w:t>
      </w:r>
      <w:r w:rsidR="00E16AB3">
        <w:rPr>
          <w:color w:val="0E2841"/>
          <w:sz w:val="18"/>
          <w:szCs w:val="18"/>
        </w:rPr>
        <w:t>Technology d</w:t>
      </w:r>
      <w:r w:rsidRPr="00EE1723">
        <w:rPr>
          <w:color w:val="0E2841"/>
          <w:sz w:val="18"/>
          <w:szCs w:val="18"/>
        </w:rPr>
        <w:t xml:space="preserve">esign-related examples of commercial or near-commercial </w:t>
      </w:r>
      <w:r w:rsidR="00E16AB3">
        <w:rPr>
          <w:color w:val="0E2841"/>
          <w:sz w:val="18"/>
          <w:szCs w:val="18"/>
        </w:rPr>
        <w:t>CE</w:t>
      </w:r>
      <w:r w:rsidRPr="00EE1723">
        <w:rPr>
          <w:color w:val="0E2841"/>
          <w:sz w:val="18"/>
          <w:szCs w:val="18"/>
        </w:rPr>
        <w:t xml:space="preserve"> strategies in industry.</w:t>
      </w:r>
    </w:p>
    <w:tbl>
      <w:tblPr>
        <w:tblW w:w="9498" w:type="dxa"/>
        <w:tblInd w:w="-43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Look w:val="0420" w:firstRow="1" w:lastRow="0" w:firstColumn="0" w:lastColumn="0" w:noHBand="0" w:noVBand="1"/>
      </w:tblPr>
      <w:tblGrid>
        <w:gridCol w:w="1419"/>
        <w:gridCol w:w="4394"/>
        <w:gridCol w:w="3685"/>
      </w:tblGrid>
      <w:tr w:rsidR="005C1D3A" w:rsidRPr="00517078" w14:paraId="1E5ED449" w14:textId="77777777" w:rsidTr="00EE1723">
        <w:trPr>
          <w:trHeight w:val="555"/>
        </w:trPr>
        <w:tc>
          <w:tcPr>
            <w:tcW w:w="1419" w:type="dxa"/>
            <w:tcMar>
              <w:top w:w="15" w:type="dxa"/>
              <w:left w:w="15" w:type="dxa"/>
              <w:bottom w:w="0" w:type="dxa"/>
              <w:right w:w="15" w:type="dxa"/>
            </w:tcMar>
            <w:vAlign w:val="center"/>
            <w:hideMark/>
          </w:tcPr>
          <w:p w14:paraId="05B921F6" w14:textId="77777777" w:rsidR="005C1D3A" w:rsidRPr="00482F4B" w:rsidRDefault="005C1D3A">
            <w:pPr>
              <w:jc w:val="center"/>
              <w:rPr>
                <w:b/>
                <w:bCs/>
                <w:i/>
                <w:iCs/>
                <w:color w:val="0E2841" w:themeColor="text2"/>
                <w:sz w:val="18"/>
                <w:szCs w:val="18"/>
                <w:lang w:val="en-GB"/>
              </w:rPr>
            </w:pPr>
            <w:r w:rsidRPr="00482F4B">
              <w:rPr>
                <w:b/>
                <w:bCs/>
                <w:i/>
                <w:iCs/>
                <w:color w:val="0E2841" w:themeColor="text2"/>
                <w:sz w:val="18"/>
                <w:szCs w:val="18"/>
                <w:lang w:val="en-GB"/>
              </w:rPr>
              <w:t>CE strategy</w:t>
            </w:r>
          </w:p>
        </w:tc>
        <w:tc>
          <w:tcPr>
            <w:tcW w:w="4394" w:type="dxa"/>
            <w:tcMar>
              <w:top w:w="15" w:type="dxa"/>
              <w:left w:w="15" w:type="dxa"/>
              <w:bottom w:w="0" w:type="dxa"/>
              <w:right w:w="15" w:type="dxa"/>
            </w:tcMar>
            <w:vAlign w:val="center"/>
            <w:hideMark/>
          </w:tcPr>
          <w:p w14:paraId="2A58950A" w14:textId="77777777" w:rsidR="005C1D3A" w:rsidRPr="00482F4B" w:rsidRDefault="005C1D3A">
            <w:pPr>
              <w:jc w:val="center"/>
              <w:rPr>
                <w:b/>
                <w:bCs/>
                <w:i/>
                <w:iCs/>
                <w:color w:val="0E2841" w:themeColor="text2"/>
                <w:sz w:val="18"/>
                <w:szCs w:val="18"/>
                <w:lang w:val="en-GB"/>
              </w:rPr>
            </w:pPr>
            <w:r w:rsidRPr="00482F4B">
              <w:rPr>
                <w:b/>
                <w:bCs/>
                <w:i/>
                <w:iCs/>
                <w:color w:val="0E2841" w:themeColor="text2"/>
                <w:sz w:val="18"/>
                <w:szCs w:val="18"/>
                <w:lang w:val="en-GB"/>
              </w:rPr>
              <w:t>Wind power</w:t>
            </w:r>
          </w:p>
        </w:tc>
        <w:tc>
          <w:tcPr>
            <w:tcW w:w="3685" w:type="dxa"/>
          </w:tcPr>
          <w:p w14:paraId="235A5CBA" w14:textId="77777777" w:rsidR="005C1D3A" w:rsidRPr="00482F4B" w:rsidRDefault="005C1D3A">
            <w:pPr>
              <w:jc w:val="center"/>
              <w:rPr>
                <w:b/>
                <w:bCs/>
                <w:i/>
                <w:iCs/>
                <w:color w:val="0E2841" w:themeColor="text2"/>
                <w:sz w:val="18"/>
                <w:szCs w:val="18"/>
                <w:lang w:val="en-GB"/>
              </w:rPr>
            </w:pPr>
          </w:p>
          <w:p w14:paraId="5CA418F8" w14:textId="77777777" w:rsidR="005C1D3A" w:rsidRPr="00482F4B" w:rsidRDefault="005C1D3A">
            <w:pPr>
              <w:jc w:val="center"/>
              <w:rPr>
                <w:b/>
                <w:bCs/>
                <w:i/>
                <w:iCs/>
                <w:color w:val="0E2841" w:themeColor="text2"/>
                <w:sz w:val="18"/>
                <w:szCs w:val="18"/>
                <w:lang w:val="en-GB"/>
              </w:rPr>
            </w:pPr>
            <w:r w:rsidRPr="00482F4B">
              <w:rPr>
                <w:b/>
                <w:bCs/>
                <w:i/>
                <w:iCs/>
                <w:color w:val="0E2841" w:themeColor="text2"/>
                <w:sz w:val="18"/>
                <w:szCs w:val="18"/>
                <w:lang w:val="en-GB"/>
              </w:rPr>
              <w:t>Solar power</w:t>
            </w:r>
          </w:p>
        </w:tc>
      </w:tr>
      <w:tr w:rsidR="005C1D3A" w:rsidRPr="00364549" w14:paraId="23D34934" w14:textId="77777777" w:rsidTr="00EE1723">
        <w:trPr>
          <w:trHeight w:val="1098"/>
        </w:trPr>
        <w:tc>
          <w:tcPr>
            <w:tcW w:w="1419" w:type="dxa"/>
            <w:tcMar>
              <w:top w:w="15" w:type="dxa"/>
              <w:left w:w="15" w:type="dxa"/>
              <w:bottom w:w="0" w:type="dxa"/>
              <w:right w:w="15" w:type="dxa"/>
            </w:tcMar>
            <w:hideMark/>
          </w:tcPr>
          <w:p w14:paraId="3702C777" w14:textId="77777777" w:rsidR="005C1D3A" w:rsidRPr="00482F4B" w:rsidRDefault="005C1D3A">
            <w:pPr>
              <w:jc w:val="center"/>
              <w:rPr>
                <w:b/>
                <w:bCs/>
                <w:i/>
                <w:iCs/>
                <w:color w:val="0E2841" w:themeColor="text2"/>
                <w:sz w:val="18"/>
                <w:szCs w:val="18"/>
                <w:lang w:val="en-GB"/>
              </w:rPr>
            </w:pPr>
          </w:p>
          <w:p w14:paraId="00AAFCFF" w14:textId="77777777" w:rsidR="005C1D3A" w:rsidRPr="00482F4B" w:rsidRDefault="005C1D3A">
            <w:pPr>
              <w:jc w:val="center"/>
              <w:rPr>
                <w:b/>
                <w:bCs/>
                <w:i/>
                <w:iCs/>
                <w:color w:val="0E2841" w:themeColor="text2"/>
                <w:sz w:val="18"/>
                <w:szCs w:val="18"/>
                <w:lang w:val="en-GB"/>
              </w:rPr>
            </w:pPr>
            <w:r w:rsidRPr="00482F4B">
              <w:rPr>
                <w:b/>
                <w:bCs/>
                <w:i/>
                <w:iCs/>
                <w:color w:val="0E2841" w:themeColor="text2"/>
                <w:sz w:val="18"/>
                <w:szCs w:val="18"/>
                <w:lang w:val="en-GB"/>
              </w:rPr>
              <w:t>Longer design lifespan</w:t>
            </w:r>
          </w:p>
          <w:p w14:paraId="3AB8712B" w14:textId="77777777" w:rsidR="005C1D3A" w:rsidRPr="00482F4B" w:rsidRDefault="005C1D3A">
            <w:pPr>
              <w:jc w:val="center"/>
              <w:rPr>
                <w:b/>
                <w:bCs/>
                <w:i/>
                <w:iCs/>
                <w:color w:val="0E2841" w:themeColor="text2"/>
                <w:sz w:val="18"/>
                <w:szCs w:val="18"/>
                <w:lang w:val="en-GB"/>
              </w:rPr>
            </w:pPr>
          </w:p>
        </w:tc>
        <w:tc>
          <w:tcPr>
            <w:tcW w:w="4394" w:type="dxa"/>
            <w:tcMar>
              <w:top w:w="15" w:type="dxa"/>
              <w:left w:w="15" w:type="dxa"/>
              <w:bottom w:w="0" w:type="dxa"/>
              <w:right w:w="15" w:type="dxa"/>
            </w:tcMar>
            <w:vAlign w:val="center"/>
            <w:hideMark/>
          </w:tcPr>
          <w:p w14:paraId="50DA50BE" w14:textId="1EDFA8E9" w:rsidR="005C1D3A" w:rsidRPr="00482F4B" w:rsidRDefault="005C1D3A">
            <w:pPr>
              <w:jc w:val="center"/>
              <w:rPr>
                <w:i/>
                <w:iCs/>
                <w:color w:val="0E2841" w:themeColor="text2"/>
                <w:sz w:val="18"/>
                <w:szCs w:val="18"/>
                <w:lang w:val="en-GB"/>
              </w:rPr>
            </w:pPr>
            <w:r w:rsidRPr="00482F4B">
              <w:rPr>
                <w:i/>
                <w:iCs/>
                <w:color w:val="0E2841" w:themeColor="text2"/>
                <w:sz w:val="18"/>
                <w:szCs w:val="18"/>
                <w:lang w:val="en-GB"/>
              </w:rPr>
              <w:t xml:space="preserve">Vestas latest offshore V236-15MW wind plant has a design lifetime of 30 years and depending on the conditions of operation may exceed 35 years </w:t>
            </w:r>
            <w:r w:rsidRPr="00482F4B">
              <w:rPr>
                <w:i/>
                <w:iCs/>
                <w:color w:val="0E2841" w:themeColor="text2"/>
                <w:sz w:val="18"/>
                <w:szCs w:val="18"/>
                <w:lang w:val="en-GB"/>
              </w:rPr>
              <w:fldChar w:fldCharType="begin"/>
            </w:r>
            <w:r w:rsidR="00120433">
              <w:rPr>
                <w:i/>
                <w:iCs/>
                <w:color w:val="0E2841" w:themeColor="text2"/>
                <w:sz w:val="18"/>
                <w:szCs w:val="18"/>
                <w:lang w:val="en-GB"/>
              </w:rPr>
              <w:instrText xml:space="preserve"> ADDIN ZOTERO_ITEM CSL_CITATION {"citationID":"ah8vnbr5pt","properties":{"formattedCitation":"(Allekotte &amp; Garrett, 2024)","plainCitation":"(Allekotte &amp; Garrett, 2024)","noteIndex":0},"citationItems":[{"id":17294,"uris":["http://zotero.org/groups/5509458/items/DXIEMQRX"],"itemData":{"id":17294,"type":"report","publisher":"Vestas","title":"Life Cycle Assessment of electricity production from an offshore V236.15 MW wind plant","URL":"https://www.vestas.com/en/sustainability/environment/lifecycle-assessments","author":[{"family":"Allekotte","given":"Lukas"},{"family":"Garrett","given":"Peter"}],"issued":{"date-parts":[["2024",4,17]]}}}],"schema":"https://github.com/citation-style-language/schema/raw/master/csl-citation.json"} </w:instrText>
            </w:r>
            <w:r w:rsidRPr="00482F4B">
              <w:rPr>
                <w:i/>
                <w:iCs/>
                <w:color w:val="0E2841" w:themeColor="text2"/>
                <w:sz w:val="18"/>
                <w:szCs w:val="18"/>
                <w:lang w:val="en-GB"/>
              </w:rPr>
              <w:fldChar w:fldCharType="separate"/>
            </w:r>
            <w:r w:rsidR="00120433">
              <w:rPr>
                <w:i/>
                <w:iCs/>
                <w:color w:val="0E2841" w:themeColor="text2"/>
                <w:sz w:val="18"/>
                <w:szCs w:val="18"/>
                <w:lang w:val="en-GB"/>
              </w:rPr>
              <w:t>(</w:t>
            </w:r>
            <w:proofErr w:type="spellStart"/>
            <w:r w:rsidR="00120433">
              <w:rPr>
                <w:i/>
                <w:iCs/>
                <w:color w:val="0E2841" w:themeColor="text2"/>
                <w:sz w:val="18"/>
                <w:szCs w:val="18"/>
                <w:lang w:val="en-GB"/>
              </w:rPr>
              <w:t>Allekotte</w:t>
            </w:r>
            <w:proofErr w:type="spellEnd"/>
            <w:r w:rsidR="00120433">
              <w:rPr>
                <w:i/>
                <w:iCs/>
                <w:color w:val="0E2841" w:themeColor="text2"/>
                <w:sz w:val="18"/>
                <w:szCs w:val="18"/>
                <w:lang w:val="en-GB"/>
              </w:rPr>
              <w:t xml:space="preserve"> &amp; Garrett, 2024)</w:t>
            </w:r>
            <w:r w:rsidRPr="00482F4B">
              <w:rPr>
                <w:i/>
                <w:iCs/>
                <w:color w:val="0E2841" w:themeColor="text2"/>
                <w:sz w:val="18"/>
                <w:szCs w:val="18"/>
                <w:lang w:val="en-GB"/>
              </w:rPr>
              <w:fldChar w:fldCharType="end"/>
            </w:r>
            <w:r w:rsidRPr="00482F4B">
              <w:rPr>
                <w:i/>
                <w:iCs/>
                <w:color w:val="0E2841" w:themeColor="text2"/>
                <w:sz w:val="18"/>
                <w:szCs w:val="18"/>
                <w:lang w:val="en-GB"/>
              </w:rPr>
              <w:t>.</w:t>
            </w:r>
          </w:p>
        </w:tc>
        <w:tc>
          <w:tcPr>
            <w:tcW w:w="3685" w:type="dxa"/>
          </w:tcPr>
          <w:p w14:paraId="62587152" w14:textId="77777777" w:rsidR="005C1D3A" w:rsidRPr="00482F4B" w:rsidRDefault="005C1D3A">
            <w:pPr>
              <w:jc w:val="center"/>
              <w:rPr>
                <w:i/>
                <w:iCs/>
                <w:color w:val="0E2841" w:themeColor="text2"/>
                <w:sz w:val="18"/>
                <w:szCs w:val="18"/>
                <w:lang w:val="en-GB"/>
              </w:rPr>
            </w:pPr>
          </w:p>
          <w:p w14:paraId="760050FE" w14:textId="5A211C76" w:rsidR="005C1D3A" w:rsidRPr="00482F4B" w:rsidRDefault="005C1D3A">
            <w:pPr>
              <w:jc w:val="center"/>
              <w:rPr>
                <w:i/>
                <w:iCs/>
                <w:color w:val="0E2841" w:themeColor="text2"/>
                <w:sz w:val="18"/>
                <w:szCs w:val="18"/>
                <w:lang w:val="en-GB"/>
              </w:rPr>
            </w:pPr>
            <w:proofErr w:type="spellStart"/>
            <w:r w:rsidRPr="00482F4B">
              <w:rPr>
                <w:i/>
                <w:iCs/>
                <w:color w:val="0E2841" w:themeColor="text2"/>
                <w:sz w:val="18"/>
                <w:szCs w:val="18"/>
                <w:lang w:val="en-GB"/>
              </w:rPr>
              <w:t>Maxeon</w:t>
            </w:r>
            <w:proofErr w:type="spellEnd"/>
            <w:r w:rsidRPr="00482F4B">
              <w:rPr>
                <w:i/>
                <w:iCs/>
                <w:color w:val="0E2841" w:themeColor="text2"/>
                <w:sz w:val="18"/>
                <w:szCs w:val="18"/>
                <w:lang w:val="en-GB"/>
              </w:rPr>
              <w:t xml:space="preserve"> provides a 40-year solar panel warranty in their solar panels </w:t>
            </w:r>
            <w:r w:rsidRPr="00482F4B">
              <w:rPr>
                <w:i/>
                <w:iCs/>
                <w:color w:val="0E2841" w:themeColor="text2"/>
                <w:sz w:val="18"/>
                <w:szCs w:val="18"/>
                <w:lang w:val="en-GB"/>
              </w:rPr>
              <w:fldChar w:fldCharType="begin"/>
            </w:r>
            <w:r w:rsidR="00120433">
              <w:rPr>
                <w:i/>
                <w:iCs/>
                <w:color w:val="0E2841" w:themeColor="text2"/>
                <w:sz w:val="18"/>
                <w:szCs w:val="18"/>
                <w:lang w:val="en-GB"/>
              </w:rPr>
              <w:instrText xml:space="preserve"> ADDIN ZOTERO_ITEM CSL_CITATION {"citationID":"a2igdgvro3b","properties":{"formattedCitation":"(Fischer, 2022; Maxeon, 2023)","plainCitation":"(Fischer, 2022; Maxeon, 2023)","noteIndex":0},"citationItems":[{"id":17295,"uris":["http://zotero.org/groups/5509458/items/7WH2T3MH"],"itemData":{"id":17295,"type":"report","title":"Maxeon 40-year solar panel warranty available in select markets","URL":"https://pv-magazine-usa.com/2022/02/04/maxeon-40-year-solar-panel-warranty-available-in-select-markets/?utm_source=chatgpt.com","author":[{"family":"Fischer","given":"Anne"}],"issued":{"date-parts":[["2022",4,2]]}}},{"id":17296,"uris":["http://zotero.org/groups/5509458/items/29BYYH7A"],"itemData":{"id":17296,"type":"report","title":"Maxeon Sustainability Report 2023","URL":"https://static1.squarespace.com/static/6740dc6b95218e0ecdaa68f6/t/67d9cec2984b8b0176515624/1742327527732/BRAND-227_ESG+Report+2023_JUN24+1.pdf","author":[{"family":"Maxeon","given":""}],"issued":{"date-parts":[["2023"]]}}}],"schema":"https://github.com/citation-style-language/schema/raw/master/csl-citation.json"} </w:instrText>
            </w:r>
            <w:r w:rsidRPr="00482F4B">
              <w:rPr>
                <w:i/>
                <w:iCs/>
                <w:color w:val="0E2841" w:themeColor="text2"/>
                <w:sz w:val="18"/>
                <w:szCs w:val="18"/>
                <w:lang w:val="en-GB"/>
              </w:rPr>
              <w:fldChar w:fldCharType="separate"/>
            </w:r>
            <w:r w:rsidR="00120433">
              <w:rPr>
                <w:i/>
                <w:iCs/>
                <w:color w:val="0E2841" w:themeColor="text2"/>
                <w:sz w:val="18"/>
                <w:szCs w:val="18"/>
                <w:lang w:val="en-GB"/>
              </w:rPr>
              <w:t xml:space="preserve">(Fischer, 2022; </w:t>
            </w:r>
            <w:proofErr w:type="spellStart"/>
            <w:r w:rsidR="00120433">
              <w:rPr>
                <w:i/>
                <w:iCs/>
                <w:color w:val="0E2841" w:themeColor="text2"/>
                <w:sz w:val="18"/>
                <w:szCs w:val="18"/>
                <w:lang w:val="en-GB"/>
              </w:rPr>
              <w:t>Maxeon</w:t>
            </w:r>
            <w:proofErr w:type="spellEnd"/>
            <w:r w:rsidR="00120433">
              <w:rPr>
                <w:i/>
                <w:iCs/>
                <w:color w:val="0E2841" w:themeColor="text2"/>
                <w:sz w:val="18"/>
                <w:szCs w:val="18"/>
                <w:lang w:val="en-GB"/>
              </w:rPr>
              <w:t>, 2023)</w:t>
            </w:r>
            <w:r w:rsidRPr="00482F4B">
              <w:rPr>
                <w:i/>
                <w:iCs/>
                <w:color w:val="0E2841" w:themeColor="text2"/>
                <w:sz w:val="18"/>
                <w:szCs w:val="18"/>
                <w:lang w:val="en-GB"/>
              </w:rPr>
              <w:fldChar w:fldCharType="end"/>
            </w:r>
            <w:r w:rsidRPr="00482F4B">
              <w:rPr>
                <w:i/>
                <w:iCs/>
                <w:color w:val="0E2841" w:themeColor="text2"/>
                <w:sz w:val="18"/>
                <w:szCs w:val="18"/>
                <w:lang w:val="en-GB"/>
              </w:rPr>
              <w:t>.</w:t>
            </w:r>
          </w:p>
          <w:p w14:paraId="05302A4C" w14:textId="77777777" w:rsidR="005C1D3A" w:rsidRPr="00482F4B" w:rsidRDefault="005C1D3A">
            <w:pPr>
              <w:jc w:val="center"/>
              <w:rPr>
                <w:i/>
                <w:iCs/>
                <w:color w:val="0E2841" w:themeColor="text2"/>
                <w:sz w:val="18"/>
                <w:szCs w:val="18"/>
                <w:lang w:val="en-GB"/>
              </w:rPr>
            </w:pPr>
          </w:p>
        </w:tc>
      </w:tr>
      <w:tr w:rsidR="005C1D3A" w:rsidRPr="00364549" w14:paraId="7169E9E1" w14:textId="77777777" w:rsidTr="00EE1723">
        <w:trPr>
          <w:trHeight w:val="1007"/>
        </w:trPr>
        <w:tc>
          <w:tcPr>
            <w:tcW w:w="1419" w:type="dxa"/>
            <w:tcMar>
              <w:top w:w="15" w:type="dxa"/>
              <w:left w:w="15" w:type="dxa"/>
              <w:bottom w:w="0" w:type="dxa"/>
              <w:right w:w="15" w:type="dxa"/>
            </w:tcMar>
            <w:hideMark/>
          </w:tcPr>
          <w:p w14:paraId="7BAC0E14" w14:textId="77777777" w:rsidR="005C1D3A" w:rsidRPr="00482F4B" w:rsidRDefault="005C1D3A">
            <w:pPr>
              <w:jc w:val="center"/>
              <w:rPr>
                <w:b/>
                <w:bCs/>
                <w:i/>
                <w:iCs/>
                <w:color w:val="0E2841" w:themeColor="text2"/>
                <w:sz w:val="18"/>
                <w:szCs w:val="18"/>
                <w:lang w:val="en-GB"/>
              </w:rPr>
            </w:pPr>
          </w:p>
          <w:p w14:paraId="12A50C54" w14:textId="77777777" w:rsidR="005C1D3A" w:rsidRPr="00482F4B" w:rsidRDefault="005C1D3A">
            <w:pPr>
              <w:jc w:val="center"/>
              <w:rPr>
                <w:b/>
                <w:bCs/>
                <w:i/>
                <w:iCs/>
                <w:color w:val="0E2841" w:themeColor="text2"/>
                <w:sz w:val="18"/>
                <w:szCs w:val="18"/>
                <w:lang w:val="en-GB"/>
              </w:rPr>
            </w:pPr>
            <w:r w:rsidRPr="00482F4B">
              <w:rPr>
                <w:b/>
                <w:bCs/>
                <w:i/>
                <w:iCs/>
                <w:color w:val="0E2841" w:themeColor="text2"/>
                <w:sz w:val="18"/>
                <w:szCs w:val="18"/>
                <w:lang w:val="en-GB"/>
              </w:rPr>
              <w:t>Material intensity reduction</w:t>
            </w:r>
          </w:p>
          <w:p w14:paraId="60D6BE1E" w14:textId="77777777" w:rsidR="005C1D3A" w:rsidRPr="00482F4B" w:rsidRDefault="005C1D3A">
            <w:pPr>
              <w:jc w:val="center"/>
              <w:rPr>
                <w:b/>
                <w:bCs/>
                <w:i/>
                <w:iCs/>
                <w:color w:val="0E2841" w:themeColor="text2"/>
                <w:sz w:val="18"/>
                <w:szCs w:val="18"/>
                <w:lang w:val="en-GB"/>
              </w:rPr>
            </w:pPr>
          </w:p>
        </w:tc>
        <w:tc>
          <w:tcPr>
            <w:tcW w:w="4394" w:type="dxa"/>
            <w:tcMar>
              <w:top w:w="15" w:type="dxa"/>
              <w:left w:w="15" w:type="dxa"/>
              <w:bottom w:w="0" w:type="dxa"/>
              <w:right w:w="15" w:type="dxa"/>
            </w:tcMar>
            <w:vAlign w:val="center"/>
            <w:hideMark/>
          </w:tcPr>
          <w:p w14:paraId="2948694E" w14:textId="7D465E2F" w:rsidR="005C1D3A" w:rsidRPr="00482F4B" w:rsidRDefault="005C1D3A">
            <w:pPr>
              <w:jc w:val="center"/>
              <w:rPr>
                <w:i/>
                <w:iCs/>
                <w:color w:val="0E2841" w:themeColor="text2"/>
                <w:sz w:val="18"/>
                <w:szCs w:val="18"/>
                <w:lang w:val="en-GB"/>
              </w:rPr>
            </w:pPr>
            <w:r w:rsidRPr="00482F4B">
              <w:rPr>
                <w:i/>
                <w:iCs/>
                <w:color w:val="0E2841" w:themeColor="text2"/>
                <w:sz w:val="18"/>
                <w:szCs w:val="18"/>
                <w:lang w:val="en-GB"/>
              </w:rPr>
              <w:t xml:space="preserve">Toyota has developed a new motor magnet that cuts neodymium use by 50%. The design also eliminates the need for other rare earth elements such as terbium and dysprosium </w:t>
            </w:r>
            <w:r w:rsidRPr="00482F4B">
              <w:rPr>
                <w:i/>
                <w:iCs/>
                <w:color w:val="0E2841" w:themeColor="text2"/>
                <w:sz w:val="18"/>
                <w:szCs w:val="18"/>
                <w:lang w:val="en-GB"/>
              </w:rPr>
              <w:fldChar w:fldCharType="begin"/>
            </w:r>
            <w:r w:rsidR="00120433">
              <w:rPr>
                <w:i/>
                <w:iCs/>
                <w:color w:val="0E2841" w:themeColor="text2"/>
                <w:sz w:val="18"/>
                <w:szCs w:val="18"/>
                <w:lang w:val="en-GB"/>
              </w:rPr>
              <w:instrText xml:space="preserve"> ADDIN ZOTERO_ITEM CSL_CITATION {"citationID":"adq3ckasuf","properties":{"formattedCitation":"(Tangemann, 2020)","plainCitation":"(Tangemann, 2020)","noteIndex":0},"citationItems":[{"id":17297,"uris":["http://zotero.org/groups/5509458/items/8VC3BLNH"],"itemData":{"id":17297,"type":"report","title":"Developing electric motors less dependable on rare earth magnets","URL":"https://www.automotive-iq.com/electrics-electronics/articles/developing-electric-motors-less-dependable-on-rare-earth-magnets","author":[{"family":"Tangemann","given":"Cristian"}],"issued":{"date-parts":[["2020",1,22]]}}}],"schema":"https://github.com/citation-style-language/schema/raw/master/csl-citation.json"} </w:instrText>
            </w:r>
            <w:r w:rsidRPr="00482F4B">
              <w:rPr>
                <w:i/>
                <w:iCs/>
                <w:color w:val="0E2841" w:themeColor="text2"/>
                <w:sz w:val="18"/>
                <w:szCs w:val="18"/>
                <w:lang w:val="en-GB"/>
              </w:rPr>
              <w:fldChar w:fldCharType="separate"/>
            </w:r>
            <w:r w:rsidR="00120433">
              <w:rPr>
                <w:i/>
                <w:iCs/>
                <w:color w:val="0E2841" w:themeColor="text2"/>
                <w:sz w:val="18"/>
                <w:szCs w:val="18"/>
                <w:lang w:val="en-GB"/>
              </w:rPr>
              <w:t>(Tangemann, 2020)</w:t>
            </w:r>
            <w:r w:rsidRPr="00482F4B">
              <w:rPr>
                <w:i/>
                <w:iCs/>
                <w:color w:val="0E2841" w:themeColor="text2"/>
                <w:sz w:val="18"/>
                <w:szCs w:val="18"/>
                <w:lang w:val="en-GB"/>
              </w:rPr>
              <w:fldChar w:fldCharType="end"/>
            </w:r>
            <w:r w:rsidRPr="00482F4B">
              <w:rPr>
                <w:i/>
                <w:iCs/>
                <w:color w:val="0E2841" w:themeColor="text2"/>
                <w:sz w:val="18"/>
                <w:szCs w:val="18"/>
                <w:lang w:val="en-GB"/>
              </w:rPr>
              <w:t>.</w:t>
            </w:r>
          </w:p>
        </w:tc>
        <w:tc>
          <w:tcPr>
            <w:tcW w:w="3685" w:type="dxa"/>
          </w:tcPr>
          <w:p w14:paraId="59FC9819" w14:textId="77777777" w:rsidR="005C1D3A" w:rsidRPr="00482F4B" w:rsidRDefault="005C1D3A">
            <w:pPr>
              <w:jc w:val="center"/>
              <w:rPr>
                <w:i/>
                <w:iCs/>
                <w:color w:val="0E2841" w:themeColor="text2"/>
                <w:sz w:val="18"/>
                <w:szCs w:val="18"/>
                <w:lang w:val="en-GB"/>
              </w:rPr>
            </w:pPr>
          </w:p>
          <w:p w14:paraId="4A63CADA" w14:textId="1503928E" w:rsidR="005C1D3A" w:rsidRPr="00482F4B" w:rsidRDefault="005C1D3A">
            <w:pPr>
              <w:jc w:val="center"/>
              <w:rPr>
                <w:i/>
                <w:iCs/>
                <w:color w:val="0E2841" w:themeColor="text2"/>
                <w:sz w:val="18"/>
                <w:szCs w:val="18"/>
                <w:lang w:val="en-GB"/>
              </w:rPr>
            </w:pPr>
            <w:r w:rsidRPr="00482F4B">
              <w:rPr>
                <w:i/>
                <w:iCs/>
                <w:color w:val="0E2841" w:themeColor="text2"/>
                <w:sz w:val="18"/>
                <w:szCs w:val="18"/>
                <w:lang w:val="en-GB"/>
              </w:rPr>
              <w:t xml:space="preserve">The metal intensity of silver in c-Si solar cells has experienced a 40%–50% reduction over the past decade </w:t>
            </w:r>
            <w:r w:rsidRPr="00482F4B">
              <w:rPr>
                <w:i/>
                <w:iCs/>
                <w:color w:val="0E2841" w:themeColor="text2"/>
                <w:sz w:val="18"/>
                <w:szCs w:val="18"/>
                <w:lang w:val="en-GB"/>
              </w:rPr>
              <w:fldChar w:fldCharType="begin"/>
            </w:r>
            <w:r w:rsidR="00120433">
              <w:rPr>
                <w:i/>
                <w:iCs/>
                <w:color w:val="0E2841" w:themeColor="text2"/>
                <w:sz w:val="18"/>
                <w:szCs w:val="18"/>
                <w:lang w:val="en-GB"/>
              </w:rPr>
              <w:instrText xml:space="preserve"> ADDIN ZOTERO_ITEM CSL_CITATION {"citationID":"2HJgL7P4","properties":{"formattedCitation":"(IEA, 2022)","plainCitation":"(IEA, 2022)","noteIndex":0},"citationItems":[{"id":16773,"uris":["http://zotero.org/groups/5509458/items/ML2X38JJ"],"itemData":{"id":16773,"type":"report","collection-title":"World Energy Outlook Special Report","genre":"International Energy Agency","title":"The Role of Critical Minerals in Clean Energy Transitions","URL":"https://www.iea.org/reports/the-role-of-critical-minerals-in-clean-energy-transitions","author":[{"family":"IEA","given":""}],"issued":{"date-parts":[["2022"]]}}}],"schema":"https://github.com/citation-style-language/schema/raw/master/csl-citation.json"} </w:instrText>
            </w:r>
            <w:r w:rsidRPr="00482F4B">
              <w:rPr>
                <w:i/>
                <w:iCs/>
                <w:color w:val="0E2841" w:themeColor="text2"/>
                <w:sz w:val="18"/>
                <w:szCs w:val="18"/>
                <w:lang w:val="en-GB"/>
              </w:rPr>
              <w:fldChar w:fldCharType="separate"/>
            </w:r>
            <w:r w:rsidR="00120433">
              <w:rPr>
                <w:i/>
                <w:iCs/>
                <w:color w:val="0E2841" w:themeColor="text2"/>
                <w:sz w:val="18"/>
                <w:szCs w:val="18"/>
                <w:lang w:val="en-GB"/>
              </w:rPr>
              <w:t>(IEA, 2022)</w:t>
            </w:r>
            <w:r w:rsidRPr="00482F4B">
              <w:rPr>
                <w:i/>
                <w:iCs/>
                <w:color w:val="0E2841" w:themeColor="text2"/>
                <w:sz w:val="18"/>
                <w:szCs w:val="18"/>
                <w:lang w:val="en-GB"/>
              </w:rPr>
              <w:fldChar w:fldCharType="end"/>
            </w:r>
            <w:r w:rsidRPr="00482F4B">
              <w:rPr>
                <w:i/>
                <w:iCs/>
                <w:color w:val="0E2841" w:themeColor="text2"/>
                <w:sz w:val="18"/>
                <w:szCs w:val="18"/>
                <w:lang w:val="en-GB"/>
              </w:rPr>
              <w:t>.</w:t>
            </w:r>
          </w:p>
        </w:tc>
      </w:tr>
      <w:tr w:rsidR="005C1D3A" w:rsidRPr="00364549" w14:paraId="7293113E" w14:textId="77777777" w:rsidTr="00EE1723">
        <w:trPr>
          <w:trHeight w:val="1007"/>
        </w:trPr>
        <w:tc>
          <w:tcPr>
            <w:tcW w:w="1419" w:type="dxa"/>
            <w:tcMar>
              <w:top w:w="15" w:type="dxa"/>
              <w:left w:w="15" w:type="dxa"/>
              <w:bottom w:w="0" w:type="dxa"/>
              <w:right w:w="15" w:type="dxa"/>
            </w:tcMar>
          </w:tcPr>
          <w:p w14:paraId="073E5108" w14:textId="77777777" w:rsidR="005C1D3A" w:rsidRPr="00482F4B" w:rsidRDefault="005C1D3A">
            <w:pPr>
              <w:jc w:val="center"/>
              <w:rPr>
                <w:b/>
                <w:bCs/>
                <w:i/>
                <w:iCs/>
                <w:color w:val="0E2841" w:themeColor="text2"/>
                <w:sz w:val="18"/>
                <w:szCs w:val="18"/>
                <w:lang w:val="en-GB"/>
              </w:rPr>
            </w:pPr>
          </w:p>
          <w:p w14:paraId="7CB74FC8" w14:textId="77777777" w:rsidR="005C1D3A" w:rsidRPr="00482F4B" w:rsidRDefault="005C1D3A">
            <w:pPr>
              <w:jc w:val="center"/>
              <w:rPr>
                <w:b/>
                <w:bCs/>
                <w:i/>
                <w:iCs/>
                <w:color w:val="0E2841" w:themeColor="text2"/>
                <w:sz w:val="18"/>
                <w:szCs w:val="18"/>
                <w:lang w:val="en-GB"/>
              </w:rPr>
            </w:pPr>
          </w:p>
          <w:p w14:paraId="1F7CAE7C" w14:textId="77777777" w:rsidR="005C1D3A" w:rsidRPr="00482F4B" w:rsidRDefault="005C1D3A">
            <w:pPr>
              <w:jc w:val="center"/>
              <w:rPr>
                <w:b/>
                <w:bCs/>
                <w:i/>
                <w:iCs/>
                <w:color w:val="0E2841" w:themeColor="text2"/>
                <w:sz w:val="18"/>
                <w:szCs w:val="18"/>
                <w:lang w:val="en-GB"/>
              </w:rPr>
            </w:pPr>
            <w:r w:rsidRPr="00482F4B">
              <w:rPr>
                <w:b/>
                <w:bCs/>
                <w:i/>
                <w:iCs/>
                <w:color w:val="0E2841" w:themeColor="text2"/>
                <w:sz w:val="18"/>
                <w:szCs w:val="18"/>
                <w:lang w:val="en-GB"/>
              </w:rPr>
              <w:t>Substitution</w:t>
            </w:r>
          </w:p>
        </w:tc>
        <w:tc>
          <w:tcPr>
            <w:tcW w:w="4394" w:type="dxa"/>
            <w:tcMar>
              <w:top w:w="15" w:type="dxa"/>
              <w:left w:w="15" w:type="dxa"/>
              <w:bottom w:w="0" w:type="dxa"/>
              <w:right w:w="15" w:type="dxa"/>
            </w:tcMar>
            <w:vAlign w:val="center"/>
          </w:tcPr>
          <w:p w14:paraId="0D3E8438" w14:textId="46DE57B2" w:rsidR="005C1D3A" w:rsidRPr="00482F4B" w:rsidRDefault="005C1D3A">
            <w:pPr>
              <w:jc w:val="center"/>
              <w:rPr>
                <w:i/>
                <w:iCs/>
                <w:color w:val="0E2841" w:themeColor="text2"/>
                <w:sz w:val="18"/>
                <w:szCs w:val="18"/>
                <w:lang w:val="en-GB"/>
              </w:rPr>
            </w:pPr>
            <w:proofErr w:type="spellStart"/>
            <w:r w:rsidRPr="00482F4B">
              <w:rPr>
                <w:i/>
                <w:iCs/>
                <w:color w:val="0E2841" w:themeColor="text2"/>
                <w:sz w:val="18"/>
                <w:szCs w:val="18"/>
                <w:lang w:val="en-GB"/>
              </w:rPr>
              <w:t>GreenSpur</w:t>
            </w:r>
            <w:proofErr w:type="spellEnd"/>
            <w:r w:rsidRPr="00482F4B">
              <w:rPr>
                <w:i/>
                <w:iCs/>
                <w:color w:val="0E2841" w:themeColor="text2"/>
                <w:sz w:val="18"/>
                <w:szCs w:val="18"/>
                <w:lang w:val="en-GB"/>
              </w:rPr>
              <w:t xml:space="preserve"> Renewables has pioneered the development of the world's first permanent magnet synchronous generator (PMSG), which utilizes ferrite instead of REE </w:t>
            </w:r>
            <w:r w:rsidRPr="00482F4B">
              <w:rPr>
                <w:i/>
                <w:iCs/>
                <w:color w:val="0E2841" w:themeColor="text2"/>
                <w:sz w:val="18"/>
                <w:szCs w:val="18"/>
                <w:lang w:val="en-GB"/>
              </w:rPr>
              <w:fldChar w:fldCharType="begin"/>
            </w:r>
            <w:r w:rsidR="00120433">
              <w:rPr>
                <w:i/>
                <w:iCs/>
                <w:color w:val="0E2841" w:themeColor="text2"/>
                <w:sz w:val="18"/>
                <w:szCs w:val="18"/>
                <w:lang w:val="en-GB"/>
              </w:rPr>
              <w:instrText xml:space="preserve"> ADDIN ZOTERO_ITEM CSL_CITATION {"citationID":"Dua4u64u","properties":{"formattedCitation":"(Snieckus, 2019)","plainCitation":"(Snieckus, 2019)","noteIndex":0},"citationItems":[{"id":16784,"uris":["http://zotero.org/groups/5509458/items/LV4EMWW5"],"itemData":{"id":16784,"type":"report","title":"Offshore Wind Turbine 20MW Generator Ready “Within Three Years”’","URL":"https://www.rechargenews.com/wind/offshore-wind-turbine-20mw-generator-ready-within-three-years/2-1-711845","author":[{"family":"Snieckus","given":"Darius"}],"issued":{"date-parts":[["2019"]]}}}],"schema":"https://github.com/citation-style-language/schema/raw/master/csl-citation.json"} </w:instrText>
            </w:r>
            <w:r w:rsidRPr="00482F4B">
              <w:rPr>
                <w:i/>
                <w:iCs/>
                <w:color w:val="0E2841" w:themeColor="text2"/>
                <w:sz w:val="18"/>
                <w:szCs w:val="18"/>
                <w:lang w:val="en-GB"/>
              </w:rPr>
              <w:fldChar w:fldCharType="separate"/>
            </w:r>
            <w:r w:rsidR="00120433">
              <w:rPr>
                <w:i/>
                <w:iCs/>
                <w:color w:val="0E2841" w:themeColor="text2"/>
                <w:sz w:val="18"/>
                <w:szCs w:val="18"/>
                <w:lang w:val="en-GB"/>
              </w:rPr>
              <w:t>(</w:t>
            </w:r>
            <w:proofErr w:type="spellStart"/>
            <w:r w:rsidR="00120433">
              <w:rPr>
                <w:i/>
                <w:iCs/>
                <w:color w:val="0E2841" w:themeColor="text2"/>
                <w:sz w:val="18"/>
                <w:szCs w:val="18"/>
                <w:lang w:val="en-GB"/>
              </w:rPr>
              <w:t>Snieckus</w:t>
            </w:r>
            <w:proofErr w:type="spellEnd"/>
            <w:r w:rsidR="00120433">
              <w:rPr>
                <w:i/>
                <w:iCs/>
                <w:color w:val="0E2841" w:themeColor="text2"/>
                <w:sz w:val="18"/>
                <w:szCs w:val="18"/>
                <w:lang w:val="en-GB"/>
              </w:rPr>
              <w:t>, 2019)</w:t>
            </w:r>
            <w:r w:rsidRPr="00482F4B">
              <w:rPr>
                <w:i/>
                <w:iCs/>
                <w:color w:val="0E2841" w:themeColor="text2"/>
                <w:sz w:val="18"/>
                <w:szCs w:val="18"/>
                <w:lang w:val="en-GB"/>
              </w:rPr>
              <w:fldChar w:fldCharType="end"/>
            </w:r>
            <w:r w:rsidRPr="00482F4B">
              <w:rPr>
                <w:i/>
                <w:iCs/>
                <w:color w:val="0E2841" w:themeColor="text2"/>
                <w:sz w:val="18"/>
                <w:szCs w:val="18"/>
                <w:lang w:val="en-GB"/>
              </w:rPr>
              <w:t xml:space="preserve">. </w:t>
            </w:r>
          </w:p>
          <w:p w14:paraId="32632286" w14:textId="77777777" w:rsidR="005C1D3A" w:rsidRPr="00482F4B" w:rsidRDefault="005C1D3A">
            <w:pPr>
              <w:jc w:val="center"/>
              <w:rPr>
                <w:i/>
                <w:iCs/>
                <w:color w:val="0E2841" w:themeColor="text2"/>
                <w:sz w:val="18"/>
                <w:szCs w:val="18"/>
                <w:lang w:val="en-GB"/>
              </w:rPr>
            </w:pPr>
          </w:p>
          <w:p w14:paraId="203041C7" w14:textId="2029C190" w:rsidR="005C1D3A" w:rsidRPr="00482F4B" w:rsidRDefault="005C1D3A">
            <w:pPr>
              <w:jc w:val="center"/>
              <w:rPr>
                <w:i/>
                <w:iCs/>
                <w:color w:val="0E2841" w:themeColor="text2"/>
                <w:sz w:val="18"/>
                <w:szCs w:val="18"/>
                <w:lang w:val="en-GB"/>
              </w:rPr>
            </w:pPr>
            <w:r w:rsidRPr="00482F4B">
              <w:rPr>
                <w:i/>
                <w:iCs/>
                <w:color w:val="0E2841" w:themeColor="text2"/>
                <w:sz w:val="18"/>
                <w:szCs w:val="18"/>
                <w:lang w:val="en-GB"/>
              </w:rPr>
              <w:t xml:space="preserve">Tesla announced its upcoming generation of permanent magnet synchronous reluctance motors (PMSRM) for traction applications, specifying that these would not incorporate rare earth PM </w:t>
            </w:r>
            <w:r w:rsidRPr="00482F4B">
              <w:rPr>
                <w:i/>
                <w:iCs/>
                <w:color w:val="0E2841" w:themeColor="text2"/>
                <w:sz w:val="18"/>
                <w:szCs w:val="18"/>
                <w:lang w:val="en-GB"/>
              </w:rPr>
              <w:fldChar w:fldCharType="begin"/>
            </w:r>
            <w:r w:rsidR="00120433">
              <w:rPr>
                <w:i/>
                <w:iCs/>
                <w:color w:val="0E2841" w:themeColor="text2"/>
                <w:sz w:val="18"/>
                <w:szCs w:val="18"/>
                <w:lang w:val="en-GB"/>
              </w:rPr>
              <w:instrText xml:space="preserve"> ADDIN ZOTERO_ITEM CSL_CITATION {"citationID":"K5Ny9RRY","properties":{"formattedCitation":"(Adamas Intelligence, 2023)","plainCitation":"(Adamas Intelligence, 2023)","noteIndex":0},"citationItems":[{"id":16786,"uris":["http://zotero.org/groups/5509458/items/PJTL7DKV"],"itemData":{"id":16786,"type":"report","title":"Implications: Tesla Announces Next Generation Rare-Earth-Free PMSM","URL":"https://www.adamasintel.com/tesla-rare-earth-free-motor/","author":[{"family":"Adamas Intelligence","given":""}],"issued":{"date-parts":[["2023"]]}}}],"schema":"https://github.com/citation-style-language/schema/raw/master/csl-citation.json"} </w:instrText>
            </w:r>
            <w:r w:rsidRPr="00482F4B">
              <w:rPr>
                <w:i/>
                <w:iCs/>
                <w:color w:val="0E2841" w:themeColor="text2"/>
                <w:sz w:val="18"/>
                <w:szCs w:val="18"/>
                <w:lang w:val="en-GB"/>
              </w:rPr>
              <w:fldChar w:fldCharType="separate"/>
            </w:r>
            <w:r w:rsidR="00120433">
              <w:rPr>
                <w:i/>
                <w:iCs/>
                <w:color w:val="0E2841" w:themeColor="text2"/>
                <w:sz w:val="18"/>
                <w:szCs w:val="18"/>
                <w:lang w:val="en-GB"/>
              </w:rPr>
              <w:t>(Adamas Intelligence, 2023)</w:t>
            </w:r>
            <w:r w:rsidRPr="00482F4B">
              <w:rPr>
                <w:i/>
                <w:iCs/>
                <w:color w:val="0E2841" w:themeColor="text2"/>
                <w:sz w:val="18"/>
                <w:szCs w:val="18"/>
                <w:lang w:val="en-GB"/>
              </w:rPr>
              <w:fldChar w:fldCharType="end"/>
            </w:r>
            <w:r w:rsidRPr="00482F4B">
              <w:rPr>
                <w:i/>
                <w:iCs/>
                <w:color w:val="0E2841" w:themeColor="text2"/>
                <w:sz w:val="18"/>
                <w:szCs w:val="18"/>
                <w:lang w:val="en-GB"/>
              </w:rPr>
              <w:t>.</w:t>
            </w:r>
          </w:p>
          <w:p w14:paraId="765833A0" w14:textId="77777777" w:rsidR="005C1D3A" w:rsidRPr="00482F4B" w:rsidRDefault="005C1D3A">
            <w:pPr>
              <w:jc w:val="center"/>
              <w:rPr>
                <w:i/>
                <w:iCs/>
                <w:color w:val="0E2841" w:themeColor="text2"/>
                <w:sz w:val="18"/>
                <w:szCs w:val="18"/>
                <w:lang w:val="en-GB"/>
              </w:rPr>
            </w:pPr>
          </w:p>
          <w:p w14:paraId="30C17424" w14:textId="77777777" w:rsidR="005C1D3A" w:rsidRPr="00482F4B" w:rsidRDefault="005C1D3A">
            <w:pPr>
              <w:jc w:val="center"/>
              <w:rPr>
                <w:i/>
                <w:iCs/>
                <w:color w:val="0E2841" w:themeColor="text2"/>
                <w:sz w:val="18"/>
                <w:szCs w:val="18"/>
                <w:lang w:val="en-GB"/>
              </w:rPr>
            </w:pPr>
            <w:r w:rsidRPr="00482F4B">
              <w:rPr>
                <w:i/>
                <w:iCs/>
                <w:color w:val="0E2841" w:themeColor="text2"/>
                <w:sz w:val="18"/>
                <w:szCs w:val="18"/>
                <w:lang w:val="en-GB"/>
              </w:rPr>
              <w:t xml:space="preserve">The </w:t>
            </w:r>
            <w:proofErr w:type="spellStart"/>
            <w:r w:rsidRPr="00482F4B">
              <w:rPr>
                <w:i/>
                <w:iCs/>
                <w:color w:val="0E2841" w:themeColor="text2"/>
                <w:sz w:val="18"/>
                <w:szCs w:val="18"/>
                <w:lang w:val="en-GB"/>
              </w:rPr>
              <w:t>EcoSwing</w:t>
            </w:r>
            <w:proofErr w:type="spellEnd"/>
            <w:r w:rsidRPr="00482F4B">
              <w:rPr>
                <w:i/>
                <w:iCs/>
                <w:color w:val="0E2841" w:themeColor="text2"/>
                <w:sz w:val="18"/>
                <w:szCs w:val="18"/>
                <w:lang w:val="en-GB"/>
              </w:rPr>
              <w:t xml:space="preserve"> H2020 project</w:t>
            </w:r>
            <w:r w:rsidRPr="00482F4B">
              <w:rPr>
                <w:i/>
                <w:iCs/>
                <w:color w:val="0E2841" w:themeColor="text2"/>
                <w:sz w:val="18"/>
                <w:szCs w:val="18"/>
                <w:lang w:val="en-GB"/>
              </w:rPr>
              <w:footnoteReference w:id="1"/>
            </w:r>
            <w:r w:rsidRPr="00482F4B">
              <w:rPr>
                <w:i/>
                <w:iCs/>
                <w:color w:val="0E2841" w:themeColor="text2"/>
                <w:sz w:val="18"/>
                <w:szCs w:val="18"/>
                <w:lang w:val="en-GB"/>
              </w:rPr>
              <w:t xml:space="preserve"> achieved a significant milestone in wind turbine generator technology by designing, constructing, and testing the world's first full-size superconducting generator for a wind turbine.</w:t>
            </w:r>
          </w:p>
        </w:tc>
        <w:tc>
          <w:tcPr>
            <w:tcW w:w="3685" w:type="dxa"/>
          </w:tcPr>
          <w:p w14:paraId="08915C07" w14:textId="4045D484" w:rsidR="005C1D3A" w:rsidRPr="00482F4B" w:rsidRDefault="005C1D3A">
            <w:pPr>
              <w:jc w:val="center"/>
              <w:rPr>
                <w:i/>
                <w:iCs/>
                <w:color w:val="0E2841" w:themeColor="text2"/>
                <w:sz w:val="18"/>
                <w:szCs w:val="18"/>
                <w:lang w:val="en-GB"/>
              </w:rPr>
            </w:pPr>
            <w:r w:rsidRPr="00482F4B">
              <w:rPr>
                <w:i/>
                <w:iCs/>
                <w:color w:val="0E2841" w:themeColor="text2"/>
                <w:sz w:val="18"/>
                <w:szCs w:val="18"/>
                <w:lang w:val="en-GB"/>
              </w:rPr>
              <w:t xml:space="preserve">Silver-free crystalline silicon (c-Si) panels are approaching the stage of commercial availability </w:t>
            </w:r>
            <w:r w:rsidRPr="00482F4B">
              <w:rPr>
                <w:i/>
                <w:iCs/>
                <w:color w:val="0E2841" w:themeColor="text2"/>
                <w:sz w:val="18"/>
                <w:szCs w:val="18"/>
                <w:lang w:val="en-GB"/>
              </w:rPr>
              <w:fldChar w:fldCharType="begin"/>
            </w:r>
            <w:r w:rsidR="00120433">
              <w:rPr>
                <w:i/>
                <w:iCs/>
                <w:color w:val="0E2841" w:themeColor="text2"/>
                <w:sz w:val="18"/>
                <w:szCs w:val="18"/>
                <w:lang w:val="en-GB"/>
              </w:rPr>
              <w:instrText xml:space="preserve"> ADDIN ZOTERO_ITEM CSL_CITATION {"citationID":"VnaBsr0r","properties":{"formattedCitation":"(Fraunhofer, 2022)","plainCitation":"(Fraunhofer, 2022)","noteIndex":0},"citationItems":[{"id":16767,"uris":["http://zotero.org/groups/5509458/items/WJJQ3CAR"],"itemData":{"id":16767,"type":"report","title":"Out with the silver, in with the copper: A new boost for solar cell production","URL":"https://www.fraunhofer.de/en/press/research-news/2022/september-2022/out-with-the-silver-in-with-the-copper-a-new-boost-for-solar-cells.html","author":[{"family":"Fraunhofer","given":""}],"issued":{"date-parts":[["2022",9]]}}}],"schema":"https://github.com/citation-style-language/schema/raw/master/csl-citation.json"} </w:instrText>
            </w:r>
            <w:r w:rsidRPr="00482F4B">
              <w:rPr>
                <w:i/>
                <w:iCs/>
                <w:color w:val="0E2841" w:themeColor="text2"/>
                <w:sz w:val="18"/>
                <w:szCs w:val="18"/>
                <w:lang w:val="en-GB"/>
              </w:rPr>
              <w:fldChar w:fldCharType="separate"/>
            </w:r>
            <w:r w:rsidR="00120433">
              <w:rPr>
                <w:i/>
                <w:iCs/>
                <w:color w:val="0E2841" w:themeColor="text2"/>
                <w:sz w:val="18"/>
                <w:szCs w:val="18"/>
                <w:lang w:val="en-GB"/>
              </w:rPr>
              <w:t>(Fraunhofer, 2022)</w:t>
            </w:r>
            <w:r w:rsidRPr="00482F4B">
              <w:rPr>
                <w:i/>
                <w:iCs/>
                <w:color w:val="0E2841" w:themeColor="text2"/>
                <w:sz w:val="18"/>
                <w:szCs w:val="18"/>
                <w:lang w:val="en-GB"/>
              </w:rPr>
              <w:fldChar w:fldCharType="end"/>
            </w:r>
            <w:r w:rsidRPr="00482F4B">
              <w:rPr>
                <w:i/>
                <w:iCs/>
                <w:color w:val="0E2841" w:themeColor="text2"/>
                <w:sz w:val="18"/>
                <w:szCs w:val="18"/>
                <w:lang w:val="en-GB"/>
              </w:rPr>
              <w:t>.</w:t>
            </w:r>
          </w:p>
          <w:p w14:paraId="4B842EF1" w14:textId="77777777" w:rsidR="005C1D3A" w:rsidRPr="00482F4B" w:rsidRDefault="005C1D3A">
            <w:pPr>
              <w:jc w:val="center"/>
              <w:rPr>
                <w:i/>
                <w:iCs/>
                <w:color w:val="0E2841" w:themeColor="text2"/>
                <w:sz w:val="18"/>
                <w:szCs w:val="18"/>
                <w:lang w:val="en-GB"/>
              </w:rPr>
            </w:pPr>
          </w:p>
          <w:p w14:paraId="2909A872" w14:textId="24267805" w:rsidR="005C1D3A" w:rsidRPr="00482F4B" w:rsidRDefault="005C1D3A">
            <w:pPr>
              <w:jc w:val="center"/>
              <w:rPr>
                <w:i/>
                <w:iCs/>
                <w:color w:val="0E2841" w:themeColor="text2"/>
                <w:sz w:val="18"/>
                <w:szCs w:val="18"/>
                <w:lang w:val="en-GB"/>
              </w:rPr>
            </w:pPr>
            <w:r w:rsidRPr="00482F4B">
              <w:rPr>
                <w:i/>
                <w:iCs/>
                <w:color w:val="0E2841" w:themeColor="text2"/>
                <w:sz w:val="18"/>
                <w:szCs w:val="18"/>
                <w:lang w:val="en-GB"/>
              </w:rPr>
              <w:t xml:space="preserve">Oxford PV re developing perovskite-silicon tandem cells that stack a perovskite layer on top of a silicon cell. As of 2024, they are scaling up production at their facility in Brandenburg, Germany, with commercial modules expected soon </w:t>
            </w:r>
            <w:r w:rsidRPr="00482F4B">
              <w:rPr>
                <w:i/>
                <w:iCs/>
                <w:color w:val="0E2841" w:themeColor="text2"/>
                <w:sz w:val="18"/>
                <w:szCs w:val="18"/>
                <w:lang w:val="en-GB"/>
              </w:rPr>
              <w:fldChar w:fldCharType="begin"/>
            </w:r>
            <w:r w:rsidR="00120433">
              <w:rPr>
                <w:i/>
                <w:iCs/>
                <w:color w:val="0E2841" w:themeColor="text2"/>
                <w:sz w:val="18"/>
                <w:szCs w:val="18"/>
                <w:lang w:val="en-GB"/>
              </w:rPr>
              <w:instrText xml:space="preserve"> ADDIN ZOTERO_ITEM CSL_CITATION {"citationID":"a1fimbfqno5","properties":{"formattedCitation":"(Jowett, 2024)","plainCitation":"(Jowett, 2024)","noteIndex":0},"citationItems":[{"id":17298,"uris":["http://zotero.org/groups/5509458/items/Z9557X6P"],"itemData":{"id":17298,"type":"report","title":"Oxford PV starts commercial distribution of perovskite solar modules","URL":"https://www.pv-magazine.com/2024/09/05/oxford-pv-starts-commercial-distribution-of-perovskite-solar-modules/?utm_source=chatgpt.com","author":[{"family":"Jowett","given":"Patrick"}],"issued":{"date-parts":[["2024",5,9]]}}}],"schema":"https://github.com/citation-style-language/schema/raw/master/csl-citation.json"} </w:instrText>
            </w:r>
            <w:r w:rsidRPr="00482F4B">
              <w:rPr>
                <w:i/>
                <w:iCs/>
                <w:color w:val="0E2841" w:themeColor="text2"/>
                <w:sz w:val="18"/>
                <w:szCs w:val="18"/>
                <w:lang w:val="en-GB"/>
              </w:rPr>
              <w:fldChar w:fldCharType="separate"/>
            </w:r>
            <w:r w:rsidR="00120433">
              <w:rPr>
                <w:i/>
                <w:iCs/>
                <w:color w:val="0E2841" w:themeColor="text2"/>
                <w:sz w:val="18"/>
                <w:szCs w:val="18"/>
                <w:lang w:val="en-GB"/>
              </w:rPr>
              <w:t>(Jowett, 2024)</w:t>
            </w:r>
            <w:r w:rsidRPr="00482F4B">
              <w:rPr>
                <w:i/>
                <w:iCs/>
                <w:color w:val="0E2841" w:themeColor="text2"/>
                <w:sz w:val="18"/>
                <w:szCs w:val="18"/>
                <w:lang w:val="en-GB"/>
              </w:rPr>
              <w:fldChar w:fldCharType="end"/>
            </w:r>
            <w:r w:rsidRPr="00482F4B">
              <w:rPr>
                <w:i/>
                <w:iCs/>
                <w:color w:val="0E2841" w:themeColor="text2"/>
                <w:sz w:val="18"/>
                <w:szCs w:val="18"/>
                <w:lang w:val="en-GB"/>
              </w:rPr>
              <w:t>.</w:t>
            </w:r>
          </w:p>
          <w:p w14:paraId="728FEF88" w14:textId="77777777" w:rsidR="005C1D3A" w:rsidRPr="00482F4B" w:rsidRDefault="005C1D3A">
            <w:pPr>
              <w:jc w:val="center"/>
              <w:rPr>
                <w:i/>
                <w:iCs/>
                <w:color w:val="0E2841" w:themeColor="text2"/>
                <w:sz w:val="18"/>
                <w:szCs w:val="18"/>
                <w:lang w:val="en-GB"/>
              </w:rPr>
            </w:pPr>
          </w:p>
          <w:p w14:paraId="16E5379C" w14:textId="09001ACC" w:rsidR="005C1D3A" w:rsidRPr="00482F4B" w:rsidRDefault="005C1D3A">
            <w:pPr>
              <w:jc w:val="center"/>
              <w:rPr>
                <w:i/>
                <w:iCs/>
                <w:color w:val="0E2841" w:themeColor="text2"/>
                <w:sz w:val="18"/>
                <w:szCs w:val="18"/>
                <w:lang w:val="en-GB"/>
              </w:rPr>
            </w:pPr>
            <w:r w:rsidRPr="00482F4B">
              <w:rPr>
                <w:i/>
                <w:iCs/>
                <w:color w:val="0E2841" w:themeColor="text2"/>
                <w:sz w:val="18"/>
                <w:szCs w:val="18"/>
                <w:lang w:val="en-GB"/>
              </w:rPr>
              <w:t xml:space="preserve">The start-up </w:t>
            </w:r>
            <w:proofErr w:type="spellStart"/>
            <w:r w:rsidRPr="00482F4B">
              <w:rPr>
                <w:i/>
                <w:iCs/>
                <w:color w:val="0E2841" w:themeColor="text2"/>
                <w:sz w:val="18"/>
                <w:szCs w:val="18"/>
                <w:lang w:val="en-GB"/>
              </w:rPr>
              <w:t>Microquanta</w:t>
            </w:r>
            <w:proofErr w:type="spellEnd"/>
            <w:r w:rsidRPr="00482F4B">
              <w:rPr>
                <w:i/>
                <w:iCs/>
                <w:color w:val="0E2841" w:themeColor="text2"/>
                <w:sz w:val="18"/>
                <w:szCs w:val="18"/>
                <w:lang w:val="en-GB"/>
              </w:rPr>
              <w:t xml:space="preserve"> Semiconductor is advancing efforts to bring all-perovskite modules to market for specialty applications </w:t>
            </w:r>
            <w:r w:rsidRPr="00482F4B">
              <w:rPr>
                <w:i/>
                <w:iCs/>
                <w:color w:val="0E2841" w:themeColor="text2"/>
                <w:sz w:val="18"/>
                <w:szCs w:val="18"/>
                <w:lang w:val="en-GB"/>
              </w:rPr>
              <w:fldChar w:fldCharType="begin"/>
            </w:r>
            <w:r w:rsidR="00120433">
              <w:rPr>
                <w:i/>
                <w:iCs/>
                <w:color w:val="0E2841" w:themeColor="text2"/>
                <w:sz w:val="18"/>
                <w:szCs w:val="18"/>
                <w:lang w:val="en-GB"/>
              </w:rPr>
              <w:instrText xml:space="preserve"> ADDIN ZOTERO_ITEM CSL_CITATION {"citationID":"a2j2ghjelo8","properties":{"formattedCitation":"(Shaw, 2025)","plainCitation":"(Shaw, 2025)","noteIndex":0},"citationItems":[{"id":17299,"uris":["http://zotero.org/groups/5509458/items/PYAYBYFP"],"itemData":{"id":17299,"type":"report","title":"Microquanta developing perovskite solar modules for BIPV applications","URL":"https://www.pv-magazine.com/2025/02/17/microquanta-developing-perovskite-solar-modules-for-bipv-applications/?utm_source=chatgpt.com","author":[{"family":"Shaw","given":"Vincent"}],"issued":{"date-parts":[["2025",2,17]]}}}],"schema":"https://github.com/citation-style-language/schema/raw/master/csl-citation.json"} </w:instrText>
            </w:r>
            <w:r w:rsidRPr="00482F4B">
              <w:rPr>
                <w:i/>
                <w:iCs/>
                <w:color w:val="0E2841" w:themeColor="text2"/>
                <w:sz w:val="18"/>
                <w:szCs w:val="18"/>
                <w:lang w:val="en-GB"/>
              </w:rPr>
              <w:fldChar w:fldCharType="separate"/>
            </w:r>
            <w:r w:rsidR="00120433">
              <w:rPr>
                <w:i/>
                <w:iCs/>
                <w:color w:val="0E2841" w:themeColor="text2"/>
                <w:sz w:val="18"/>
                <w:szCs w:val="18"/>
                <w:lang w:val="en-GB"/>
              </w:rPr>
              <w:t>(Shaw, 2025)</w:t>
            </w:r>
            <w:r w:rsidRPr="00482F4B">
              <w:rPr>
                <w:i/>
                <w:iCs/>
                <w:color w:val="0E2841" w:themeColor="text2"/>
                <w:sz w:val="18"/>
                <w:szCs w:val="18"/>
                <w:lang w:val="en-GB"/>
              </w:rPr>
              <w:fldChar w:fldCharType="end"/>
            </w:r>
            <w:r w:rsidRPr="00482F4B">
              <w:rPr>
                <w:i/>
                <w:iCs/>
                <w:color w:val="0E2841" w:themeColor="text2"/>
                <w:sz w:val="18"/>
                <w:szCs w:val="18"/>
                <w:lang w:val="en-GB"/>
              </w:rPr>
              <w:t>.</w:t>
            </w:r>
          </w:p>
        </w:tc>
      </w:tr>
    </w:tbl>
    <w:p w14:paraId="3D20F546" w14:textId="6D001C1C" w:rsidR="00250E9B" w:rsidRPr="00EC0378" w:rsidRDefault="00977536" w:rsidP="00250E9B">
      <w:pPr>
        <w:pStyle w:val="Heading1"/>
        <w:rPr>
          <w:color w:val="0E2841" w:themeColor="text2"/>
          <w:sz w:val="32"/>
          <w:szCs w:val="32"/>
        </w:rPr>
      </w:pPr>
      <w:bookmarkStart w:id="36" w:name="_Toc171616701"/>
      <w:bookmarkStart w:id="37" w:name="_Toc172657876"/>
      <w:bookmarkStart w:id="38" w:name="_Toc173327300"/>
      <w:bookmarkStart w:id="39" w:name="_Toc176448299"/>
      <w:bookmarkStart w:id="40" w:name="_Toc176788412"/>
      <w:bookmarkStart w:id="41" w:name="_Toc176788454"/>
      <w:bookmarkStart w:id="42" w:name="_Toc176788571"/>
      <w:bookmarkStart w:id="43" w:name="_Toc176789088"/>
      <w:bookmarkStart w:id="44" w:name="_Toc176789944"/>
      <w:bookmarkStart w:id="45" w:name="_Toc208849802"/>
      <w:bookmarkStart w:id="46" w:name="_Toc208850246"/>
      <w:r>
        <w:rPr>
          <w:color w:val="0E2841" w:themeColor="text2"/>
          <w:sz w:val="32"/>
          <w:szCs w:val="32"/>
        </w:rPr>
        <w:lastRenderedPageBreak/>
        <w:t>5</w:t>
      </w:r>
      <w:r w:rsidR="00250E9B" w:rsidRPr="00EC0378">
        <w:rPr>
          <w:color w:val="0E2841" w:themeColor="text2"/>
          <w:sz w:val="32"/>
          <w:szCs w:val="32"/>
        </w:rPr>
        <w:t>. Market shares</w:t>
      </w:r>
      <w:bookmarkEnd w:id="33"/>
      <w:bookmarkEnd w:id="36"/>
      <w:bookmarkEnd w:id="37"/>
      <w:bookmarkEnd w:id="38"/>
      <w:bookmarkEnd w:id="39"/>
      <w:bookmarkEnd w:id="40"/>
      <w:bookmarkEnd w:id="41"/>
      <w:bookmarkEnd w:id="42"/>
      <w:bookmarkEnd w:id="43"/>
      <w:bookmarkEnd w:id="44"/>
      <w:bookmarkEnd w:id="45"/>
      <w:bookmarkEnd w:id="46"/>
    </w:p>
    <w:p w14:paraId="346E4B29" w14:textId="52E8773C" w:rsidR="00250E9B" w:rsidRPr="005B3DC2" w:rsidRDefault="00250E9B" w:rsidP="00250E9B">
      <w:pPr>
        <w:jc w:val="both"/>
        <w:rPr>
          <w:sz w:val="22"/>
          <w:szCs w:val="22"/>
          <w:lang w:val="en-GB"/>
        </w:rPr>
      </w:pPr>
      <w:r w:rsidRPr="005B3DC2">
        <w:rPr>
          <w:sz w:val="22"/>
          <w:szCs w:val="22"/>
        </w:rPr>
        <w:t>With regards to solar PV power, the 1</w:t>
      </w:r>
      <w:r w:rsidRPr="005B3DC2">
        <w:rPr>
          <w:sz w:val="22"/>
          <w:szCs w:val="22"/>
          <w:vertAlign w:val="superscript"/>
        </w:rPr>
        <w:t>st</w:t>
      </w:r>
      <w:r w:rsidRPr="005B3DC2">
        <w:rPr>
          <w:sz w:val="22"/>
          <w:szCs w:val="22"/>
        </w:rPr>
        <w:t xml:space="preserve"> generation sub-technology c-Si currently has over 95% of the market share on the global level </w:t>
      </w:r>
      <w:r w:rsidRPr="005B3DC2">
        <w:rPr>
          <w:sz w:val="22"/>
          <w:szCs w:val="22"/>
        </w:rPr>
        <w:fldChar w:fldCharType="begin"/>
      </w:r>
      <w:r w:rsidR="00120433">
        <w:rPr>
          <w:sz w:val="22"/>
          <w:szCs w:val="22"/>
        </w:rPr>
        <w:instrText xml:space="preserve"> ADDIN ZOTERO_ITEM CSL_CITATION {"citationID":"y9AA0WKO","properties":{"formattedCitation":"(Carrara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5B3DC2">
        <w:rPr>
          <w:sz w:val="22"/>
          <w:szCs w:val="22"/>
        </w:rPr>
        <w:fldChar w:fldCharType="separate"/>
      </w:r>
      <w:r w:rsidR="00120433">
        <w:rPr>
          <w:sz w:val="22"/>
          <w:szCs w:val="22"/>
        </w:rPr>
        <w:t>(Carrara et al., 2020)</w:t>
      </w:r>
      <w:r w:rsidRPr="005B3DC2">
        <w:rPr>
          <w:sz w:val="22"/>
          <w:szCs w:val="22"/>
        </w:rPr>
        <w:fldChar w:fldCharType="end"/>
      </w:r>
      <w:r w:rsidRPr="005B3DC2">
        <w:rPr>
          <w:sz w:val="22"/>
          <w:szCs w:val="22"/>
        </w:rPr>
        <w:t xml:space="preserve">. It has historically been the dominant sub-technology </w:t>
      </w:r>
      <w:r w:rsidRPr="005B3DC2">
        <w:rPr>
          <w:sz w:val="22"/>
          <w:szCs w:val="22"/>
          <w:lang w:val="en-GB"/>
        </w:rPr>
        <w:t xml:space="preserve">following its emergence at the beginning of the century, mainly due to its higher efficiencies compared to thin films </w:t>
      </w:r>
      <w:r w:rsidRPr="005B3DC2">
        <w:rPr>
          <w:sz w:val="22"/>
          <w:szCs w:val="22"/>
          <w:lang w:val="en-GB"/>
        </w:rPr>
        <w:fldChar w:fldCharType="begin"/>
      </w:r>
      <w:r w:rsidR="00120433">
        <w:rPr>
          <w:sz w:val="22"/>
          <w:szCs w:val="22"/>
          <w:lang w:val="en-GB"/>
        </w:rPr>
        <w:instrText xml:space="preserve"> ADDIN ZOTERO_ITEM CSL_CITATION {"citationID":"GtPWCJtw","properties":{"formattedCitation":"(Jean et al., 2015)","plainCitation":"(Jean et al., 2015)","noteIndex":0},"citationItems":[{"id":15960,"uris":["http://zotero.org/groups/5033565/items/K7AIZCFL"],"itemData":{"id":15960,"type":"article-journal","abstract":"This perspective identifies future technological directions for solar photovoltaics and examines potential limits to terawatt-scale PV deployment.\n          , \n            Solar energy is one of the few renewable, low-carbon resources with both the scalability and the technological maturity to meet ever-growing global demand for electricity. Among solar power technologies, solar photovoltaics (PV) are the most widely deployed, providing 0.87% of the world's electricity in 2013 and sustaining a compound annual growth rate in cumulative installed capacity of 43% since 2000. Given the massive scale of deployment needed, this article examines potential limits to PV deployment at the terawatt scale, emphasizing constraints on the use of commodity and PV-critical materials. We propose material complexity as a guiding framework for classifying PV technologies, and we analyze three core themes that focus future research and development: efficiency, materials use, and manufacturing complexity and cost.","container-title":"Energy &amp; Environmental Science","DOI":"10.1039/C4EE04073B","ISSN":"1754-5692, 1754-5706","issue":"4","journalAbbreviation":"Energy Environ. Sci.","language":"en","page":"1200-1219","source":"DOI.org (Crossref)","title":"Pathways for solar photovoltaics","volume":"8","author":[{"family":"Jean","given":"Joel"},{"family":"Brown","given":"Patrick R."},{"family":"Jaffe","given":"Robert L."},{"family":"Buonassisi","given":"Tonio"},{"family":"Bulović","given":"Vladimir"}],"issued":{"date-parts":[["2015"]]}}}],"schema":"https://github.com/citation-style-language/schema/raw/master/csl-citation.json"} </w:instrText>
      </w:r>
      <w:r w:rsidRPr="005B3DC2">
        <w:rPr>
          <w:sz w:val="22"/>
          <w:szCs w:val="22"/>
          <w:lang w:val="en-GB"/>
        </w:rPr>
        <w:fldChar w:fldCharType="separate"/>
      </w:r>
      <w:r w:rsidR="00120433">
        <w:rPr>
          <w:sz w:val="22"/>
          <w:szCs w:val="22"/>
          <w:lang w:val="en-GB"/>
        </w:rPr>
        <w:t>(Jean et al., 2015)</w:t>
      </w:r>
      <w:r w:rsidRPr="005B3DC2">
        <w:rPr>
          <w:sz w:val="22"/>
          <w:szCs w:val="22"/>
        </w:rPr>
        <w:fldChar w:fldCharType="end"/>
      </w:r>
      <w:r w:rsidRPr="005B3DC2">
        <w:rPr>
          <w:sz w:val="22"/>
          <w:szCs w:val="22"/>
          <w:lang w:val="en-GB"/>
        </w:rPr>
        <w:t>.</w:t>
      </w:r>
    </w:p>
    <w:p w14:paraId="06462E61" w14:textId="77777777" w:rsidR="00250E9B" w:rsidRPr="005B3DC2" w:rsidRDefault="00250E9B" w:rsidP="00250E9B">
      <w:pPr>
        <w:jc w:val="both"/>
        <w:rPr>
          <w:sz w:val="22"/>
          <w:szCs w:val="22"/>
          <w:lang w:val="en-GB"/>
        </w:rPr>
      </w:pPr>
    </w:p>
    <w:p w14:paraId="4D6DE17B" w14:textId="4765DF49" w:rsidR="00250E9B" w:rsidRPr="005B3DC2" w:rsidRDefault="00250E9B" w:rsidP="00250E9B">
      <w:pPr>
        <w:jc w:val="both"/>
        <w:rPr>
          <w:sz w:val="22"/>
          <w:szCs w:val="22"/>
          <w:lang w:val="en-GB"/>
        </w:rPr>
      </w:pPr>
      <w:r w:rsidRPr="005B3DC2">
        <w:rPr>
          <w:sz w:val="22"/>
          <w:szCs w:val="22"/>
          <w:lang w:val="en-GB"/>
        </w:rPr>
        <w:t xml:space="preserve">In our analysis, the current market shares (95.4% for c-Si, 0.3% for a-Si, 2.4% for </w:t>
      </w:r>
      <w:proofErr w:type="spellStart"/>
      <w:r w:rsidRPr="005B3DC2">
        <w:rPr>
          <w:sz w:val="22"/>
          <w:szCs w:val="22"/>
          <w:lang w:val="en-GB"/>
        </w:rPr>
        <w:t>CdTe</w:t>
      </w:r>
      <w:proofErr w:type="spellEnd"/>
      <w:r w:rsidRPr="005B3DC2">
        <w:rPr>
          <w:sz w:val="22"/>
          <w:szCs w:val="22"/>
          <w:lang w:val="en-GB"/>
        </w:rPr>
        <w:t xml:space="preserve">, and 1.9% for CIGS), as presented by Carrara et al. </w:t>
      </w:r>
      <w:r w:rsidRPr="005B3DC2">
        <w:rPr>
          <w:sz w:val="22"/>
          <w:szCs w:val="22"/>
          <w:lang w:val="en-GB"/>
        </w:rPr>
        <w:fldChar w:fldCharType="begin"/>
      </w:r>
      <w:r w:rsidRPr="005B3DC2">
        <w:rPr>
          <w:sz w:val="22"/>
          <w:szCs w:val="22"/>
          <w:lang w:val="en-GB"/>
        </w:rPr>
        <w:instrText xml:space="preserve"> ADDIN ZOTERO_ITEM CSL_CITATION {"citationID":"fiJkafGz","properties":{"formattedCitation":"(2020)","plainCitation":"(2020)","noteIndex":0},"citationItems":[{"id":15157,"uris":["http://zotero.org/groups/4945499/items/IB2K2VLT"],"itemData":{"id":15157,"type":"book","event-place":"European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label":"page","suppress-author":true}],"schema":"https://github.com/citation-style-language/schema/raw/master/csl-citation.json"} </w:instrText>
      </w:r>
      <w:r w:rsidRPr="005B3DC2">
        <w:rPr>
          <w:sz w:val="22"/>
          <w:szCs w:val="22"/>
          <w:lang w:val="en-GB"/>
        </w:rPr>
        <w:fldChar w:fldCharType="separate"/>
      </w:r>
      <w:r w:rsidR="00120433">
        <w:rPr>
          <w:sz w:val="22"/>
          <w:szCs w:val="22"/>
          <w:lang w:val="en-GB"/>
        </w:rPr>
        <w:t>(2020)</w:t>
      </w:r>
      <w:r w:rsidRPr="005B3DC2">
        <w:rPr>
          <w:sz w:val="22"/>
          <w:szCs w:val="22"/>
        </w:rPr>
        <w:fldChar w:fldCharType="end"/>
      </w:r>
      <w:r w:rsidRPr="005B3DC2">
        <w:rPr>
          <w:sz w:val="22"/>
          <w:szCs w:val="22"/>
          <w:lang w:val="en-GB"/>
        </w:rPr>
        <w:t xml:space="preserve">, are applied for 2021 and all historical years in both </w:t>
      </w:r>
      <w:r w:rsidRPr="005B3DC2">
        <w:rPr>
          <w:sz w:val="22"/>
          <w:szCs w:val="22"/>
        </w:rPr>
        <w:t>distributed and centralized grid-connected applications</w:t>
      </w:r>
      <w:r w:rsidRPr="005B3DC2">
        <w:rPr>
          <w:sz w:val="22"/>
          <w:szCs w:val="22"/>
          <w:lang w:val="en-GB"/>
        </w:rPr>
        <w:t xml:space="preserve">. For the scenario period, the </w:t>
      </w:r>
      <w:bookmarkStart w:id="47" w:name="OLE_LINK2"/>
      <w:r w:rsidRPr="005B3DC2">
        <w:rPr>
          <w:sz w:val="22"/>
          <w:szCs w:val="22"/>
          <w:lang w:val="en-GB"/>
        </w:rPr>
        <w:t xml:space="preserve">Medium Demand Scenario (MDS) </w:t>
      </w:r>
      <w:bookmarkEnd w:id="47"/>
      <w:r w:rsidRPr="005B3DC2">
        <w:rPr>
          <w:sz w:val="22"/>
          <w:szCs w:val="22"/>
          <w:lang w:val="en-GB"/>
        </w:rPr>
        <w:t xml:space="preserve">provided by Carrara et al. </w:t>
      </w:r>
      <w:r w:rsidRPr="005B3DC2">
        <w:rPr>
          <w:sz w:val="22"/>
          <w:szCs w:val="22"/>
          <w:lang w:val="en-GB"/>
        </w:rPr>
        <w:fldChar w:fldCharType="begin"/>
      </w:r>
      <w:r w:rsidRPr="005B3DC2">
        <w:rPr>
          <w:sz w:val="22"/>
          <w:szCs w:val="22"/>
          <w:lang w:val="en-GB"/>
        </w:rPr>
        <w:instrText xml:space="preserve"> ADDIN ZOTERO_ITEM CSL_CITATION {"citationID":"Rc4z4mmq","properties":{"formattedCitation":"(2020)","plainCitation":"(2020)","noteIndex":0},"citationItems":[{"id":15157,"uris":["http://zotero.org/groups/4945499/items/IB2K2VLT"],"itemData":{"id":15157,"type":"book","event-place":"European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label":"page","suppress-author":true}],"schema":"https://github.com/citation-style-language/schema/raw/master/csl-citation.json"} </w:instrText>
      </w:r>
      <w:r w:rsidRPr="005B3DC2">
        <w:rPr>
          <w:sz w:val="22"/>
          <w:szCs w:val="22"/>
          <w:lang w:val="en-GB"/>
        </w:rPr>
        <w:fldChar w:fldCharType="separate"/>
      </w:r>
      <w:r w:rsidR="00120433">
        <w:rPr>
          <w:sz w:val="22"/>
          <w:szCs w:val="22"/>
          <w:lang w:val="en-GB"/>
        </w:rPr>
        <w:t>(2020)</w:t>
      </w:r>
      <w:r w:rsidRPr="005B3DC2">
        <w:rPr>
          <w:sz w:val="22"/>
          <w:szCs w:val="22"/>
        </w:rPr>
        <w:fldChar w:fldCharType="end"/>
      </w:r>
      <w:r w:rsidRPr="005B3DC2">
        <w:rPr>
          <w:sz w:val="22"/>
          <w:szCs w:val="22"/>
          <w:lang w:val="en-GB"/>
        </w:rPr>
        <w:t xml:space="preserve"> is applied, according to which, c-Si decreases slightly to 90% market share by 2050, and thin-film technologies make up the remaining 10%, while maintaining their current sub-technology composition. These values are linearly interpolated between 2021 and 2050 in both </w:t>
      </w:r>
      <w:r w:rsidRPr="005B3DC2">
        <w:rPr>
          <w:sz w:val="22"/>
          <w:szCs w:val="22"/>
        </w:rPr>
        <w:t>distributed and centralized grid-connected applications</w:t>
      </w:r>
      <w:r w:rsidRPr="005B3DC2">
        <w:rPr>
          <w:sz w:val="22"/>
          <w:szCs w:val="22"/>
          <w:lang w:val="en-GB"/>
        </w:rPr>
        <w:t>.</w:t>
      </w:r>
    </w:p>
    <w:p w14:paraId="0B7005E7" w14:textId="77777777" w:rsidR="00250E9B" w:rsidRPr="005B3DC2" w:rsidRDefault="00250E9B" w:rsidP="00250E9B">
      <w:pPr>
        <w:jc w:val="both"/>
        <w:rPr>
          <w:sz w:val="22"/>
          <w:szCs w:val="22"/>
        </w:rPr>
      </w:pPr>
    </w:p>
    <w:p w14:paraId="639F16B4" w14:textId="1A50998D" w:rsidR="00250E9B" w:rsidRPr="005B3DC2" w:rsidRDefault="00250E9B" w:rsidP="00250E9B">
      <w:pPr>
        <w:jc w:val="both"/>
        <w:rPr>
          <w:sz w:val="22"/>
          <w:szCs w:val="22"/>
        </w:rPr>
      </w:pPr>
      <w:r w:rsidRPr="005B3DC2">
        <w:rPr>
          <w:sz w:val="22"/>
          <w:szCs w:val="22"/>
        </w:rPr>
        <w:t xml:space="preserve">For wind power, </w:t>
      </w:r>
      <w:r w:rsidRPr="00421B5A">
        <w:rPr>
          <w:sz w:val="22"/>
          <w:szCs w:val="22"/>
        </w:rPr>
        <w:t xml:space="preserve">the prevalent </w:t>
      </w:r>
      <w:r w:rsidRPr="005B3DC2">
        <w:rPr>
          <w:sz w:val="22"/>
          <w:szCs w:val="22"/>
        </w:rPr>
        <w:t xml:space="preserve">drivetrain </w:t>
      </w:r>
      <w:r w:rsidRPr="00421B5A">
        <w:rPr>
          <w:sz w:val="22"/>
          <w:szCs w:val="22"/>
        </w:rPr>
        <w:t>technologies that contain rare earth elements (REE) in permanent magnets (PM)</w:t>
      </w:r>
      <w:r w:rsidRPr="005B3DC2">
        <w:rPr>
          <w:sz w:val="22"/>
          <w:szCs w:val="22"/>
        </w:rPr>
        <w:t xml:space="preserve"> are concerned: DD-PMSG and GB-PMSG. Despite the high costs and high metal intensities of PM, they are often favored over alternatives due to their higher levels of efficiency and performance </w:t>
      </w:r>
      <w:r w:rsidRPr="005B3DC2">
        <w:rPr>
          <w:sz w:val="22"/>
          <w:szCs w:val="22"/>
        </w:rPr>
        <w:fldChar w:fldCharType="begin"/>
      </w:r>
      <w:r w:rsidR="00120433">
        <w:rPr>
          <w:sz w:val="22"/>
          <w:szCs w:val="22"/>
        </w:rPr>
        <w:instrText xml:space="preserve"> ADDIN ZOTERO_ITEM CSL_CITATION {"citationID":"CzVO7u9T","properties":{"formattedCitation":"(Rabe et al., 2017)","plainCitation":"(Rabe et al., 2017)","noteIndex":0},"citationItems":[{"id":15516,"uris":["http://zotero.org/groups/4945499/items/67VURTP4"],"itemData":{"id":15516,"type":"article-journal","container-title":"Energy Policy","DOI":"10.1016/j.enpol.2016.09.019","ISSN":"03014215","journalAbbreviation":"Energy Policy","language":"en","page":"692-699","source":"DOI.org (Crossref)","title":"China's supply of critical raw materials: Risks for Europe's solar and wind industries?","title-short":"China's supply of critical raw materials","volume":"101","author":[{"family":"Rabe","given":"Wiebke"},{"family":"Kostka","given":"Genia"},{"family":"Smith Stegen","given":"Karen"}],"issued":{"date-parts":[["2017",2]]}}}],"schema":"https://github.com/citation-style-language/schema/raw/master/csl-citation.json"} </w:instrText>
      </w:r>
      <w:r w:rsidRPr="005B3DC2">
        <w:rPr>
          <w:sz w:val="22"/>
          <w:szCs w:val="22"/>
        </w:rPr>
        <w:fldChar w:fldCharType="separate"/>
      </w:r>
      <w:r w:rsidR="00120433">
        <w:rPr>
          <w:sz w:val="22"/>
          <w:szCs w:val="22"/>
        </w:rPr>
        <w:t>(Rabe et al., 2017)</w:t>
      </w:r>
      <w:r w:rsidRPr="005B3DC2">
        <w:rPr>
          <w:sz w:val="22"/>
          <w:szCs w:val="22"/>
        </w:rPr>
        <w:fldChar w:fldCharType="end"/>
      </w:r>
      <w:r w:rsidRPr="005B3DC2">
        <w:rPr>
          <w:sz w:val="22"/>
          <w:szCs w:val="22"/>
        </w:rPr>
        <w:t xml:space="preserve">. Direct-drive systems that employ PM generators lack the prone-to-failure gearbox component, resulting in a lighter and more-compact turbine design </w:t>
      </w:r>
      <w:r w:rsidRPr="005B3DC2">
        <w:rPr>
          <w:sz w:val="22"/>
          <w:szCs w:val="22"/>
        </w:rPr>
        <w:fldChar w:fldCharType="begin"/>
      </w:r>
      <w:r w:rsidR="00120433">
        <w:rPr>
          <w:sz w:val="22"/>
          <w:szCs w:val="22"/>
        </w:rPr>
        <w:instrText xml:space="preserve"> ADDIN ZOTERO_ITEM CSL_CITATION {"citationID":"KxT49g63","properties":{"formattedCitation":"(Carrara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5B3DC2">
        <w:rPr>
          <w:sz w:val="22"/>
          <w:szCs w:val="22"/>
        </w:rPr>
        <w:fldChar w:fldCharType="separate"/>
      </w:r>
      <w:r w:rsidR="00120433">
        <w:rPr>
          <w:sz w:val="22"/>
          <w:szCs w:val="22"/>
        </w:rPr>
        <w:t>(Carrara et al., 2020)</w:t>
      </w:r>
      <w:r w:rsidRPr="005B3DC2">
        <w:rPr>
          <w:sz w:val="22"/>
          <w:szCs w:val="22"/>
        </w:rPr>
        <w:fldChar w:fldCharType="end"/>
      </w:r>
      <w:r w:rsidRPr="005B3DC2">
        <w:rPr>
          <w:sz w:val="22"/>
          <w:szCs w:val="22"/>
        </w:rPr>
        <w:t xml:space="preserve">. In comparison to the gearbox system, direct-drive PM generators are associated with higher levels of reliability and lower maintenance needs </w:t>
      </w:r>
      <w:r w:rsidRPr="005B3DC2">
        <w:rPr>
          <w:sz w:val="22"/>
          <w:szCs w:val="22"/>
        </w:rPr>
        <w:fldChar w:fldCharType="begin"/>
      </w:r>
      <w:r w:rsidR="00120433">
        <w:rPr>
          <w:sz w:val="22"/>
          <w:szCs w:val="22"/>
        </w:rPr>
        <w:instrText xml:space="preserve"> ADDIN ZOTERO_ITEM CSL_CITATION {"citationID":"a6zFi5kJ","properties":{"formattedCitation":"(Nassar et al., 2016)","plainCitation":"(Nassar et al., 2016)","noteIndex":0},"citationItems":[{"id":15366,"uris":["http://zotero.org/groups/4945499/items/48GTN4Y8"],"itemData":{"id":15366,"type":"article-journal","abstract":"The United States has and will likely continue to obtain an increasing share of its electricity from solar photovoltaics (PV) and wind power, especially under the Clean Power Plan (CPP). The need for additional solar PV modules and wind turbines will, among other things, result in greater demand for a number of minor metals that are produced mainly or only as byproducts. In this analysis, the quantities of 11 byproduct metals (Ag, Cd, Te, In, Ga, Se, Ge, Nd, Pr, Dy, and Tb) required for wind turbines with rare-earth permanent magnets and four solar PV technologies are assessed through the year 2040. Three key uncertainties (electricity generation capacities, technology market shares, and material intensities) are varied to develop 42 scenarios for each byproduct metal. The results indicate that byproduct metal requirements vary signiﬁcantly across technologies, scenarios, and over time. In certain scenarios, the requirements are projected to become a signiﬁcant portion of current primary production. This is especially the case for Te, Ge, Dy, In, and Tb under the more aggressive scenarios of increasing market share and conservative material intensities. Te and Dy are, perhaps, of most concern given their substitution limitations. In certain years, the differences in byproduct metal requirements between the technology market share and material intensity scenarios are greater than those between the various CPP and No CPP scenarios. Cumulatively across years 2016–2040, the various CPP scenarios are estimated to require 15–43% more byproduct metals than the No CPP scenario depending on the speciﬁc byproduct metal and scenario. Increasing primary production via enhanced recovery rates of the byproduct metals during the beneﬁciation and enrichment operations, improving end-of-life recycling rates, and developing substitutes are important strategies that may help meet the increased demand for these byproduct metals.","container-title":"Applied Energy","DOI":"10.1016/j.apenergy.2016.08.062","ISSN":"03062619","journalAbbreviation":"Applied Energy","language":"en","page":"1209-1226","source":"DOI.org (Crossref)","title":"Byproduct metal requirements for U.S. wind and solar photovoltaic electricity generation up to the year 2040 under various Clean Power Plan scenarios","volume":"183","author":[{"family":"Nassar","given":"Nedal T."},{"family":"Wilburn","given":"David R."},{"family":"Goonan","given":"Thomas G."}],"issued":{"date-parts":[["2016",12]]}}}],"schema":"https://github.com/citation-style-language/schema/raw/master/csl-citation.json"} </w:instrText>
      </w:r>
      <w:r w:rsidRPr="005B3DC2">
        <w:rPr>
          <w:sz w:val="22"/>
          <w:szCs w:val="22"/>
        </w:rPr>
        <w:fldChar w:fldCharType="separate"/>
      </w:r>
      <w:r w:rsidR="00120433">
        <w:rPr>
          <w:sz w:val="22"/>
          <w:szCs w:val="22"/>
        </w:rPr>
        <w:t>(Nassar et al., 2016)</w:t>
      </w:r>
      <w:r w:rsidRPr="005B3DC2">
        <w:rPr>
          <w:sz w:val="22"/>
          <w:szCs w:val="22"/>
        </w:rPr>
        <w:fldChar w:fldCharType="end"/>
      </w:r>
      <w:r w:rsidRPr="005B3DC2">
        <w:rPr>
          <w:sz w:val="22"/>
          <w:szCs w:val="22"/>
        </w:rPr>
        <w:t xml:space="preserve">, making them particularly attractive for offshore applications and larger plants </w:t>
      </w:r>
      <w:r w:rsidRPr="005B3DC2">
        <w:rPr>
          <w:sz w:val="22"/>
          <w:szCs w:val="22"/>
        </w:rPr>
        <w:fldChar w:fldCharType="begin"/>
      </w:r>
      <w:r w:rsidR="00120433">
        <w:rPr>
          <w:sz w:val="22"/>
          <w:szCs w:val="22"/>
        </w:rPr>
        <w:instrText xml:space="preserve"> ADDIN ZOTERO_ITEM CSL_CITATION {"citationID":"Pabm3TZx","properties":{"formattedCitation":"(Giurco et al., 2019; Pavel et al., 2017)","plainCitation":"(Giurco et al., 2019; Pavel et al., 2017)","noteIndex":0},"citationItems":[{"id":15517,"uris":["http://zotero.org/groups/4945499/items/DEAZYHKL"],"itemData":{"id":15517,"type":"chapter","container-title":"Achieving the Paris Climate Agreement Goals","event-place":"Cham","ISBN":"978-3-030-05842-5","language":"en","note":"DOI: 10.1007/978-3-030-05843-2_11","page":"437-457","publisher":"Springer International Publishing","publisher-place":"Cham","source":"DOI.org (Crossref)","title":"Requirements for Minerals and Metals for 100% Renewable Scenarios","URL":"http://link.springer.com/10.1007/978-3-030-05843-2_11","editor":[{"family":"Teske","given":"Sven"}],"author":[{"family":"Giurco","given":"Damien"},{"family":"Dominish","given":"Elsa"},{"family":"Florin","given":"Nick"},{"family":"Watari","given":"Takuma"},{"family":"McLellan","given":"Benjamin"}],"accessed":{"date-parts":[["2023",2,13]]},"issued":{"date-parts":[["2019"]]}}},{"id":15520,"uris":["http://zotero.org/groups/4945499/items/TJJSPLP3"],"itemData":{"id":15520,"type":"article-journal","container-title":"Resources Policy","DOI":"10.1016/j.resourpol.2017.04.010","ISSN":"03014207","journalAbbreviation":"Resources Policy","language":"en","page":"349-357","source":"DOI.org (Crossref)","title":"Substitution strategies for reducing the use of rare earths in wind turbines","volume":"52","author":[{"family":"Pavel","given":"Claudiu C."},{"family":"Lacal-Arántegui","given":"Roberto"},{"family":"Marmier","given":"Alain"},{"family":"Schüler","given":"Doris"},{"family":"Tzimas","given":"Evangelos"},{"family":"Buchert","given":"Matthias"},{"family":"Jenseit","given":"Wolfgang"},{"family":"Blagoeva","given":"Darina"}],"issued":{"date-parts":[["2017",6]]}}}],"schema":"https://github.com/citation-style-language/schema/raw/master/csl-citation.json"} </w:instrText>
      </w:r>
      <w:r w:rsidRPr="005B3DC2">
        <w:rPr>
          <w:sz w:val="22"/>
          <w:szCs w:val="22"/>
        </w:rPr>
        <w:fldChar w:fldCharType="separate"/>
      </w:r>
      <w:r w:rsidR="00120433">
        <w:rPr>
          <w:sz w:val="22"/>
          <w:szCs w:val="22"/>
        </w:rPr>
        <w:t>(Giurco et al., 2019; Pavel et al., 2017)</w:t>
      </w:r>
      <w:r w:rsidRPr="005B3DC2">
        <w:rPr>
          <w:sz w:val="22"/>
          <w:szCs w:val="22"/>
        </w:rPr>
        <w:fldChar w:fldCharType="end"/>
      </w:r>
      <w:r w:rsidRPr="005B3DC2">
        <w:rPr>
          <w:sz w:val="22"/>
          <w:szCs w:val="22"/>
        </w:rPr>
        <w:t>.</w:t>
      </w:r>
    </w:p>
    <w:p w14:paraId="6936E289" w14:textId="77777777" w:rsidR="00250E9B" w:rsidRPr="005B3DC2" w:rsidRDefault="00250E9B" w:rsidP="00250E9B">
      <w:pPr>
        <w:jc w:val="both"/>
        <w:rPr>
          <w:sz w:val="22"/>
          <w:szCs w:val="22"/>
        </w:rPr>
      </w:pPr>
    </w:p>
    <w:p w14:paraId="799D983A" w14:textId="091CA05B" w:rsidR="00250E9B" w:rsidRPr="005B3DC2" w:rsidRDefault="00250E9B" w:rsidP="00250E9B">
      <w:pPr>
        <w:jc w:val="both"/>
        <w:rPr>
          <w:sz w:val="22"/>
          <w:szCs w:val="22"/>
        </w:rPr>
      </w:pPr>
      <w:r w:rsidRPr="005B3DC2">
        <w:rPr>
          <w:sz w:val="22"/>
          <w:szCs w:val="22"/>
        </w:rPr>
        <w:t xml:space="preserve">Currently, the share of DD-PMSG and GB-PMSG for onshore wind turbines in the EU is at about 30% </w:t>
      </w:r>
      <w:r w:rsidRPr="005B3DC2">
        <w:rPr>
          <w:sz w:val="22"/>
          <w:szCs w:val="22"/>
        </w:rPr>
        <w:fldChar w:fldCharType="begin"/>
      </w:r>
      <w:r w:rsidR="00120433">
        <w:rPr>
          <w:sz w:val="22"/>
          <w:szCs w:val="22"/>
        </w:rPr>
        <w:instrText xml:space="preserve"> ADDIN ZOTERO_ITEM CSL_CITATION {"citationID":"2iuP9b1M","properties":{"formattedCitation":"(Carrara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5B3DC2">
        <w:rPr>
          <w:sz w:val="22"/>
          <w:szCs w:val="22"/>
        </w:rPr>
        <w:fldChar w:fldCharType="separate"/>
      </w:r>
      <w:r w:rsidR="00120433">
        <w:rPr>
          <w:sz w:val="22"/>
          <w:szCs w:val="22"/>
        </w:rPr>
        <w:t>(Carrara et al., 2020)</w:t>
      </w:r>
      <w:r w:rsidRPr="005B3DC2">
        <w:rPr>
          <w:sz w:val="22"/>
          <w:szCs w:val="22"/>
        </w:rPr>
        <w:fldChar w:fldCharType="end"/>
      </w:r>
      <w:r w:rsidRPr="005B3DC2">
        <w:rPr>
          <w:sz w:val="22"/>
          <w:szCs w:val="22"/>
        </w:rPr>
        <w:t xml:space="preserve">, while the offshore sector is dominated by PM drivetrain sub-technologies. Similar to the case of solar PV, </w:t>
      </w:r>
      <w:r w:rsidRPr="005B3DC2">
        <w:rPr>
          <w:sz w:val="22"/>
          <w:szCs w:val="22"/>
          <w:lang w:val="en-GB"/>
        </w:rPr>
        <w:t xml:space="preserve">the Medium Demand Scenario (MDS) provided by Carrara et al. </w:t>
      </w:r>
      <w:r w:rsidRPr="005B3DC2">
        <w:rPr>
          <w:sz w:val="22"/>
          <w:szCs w:val="22"/>
          <w:lang w:val="en-GB"/>
        </w:rPr>
        <w:fldChar w:fldCharType="begin"/>
      </w:r>
      <w:r w:rsidRPr="005B3DC2">
        <w:rPr>
          <w:sz w:val="22"/>
          <w:szCs w:val="22"/>
          <w:lang w:val="en-GB"/>
        </w:rPr>
        <w:instrText xml:space="preserve"> ADDIN ZOTERO_ITEM CSL_CITATION {"citationID":"SQRoAFna","properties":{"formattedCitation":"(2020)","plainCitation":"(2020)","noteIndex":0},"citationItems":[{"id":15157,"uris":["http://zotero.org/groups/4945499/items/IB2K2VLT"],"itemData":{"id":15157,"type":"book","event-place":"European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label":"page","suppress-author":true}],"schema":"https://github.com/citation-style-language/schema/raw/master/csl-citation.json"} </w:instrText>
      </w:r>
      <w:r w:rsidRPr="005B3DC2">
        <w:rPr>
          <w:sz w:val="22"/>
          <w:szCs w:val="22"/>
          <w:lang w:val="en-GB"/>
        </w:rPr>
        <w:fldChar w:fldCharType="separate"/>
      </w:r>
      <w:r w:rsidR="00120433">
        <w:rPr>
          <w:sz w:val="22"/>
          <w:szCs w:val="22"/>
          <w:lang w:val="en-GB"/>
        </w:rPr>
        <w:t>(2020)</w:t>
      </w:r>
      <w:r w:rsidRPr="005B3DC2">
        <w:rPr>
          <w:sz w:val="22"/>
          <w:szCs w:val="22"/>
        </w:rPr>
        <w:fldChar w:fldCharType="end"/>
      </w:r>
      <w:r w:rsidRPr="005B3DC2">
        <w:rPr>
          <w:sz w:val="22"/>
          <w:szCs w:val="22"/>
          <w:lang w:val="en-GB"/>
        </w:rPr>
        <w:t xml:space="preserve"> is applied to the market shares of PM drivetrains throughout the scenario period (Figure S</w:t>
      </w:r>
      <w:r w:rsidR="00862FAC">
        <w:rPr>
          <w:sz w:val="22"/>
          <w:szCs w:val="22"/>
          <w:lang w:val="en-GB"/>
        </w:rPr>
        <w:t>1.3</w:t>
      </w:r>
      <w:r w:rsidRPr="005B3DC2">
        <w:rPr>
          <w:sz w:val="22"/>
          <w:szCs w:val="22"/>
          <w:lang w:val="en-GB"/>
        </w:rPr>
        <w:t>). According to this, the PM market share in the onshore sector increases from 30% in 2018 to 59% in 2050</w:t>
      </w:r>
      <w:r w:rsidR="001A6EE1">
        <w:rPr>
          <w:sz w:val="22"/>
          <w:szCs w:val="22"/>
          <w:lang w:val="en-GB"/>
        </w:rPr>
        <w:t xml:space="preserve"> (Figure S1.3a)</w:t>
      </w:r>
      <w:r w:rsidRPr="005B3DC2">
        <w:rPr>
          <w:sz w:val="22"/>
          <w:szCs w:val="22"/>
          <w:lang w:val="en-GB"/>
        </w:rPr>
        <w:t>, while for the offshore sector, there is a decrease to 68% in 2050</w:t>
      </w:r>
      <w:r w:rsidR="001A6EE1">
        <w:rPr>
          <w:sz w:val="22"/>
          <w:szCs w:val="22"/>
          <w:lang w:val="en-GB"/>
        </w:rPr>
        <w:t xml:space="preserve"> (Figure S1.3b)</w:t>
      </w:r>
      <w:r w:rsidRPr="005B3DC2">
        <w:rPr>
          <w:sz w:val="22"/>
          <w:szCs w:val="22"/>
          <w:lang w:val="en-GB"/>
        </w:rPr>
        <w:t xml:space="preserve">. In both the onshore and offshore sectors, the largest changes occur in this decade, </w:t>
      </w:r>
      <w:r w:rsidRPr="005B3DC2">
        <w:rPr>
          <w:sz w:val="22"/>
          <w:szCs w:val="22"/>
        </w:rPr>
        <w:t>whereas after 2030 changes in market shares occur more slowly.</w:t>
      </w:r>
    </w:p>
    <w:p w14:paraId="2DE5EFF1" w14:textId="77777777" w:rsidR="00250E9B" w:rsidRPr="00F73297" w:rsidRDefault="00250E9B" w:rsidP="00250E9B">
      <w:pPr>
        <w:jc w:val="center"/>
        <w:rPr>
          <w:i/>
          <w:color w:val="0E2841"/>
          <w:sz w:val="18"/>
          <w:szCs w:val="18"/>
        </w:rPr>
      </w:pPr>
    </w:p>
    <w:p w14:paraId="6932C897" w14:textId="77777777" w:rsidR="00250E9B" w:rsidRPr="00F73297" w:rsidRDefault="00250E9B" w:rsidP="00250E9B">
      <w:pPr>
        <w:jc w:val="center"/>
        <w:rPr>
          <w:i/>
          <w:color w:val="0E2841"/>
          <w:sz w:val="18"/>
          <w:szCs w:val="18"/>
        </w:rPr>
      </w:pPr>
      <w:r w:rsidRPr="00E54A12">
        <w:rPr>
          <w:i/>
          <w:iCs/>
          <w:noProof/>
          <w:color w:val="0E2841"/>
          <w:sz w:val="18"/>
          <w:szCs w:val="18"/>
        </w:rPr>
        <w:drawing>
          <wp:inline distT="0" distB="0" distL="0" distR="0" wp14:anchorId="404D853C" wp14:editId="78FD2D21">
            <wp:extent cx="5490210" cy="1932305"/>
            <wp:effectExtent l="0" t="0" r="0" b="0"/>
            <wp:docPr id="1299167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167291" name=""/>
                    <pic:cNvPicPr/>
                  </pic:nvPicPr>
                  <pic:blipFill>
                    <a:blip r:embed="rId17"/>
                    <a:stretch>
                      <a:fillRect/>
                    </a:stretch>
                  </pic:blipFill>
                  <pic:spPr>
                    <a:xfrm>
                      <a:off x="0" y="0"/>
                      <a:ext cx="5490210" cy="1932305"/>
                    </a:xfrm>
                    <a:prstGeom prst="rect">
                      <a:avLst/>
                    </a:prstGeom>
                  </pic:spPr>
                </pic:pic>
              </a:graphicData>
            </a:graphic>
          </wp:inline>
        </w:drawing>
      </w:r>
    </w:p>
    <w:p w14:paraId="5C46331A" w14:textId="792341B8" w:rsidR="00250E9B" w:rsidRPr="00F05D5B" w:rsidRDefault="00250E9B" w:rsidP="00250E9B">
      <w:pPr>
        <w:jc w:val="center"/>
        <w:rPr>
          <w:color w:val="0E2841"/>
          <w:sz w:val="18"/>
          <w:szCs w:val="18"/>
        </w:rPr>
      </w:pPr>
      <w:r w:rsidRPr="00F05D5B">
        <w:rPr>
          <w:b/>
          <w:color w:val="0E2841"/>
          <w:sz w:val="18"/>
          <w:szCs w:val="18"/>
        </w:rPr>
        <w:t>Figure S</w:t>
      </w:r>
      <w:r>
        <w:rPr>
          <w:b/>
          <w:color w:val="0E2841"/>
          <w:sz w:val="18"/>
          <w:szCs w:val="18"/>
        </w:rPr>
        <w:t>1.</w:t>
      </w:r>
      <w:r w:rsidR="00E42788">
        <w:rPr>
          <w:b/>
          <w:color w:val="0E2841"/>
          <w:sz w:val="18"/>
          <w:szCs w:val="18"/>
        </w:rPr>
        <w:t>3</w:t>
      </w:r>
      <w:r w:rsidRPr="00F05D5B">
        <w:rPr>
          <w:b/>
          <w:color w:val="0E2841"/>
          <w:sz w:val="18"/>
          <w:szCs w:val="18"/>
        </w:rPr>
        <w:t>:</w:t>
      </w:r>
      <w:r w:rsidRPr="00F05D5B">
        <w:rPr>
          <w:color w:val="0E2841"/>
          <w:sz w:val="18"/>
          <w:szCs w:val="18"/>
        </w:rPr>
        <w:t xml:space="preserve"> </w:t>
      </w:r>
      <w:bookmarkStart w:id="48" w:name="OLE_LINK10"/>
      <w:r w:rsidRPr="00F05D5B">
        <w:rPr>
          <w:color w:val="0E2841"/>
          <w:sz w:val="18"/>
          <w:szCs w:val="18"/>
        </w:rPr>
        <w:t>Market shares for the DD-PMSG and GB-PMSG sub-technologies (PM-containing drivetrains) over time for the period of 2018–2050</w:t>
      </w:r>
      <w:r>
        <w:rPr>
          <w:color w:val="0E2841"/>
          <w:sz w:val="18"/>
          <w:szCs w:val="18"/>
        </w:rPr>
        <w:t xml:space="preserve"> </w:t>
      </w:r>
      <w:r w:rsidRPr="00F05D5B">
        <w:rPr>
          <w:color w:val="0E2841"/>
          <w:sz w:val="18"/>
          <w:szCs w:val="18"/>
        </w:rPr>
        <w:t xml:space="preserve">for </w:t>
      </w:r>
      <w:r>
        <w:rPr>
          <w:color w:val="0E2841"/>
          <w:sz w:val="18"/>
          <w:szCs w:val="18"/>
        </w:rPr>
        <w:t xml:space="preserve">a. </w:t>
      </w:r>
      <w:r w:rsidRPr="00F05D5B">
        <w:rPr>
          <w:color w:val="0E2841"/>
          <w:sz w:val="18"/>
          <w:szCs w:val="18"/>
        </w:rPr>
        <w:t xml:space="preserve">onshore wind turbines and </w:t>
      </w:r>
      <w:r>
        <w:rPr>
          <w:color w:val="0E2841"/>
          <w:sz w:val="18"/>
          <w:szCs w:val="18"/>
        </w:rPr>
        <w:t xml:space="preserve">b. </w:t>
      </w:r>
      <w:r w:rsidRPr="00F05D5B">
        <w:rPr>
          <w:color w:val="0E2841"/>
          <w:sz w:val="18"/>
          <w:szCs w:val="18"/>
        </w:rPr>
        <w:t>offshore wind turbines.</w:t>
      </w:r>
    </w:p>
    <w:p w14:paraId="0C235C04" w14:textId="77777777" w:rsidR="00250E9B" w:rsidRPr="00010BCE" w:rsidRDefault="00250E9B" w:rsidP="00250E9B">
      <w:pPr>
        <w:jc w:val="center"/>
        <w:rPr>
          <w:color w:val="0E2841"/>
          <w:sz w:val="18"/>
          <w:szCs w:val="18"/>
        </w:rPr>
      </w:pPr>
      <w:r w:rsidRPr="00F05D5B">
        <w:rPr>
          <w:color w:val="0E2841"/>
          <w:sz w:val="18"/>
          <w:szCs w:val="18"/>
        </w:rPr>
        <w:t xml:space="preserve">Note: </w:t>
      </w:r>
      <w:bookmarkStart w:id="49" w:name="OLE_LINK3"/>
      <w:r w:rsidRPr="00F05D5B">
        <w:rPr>
          <w:color w:val="0E2841"/>
          <w:sz w:val="18"/>
          <w:szCs w:val="18"/>
        </w:rPr>
        <w:t xml:space="preserve">The category of ‘Other’ technologies includes </w:t>
      </w:r>
      <w:r w:rsidRPr="00F05D5B">
        <w:rPr>
          <w:color w:val="0E2841"/>
          <w:sz w:val="18"/>
          <w:szCs w:val="18"/>
          <w:lang w:val="en-GB"/>
        </w:rPr>
        <w:t>Direct Drive Electrically Excited Synchronous Generator (</w:t>
      </w:r>
      <w:r w:rsidRPr="00F05D5B">
        <w:rPr>
          <w:color w:val="0E2841"/>
          <w:sz w:val="18"/>
          <w:szCs w:val="18"/>
        </w:rPr>
        <w:t xml:space="preserve">DD-EESG), </w:t>
      </w:r>
      <w:r w:rsidRPr="00F05D5B">
        <w:rPr>
          <w:color w:val="0E2841"/>
          <w:sz w:val="18"/>
          <w:szCs w:val="18"/>
          <w:lang w:val="en-GB"/>
        </w:rPr>
        <w:t>Gearbox Double-Fed Induction Generator (</w:t>
      </w:r>
      <w:r w:rsidRPr="00F05D5B">
        <w:rPr>
          <w:color w:val="0E2841"/>
          <w:sz w:val="18"/>
          <w:szCs w:val="18"/>
        </w:rPr>
        <w:t xml:space="preserve">GB-DFIG), </w:t>
      </w:r>
      <w:r w:rsidRPr="00F05D5B">
        <w:rPr>
          <w:color w:val="0E2841"/>
          <w:sz w:val="18"/>
          <w:szCs w:val="18"/>
          <w:lang w:val="en-GB"/>
        </w:rPr>
        <w:t>Gearbox Squirrel Cage Induction Generator (</w:t>
      </w:r>
      <w:r w:rsidRPr="00F05D5B">
        <w:rPr>
          <w:color w:val="0E2841"/>
          <w:sz w:val="18"/>
          <w:szCs w:val="18"/>
        </w:rPr>
        <w:t xml:space="preserve">GB-SCIG), and Direct Drive </w:t>
      </w:r>
      <w:r w:rsidRPr="00F05D5B">
        <w:rPr>
          <w:color w:val="0E2841"/>
          <w:sz w:val="18"/>
          <w:szCs w:val="18"/>
          <w:lang w:val="en-GB"/>
        </w:rPr>
        <w:t>High-Temperature Superconductors</w:t>
      </w:r>
      <w:r w:rsidRPr="00F05D5B">
        <w:rPr>
          <w:color w:val="0E2841"/>
          <w:sz w:val="18"/>
          <w:szCs w:val="18"/>
        </w:rPr>
        <w:t xml:space="preserve"> (DD-HTS).</w:t>
      </w:r>
      <w:bookmarkStart w:id="50" w:name="_Toc171362995"/>
      <w:bookmarkStart w:id="51" w:name="_Toc171616702"/>
      <w:bookmarkStart w:id="52" w:name="_Toc172657877"/>
      <w:bookmarkStart w:id="53" w:name="_Toc173327301"/>
      <w:bookmarkStart w:id="54" w:name="_Toc176448300"/>
      <w:bookmarkStart w:id="55" w:name="_Toc176788413"/>
      <w:bookmarkStart w:id="56" w:name="_Toc176788455"/>
      <w:bookmarkStart w:id="57" w:name="_Toc176788572"/>
      <w:bookmarkStart w:id="58" w:name="_Toc176789089"/>
      <w:bookmarkStart w:id="59" w:name="_Toc176789945"/>
      <w:bookmarkEnd w:id="48"/>
      <w:bookmarkEnd w:id="49"/>
    </w:p>
    <w:p w14:paraId="438DCAB0" w14:textId="2918CCEA" w:rsidR="00250E9B" w:rsidRPr="00EC0378" w:rsidRDefault="00977536" w:rsidP="00250E9B">
      <w:pPr>
        <w:pStyle w:val="Heading1"/>
        <w:rPr>
          <w:color w:val="0E2841" w:themeColor="text2"/>
          <w:sz w:val="32"/>
          <w:szCs w:val="32"/>
        </w:rPr>
      </w:pPr>
      <w:bookmarkStart w:id="60" w:name="_Toc208849803"/>
      <w:bookmarkStart w:id="61" w:name="_Toc208850247"/>
      <w:r>
        <w:rPr>
          <w:color w:val="0E2841" w:themeColor="text2"/>
          <w:sz w:val="32"/>
          <w:szCs w:val="32"/>
        </w:rPr>
        <w:lastRenderedPageBreak/>
        <w:t>6</w:t>
      </w:r>
      <w:r w:rsidR="00250E9B" w:rsidRPr="00EC0378">
        <w:rPr>
          <w:color w:val="0E2841" w:themeColor="text2"/>
          <w:sz w:val="32"/>
          <w:szCs w:val="32"/>
        </w:rPr>
        <w:t>. Lifespan</w:t>
      </w:r>
      <w:bookmarkEnd w:id="50"/>
      <w:bookmarkEnd w:id="51"/>
      <w:bookmarkEnd w:id="52"/>
      <w:bookmarkEnd w:id="53"/>
      <w:bookmarkEnd w:id="54"/>
      <w:bookmarkEnd w:id="55"/>
      <w:bookmarkEnd w:id="56"/>
      <w:bookmarkEnd w:id="57"/>
      <w:bookmarkEnd w:id="58"/>
      <w:bookmarkEnd w:id="59"/>
      <w:bookmarkEnd w:id="60"/>
      <w:bookmarkEnd w:id="61"/>
    </w:p>
    <w:p w14:paraId="31A5957C" w14:textId="6BE0E399" w:rsidR="00250E9B" w:rsidRPr="005B3DC2" w:rsidRDefault="00250E9B" w:rsidP="00250E9B">
      <w:pPr>
        <w:jc w:val="both"/>
        <w:rPr>
          <w:sz w:val="22"/>
          <w:szCs w:val="22"/>
        </w:rPr>
      </w:pPr>
      <w:r w:rsidRPr="005B3DC2">
        <w:rPr>
          <w:sz w:val="22"/>
          <w:szCs w:val="22"/>
        </w:rPr>
        <w:t xml:space="preserve">The solar power industry is still relatively young and relatively few solar panels have been decommissioned to date. Therefore, it is not easy to formulate with confidence assumptions regarding the relevant technology lifespans with a good degree of confidence. The wind turbine industry, especially the offshore wind industry, is also in its infancy, with a limited number of decommissioned wind turbines. The vast majority of the global offshore wind capacity is only up to a decade old </w:t>
      </w:r>
      <w:r w:rsidRPr="005B3DC2">
        <w:rPr>
          <w:sz w:val="22"/>
          <w:szCs w:val="22"/>
        </w:rPr>
        <w:fldChar w:fldCharType="begin"/>
      </w:r>
      <w:r w:rsidR="00120433">
        <w:rPr>
          <w:sz w:val="22"/>
          <w:szCs w:val="22"/>
        </w:rPr>
        <w:instrText xml:space="preserve"> ADDIN ZOTERO_ITEM CSL_CITATION {"citationID":"e3liNmzd","properties":{"formattedCitation":"(IEA, 2018)","plainCitation":"(IEA, 2018)","noteIndex":0},"citationItems":[{"id":16778,"uris":["http://zotero.org/groups/5509458/items/YXNN9I84"],"itemData":{"id":16778,"type":"report","collection-title":"World Energy Outlook Series","publisher":"Organisation for Economic Cooperation and Development and IEA.","title":"Offshore Energy Outlook","author":[{"family":"IEA","given":""}],"issued":{"date-parts":[["2018"]]}}}],"schema":"https://github.com/citation-style-language/schema/raw/master/csl-citation.json"} </w:instrText>
      </w:r>
      <w:r w:rsidRPr="005B3DC2">
        <w:rPr>
          <w:sz w:val="22"/>
          <w:szCs w:val="22"/>
        </w:rPr>
        <w:fldChar w:fldCharType="separate"/>
      </w:r>
      <w:r w:rsidR="00120433">
        <w:rPr>
          <w:sz w:val="22"/>
          <w:szCs w:val="22"/>
        </w:rPr>
        <w:t>(IEA, 2018)</w:t>
      </w:r>
      <w:r w:rsidRPr="005B3DC2">
        <w:rPr>
          <w:sz w:val="22"/>
          <w:szCs w:val="22"/>
        </w:rPr>
        <w:fldChar w:fldCharType="end"/>
      </w:r>
      <w:r w:rsidRPr="005B3DC2">
        <w:rPr>
          <w:sz w:val="22"/>
          <w:szCs w:val="22"/>
        </w:rPr>
        <w:t xml:space="preserve">, which means that the experience of the lifespans of offshore turbines is very limited. However, there is evidence that the offshore wind power is designed with longer lifespans than onshore wind power </w:t>
      </w:r>
      <w:bookmarkStart w:id="62" w:name="_Hlk207968548"/>
      <w:r w:rsidRPr="005B3DC2">
        <w:rPr>
          <w:sz w:val="22"/>
          <w:szCs w:val="22"/>
        </w:rPr>
        <w:fldChar w:fldCharType="begin"/>
      </w:r>
      <w:r w:rsidR="00120433">
        <w:rPr>
          <w:sz w:val="22"/>
          <w:szCs w:val="22"/>
        </w:rPr>
        <w:instrText xml:space="preserve"> ADDIN ZOTERO_ITEM CSL_CITATION {"citationID":"ZyzUH2f1","properties":{"formattedCitation":"(Liang et al., 2022)","plainCitation":"(Liang et al., 2022)","noteIndex":0},"citationItems":[{"id":15317,"uris":["http://zotero.org/groups/4945499/items/3FURBUW6"],"itemData":{"id":15317,"type":"article-journal","abstract":"Deployment of clean energy technologies will require a considerable amount of materials. The surge in demand for metals related to emerging energy technologies may hinder the energy transition. In this study we provide a comprehensive overview and analysis of existing work in this field, a solid quantitative baseline for material requirements of different energy technologies and quantitative information that can be used to generate learning curves for the material requirements of different energy technologies. We conducted a quantitative review of the material requirements of low-carbon energy technologies in 132 scientific publications, and provided a comparative analysis of detailed data including material intensity and lifetime data. Besides providing a large amount of structured quantitative data, the results of our work indicate that: (1) research on the demand for lowcarbon technology related metals has received much attention since the 2010s; (2) around 80% of the publi­ cations focus on the global level while national level studies are underrepresented; (3) science-based future scenarios are the main means of estimating total future material requirements; (4) most studies foresee material constraints of large-scale implementation of low-carbon technologies and the secure and responsible supply of these materials is still the subject of discussion; (5) changes in metal intensity caused by technological devel­ opment and material requirements for non-critical components are important though often overlooked.","container-title":"Renewable and Sustainable Energy Reviews","DOI":"10.1016/j.rser.2022.112334","ISSN":"13640321","journalAbbreviation":"Renewable and Sustainable Energy Reviews","language":"en","page":"112334","source":"DOI.org (Crossref)","title":"Material requirements for low-carbon energy technologies: A quantitative review","title-short":"Material requirements for low-carbon energy technologies","volume":"161","author":[{"family":"Liang","given":"Yanan"},{"family":"Kleijn","given":"René"},{"family":"Tukker","given":"Arnold"},{"family":"Voet","given":"Ester","non-dropping-particle":"van der"}],"issued":{"date-parts":[["2022",6]]}}}],"schema":"https://github.com/citation-style-language/schema/raw/master/csl-citation.json"} </w:instrText>
      </w:r>
      <w:r w:rsidRPr="005B3DC2">
        <w:rPr>
          <w:sz w:val="22"/>
          <w:szCs w:val="22"/>
        </w:rPr>
        <w:fldChar w:fldCharType="separate"/>
      </w:r>
      <w:r w:rsidR="00120433">
        <w:rPr>
          <w:sz w:val="22"/>
          <w:szCs w:val="22"/>
        </w:rPr>
        <w:t>(Liang et al., 2022)</w:t>
      </w:r>
      <w:r w:rsidRPr="005B3DC2">
        <w:rPr>
          <w:sz w:val="22"/>
          <w:szCs w:val="22"/>
        </w:rPr>
        <w:fldChar w:fldCharType="end"/>
      </w:r>
      <w:bookmarkEnd w:id="62"/>
      <w:r w:rsidRPr="005B3DC2">
        <w:rPr>
          <w:sz w:val="22"/>
          <w:szCs w:val="22"/>
        </w:rPr>
        <w:t>. Both the solar and wind power industries are also very dynamic, with great advances in the designs of their technologies over the past decade.</w:t>
      </w:r>
    </w:p>
    <w:p w14:paraId="38647DD4" w14:textId="77777777" w:rsidR="00250E9B" w:rsidRPr="005B3DC2" w:rsidRDefault="00250E9B" w:rsidP="00250E9B">
      <w:pPr>
        <w:jc w:val="both"/>
        <w:rPr>
          <w:sz w:val="22"/>
          <w:szCs w:val="22"/>
        </w:rPr>
      </w:pPr>
    </w:p>
    <w:p w14:paraId="023C084F" w14:textId="5C09FC83" w:rsidR="00250E9B" w:rsidRPr="005B3DC2" w:rsidRDefault="00250E9B" w:rsidP="00250E9B">
      <w:pPr>
        <w:jc w:val="both"/>
        <w:rPr>
          <w:sz w:val="22"/>
          <w:szCs w:val="22"/>
        </w:rPr>
      </w:pPr>
      <w:r w:rsidRPr="005B3DC2">
        <w:rPr>
          <w:sz w:val="22"/>
          <w:szCs w:val="22"/>
        </w:rPr>
        <w:t xml:space="preserve">Based on a recent systematic review </w:t>
      </w:r>
      <w:r w:rsidRPr="005B3DC2">
        <w:rPr>
          <w:sz w:val="22"/>
          <w:szCs w:val="22"/>
        </w:rPr>
        <w:fldChar w:fldCharType="begin"/>
      </w:r>
      <w:r w:rsidR="00120433">
        <w:rPr>
          <w:sz w:val="22"/>
          <w:szCs w:val="22"/>
        </w:rPr>
        <w:instrText xml:space="preserve"> ADDIN ZOTERO_ITEM CSL_CITATION {"citationID":"HKuIaXgr","properties":{"formattedCitation":"(Liang et al., 2022)","plainCitation":"(Liang et al., 2022)","noteIndex":0},"citationItems":[{"id":15317,"uris":["http://zotero.org/groups/4945499/items/3FURBUW6"],"itemData":{"id":15317,"type":"article-journal","abstract":"Deployment of clean energy technologies will require a considerable amount of materials. The surge in demand for metals related to emerging energy technologies may hinder the energy transition. In this study we provide a comprehensive overview and analysis of existing work in this field, a solid quantitative baseline for material requirements of different energy technologies and quantitative information that can be used to generate learning curves for the material requirements of different energy technologies. We conducted a quantitative review of the material requirements of low-carbon energy technologies in 132 scientific publications, and provided a comparative analysis of detailed data including material intensity and lifetime data. Besides providing a large amount of structured quantitative data, the results of our work indicate that: (1) research on the demand for lowcarbon technology related metals has received much attention since the 2010s; (2) around 80% of the publi­ cations focus on the global level while national level studies are underrepresented; (3) science-based future scenarios are the main means of estimating total future material requirements; (4) most studies foresee material constraints of large-scale implementation of low-carbon technologies and the secure and responsible supply of these materials is still the subject of discussion; (5) changes in metal intensity caused by technological devel­ opment and material requirements for non-critical components are important though often overlooked.","container-title":"Renewable and Sustainable Energy Reviews","DOI":"10.1016/j.rser.2022.112334","ISSN":"13640321","journalAbbreviation":"Renewable and Sustainable Energy Reviews","language":"en","page":"112334","source":"DOI.org (Crossref)","title":"Material requirements for low-carbon energy technologies: A quantitative review","title-short":"Material requirements for low-carbon energy technologies","volume":"161","author":[{"family":"Liang","given":"Yanan"},{"family":"Kleijn","given":"René"},{"family":"Tukker","given":"Arnold"},{"family":"Voet","given":"Ester","non-dropping-particle":"van der"}],"issued":{"date-parts":[["2022",6]]}}}],"schema":"https://github.com/citation-style-language/schema/raw/master/csl-citation.json"} </w:instrText>
      </w:r>
      <w:r w:rsidRPr="005B3DC2">
        <w:rPr>
          <w:sz w:val="22"/>
          <w:szCs w:val="22"/>
        </w:rPr>
        <w:fldChar w:fldCharType="separate"/>
      </w:r>
      <w:r w:rsidR="00120433">
        <w:rPr>
          <w:sz w:val="22"/>
          <w:szCs w:val="22"/>
        </w:rPr>
        <w:t>(Liang et al., 2022)</w:t>
      </w:r>
      <w:r w:rsidRPr="005B3DC2">
        <w:rPr>
          <w:sz w:val="22"/>
          <w:szCs w:val="22"/>
        </w:rPr>
        <w:fldChar w:fldCharType="end"/>
      </w:r>
      <w:r w:rsidRPr="005B3DC2">
        <w:rPr>
          <w:sz w:val="22"/>
          <w:szCs w:val="22"/>
        </w:rPr>
        <w:t xml:space="preserve">, the lifespan of onshore wind used in the literature is in the range of 20–25 years, with a mean of 21.7 years. For offshore wind turbines, the lifespan range is 20–30 years, with a mean of 23.6 years. The lifespan of solar PV used in the literature ranges is in the range of 20–40 years, with a mean of 26.3 years for the sub-technologies in focus. </w:t>
      </w:r>
    </w:p>
    <w:p w14:paraId="54176D74" w14:textId="77777777" w:rsidR="00250E9B" w:rsidRPr="005B3DC2" w:rsidRDefault="00250E9B" w:rsidP="00250E9B">
      <w:pPr>
        <w:jc w:val="both"/>
        <w:rPr>
          <w:sz w:val="22"/>
          <w:szCs w:val="22"/>
        </w:rPr>
      </w:pPr>
    </w:p>
    <w:p w14:paraId="21CEE22C" w14:textId="0E993CE9" w:rsidR="00250E9B" w:rsidRPr="005B3DC2" w:rsidRDefault="00250E9B" w:rsidP="00250E9B">
      <w:pPr>
        <w:jc w:val="both"/>
        <w:rPr>
          <w:sz w:val="22"/>
          <w:szCs w:val="22"/>
        </w:rPr>
      </w:pPr>
      <w:r w:rsidRPr="005B3DC2">
        <w:rPr>
          <w:sz w:val="22"/>
          <w:szCs w:val="22"/>
        </w:rPr>
        <w:t xml:space="preserve">For the historical period and the future period of the Baseline scenario, these mean lifespan values are used and retained throughout the scenario period. For the Longer </w:t>
      </w:r>
      <w:r>
        <w:rPr>
          <w:sz w:val="22"/>
          <w:szCs w:val="22"/>
        </w:rPr>
        <w:t>design</w:t>
      </w:r>
      <w:r w:rsidRPr="005B3DC2">
        <w:rPr>
          <w:sz w:val="22"/>
          <w:szCs w:val="22"/>
        </w:rPr>
        <w:t xml:space="preserve"> lifespan scenario, which assumes a lower replacement rate, the lifespans are assumed to reach 30 and 35 years for onshore and offshore wind turbines, respectively, by 2050, in agreement with JRC's Low Demand Scenario </w:t>
      </w:r>
      <w:r w:rsidRPr="005B3DC2">
        <w:rPr>
          <w:sz w:val="22"/>
          <w:szCs w:val="22"/>
        </w:rPr>
        <w:fldChar w:fldCharType="begin"/>
      </w:r>
      <w:r w:rsidR="00120433">
        <w:rPr>
          <w:sz w:val="22"/>
          <w:szCs w:val="22"/>
        </w:rPr>
        <w:instrText xml:space="preserve"> ADDIN ZOTERO_ITEM CSL_CITATION {"citationID":"y7RDtJw6","properties":{"formattedCitation":"(Carrara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5B3DC2">
        <w:rPr>
          <w:sz w:val="22"/>
          <w:szCs w:val="22"/>
        </w:rPr>
        <w:fldChar w:fldCharType="separate"/>
      </w:r>
      <w:r w:rsidR="00120433">
        <w:rPr>
          <w:sz w:val="22"/>
          <w:szCs w:val="22"/>
        </w:rPr>
        <w:t>(Carrara et al., 2020)</w:t>
      </w:r>
      <w:r w:rsidRPr="005B3DC2">
        <w:rPr>
          <w:sz w:val="22"/>
          <w:szCs w:val="22"/>
        </w:rPr>
        <w:fldChar w:fldCharType="end"/>
      </w:r>
      <w:r w:rsidRPr="005B3DC2">
        <w:rPr>
          <w:sz w:val="22"/>
          <w:szCs w:val="22"/>
        </w:rPr>
        <w:t xml:space="preserve">. For solar PV, the mean lifespan increases to 40 years in 2050, in agreement with the max lifespan recorded by Liang et al. </w:t>
      </w:r>
      <w:r w:rsidRPr="005B3DC2">
        <w:rPr>
          <w:sz w:val="22"/>
          <w:szCs w:val="22"/>
        </w:rPr>
        <w:fldChar w:fldCharType="begin"/>
      </w:r>
      <w:r w:rsidRPr="005B3DC2">
        <w:rPr>
          <w:sz w:val="22"/>
          <w:szCs w:val="22"/>
        </w:rPr>
        <w:instrText xml:space="preserve"> ADDIN ZOTERO_ITEM CSL_CITATION {"citationID":"z0FgM4NG","properties":{"formattedCitation":"(2022)","plainCitation":"(2022)","noteIndex":0},"citationItems":[{"id":15317,"uris":["http://zotero.org/groups/4945499/items/3FURBUW6"],"itemData":{"id":15317,"type":"article-journal","abstract":"Deployment of clean energy technologies will require a considerable amount of materials. The surge in demand for metals related to emerging energy technologies may hinder the energy transition. In this study we provide a comprehensive overview and analysis of existing work in this field, a solid quantitative baseline for material requirements of different energy technologies and quantitative information that can be used to generate learning curves for the material requirements of different energy technologies. We conducted a quantitative review of the material requirements of low-carbon energy technologies in 132 scientific publications, and provided a comparative analysis of detailed data including material intensity and lifetime data. Besides providing a large amount of structured quantitative data, the results of our work indicate that: (1) research on the demand for lowcarbon technology related metals has received much attention since the 2010s; (2) around 80% of the publi­ cations focus on the global level while national level studies are underrepresented; (3) science-based future scenarios are the main means of estimating total future material requirements; (4) most studies foresee material constraints of large-scale implementation of low-carbon technologies and the secure and responsible supply of these materials is still the subject of discussion; (5) changes in metal intensity caused by technological devel­ opment and material requirements for non-critical components are important though often overlooked.","container-title":"Renewable and Sustainable Energy Reviews","DOI":"10.1016/j.rser.2022.112334","ISSN":"13640321","journalAbbreviation":"Renewable and Sustainable Energy Reviews","language":"en","page":"112334","source":"DOI.org (Crossref)","title":"Material requirements for low-carbon energy technologies: A quantitative review","title-short":"Material requirements for low-carbon energy technologies","volume":"161","author":[{"family":"Liang","given":"Yanan"},{"family":"Kleijn","given":"René"},{"family":"Tukker","given":"Arnold"},{"family":"Voet","given":"Ester","non-dropping-particle":"van der"}],"issued":{"date-parts":[["2022",6]]}},"label":"page","suppress-author":true}],"schema":"https://github.com/citation-style-language/schema/raw/master/csl-citation.json"} </w:instrText>
      </w:r>
      <w:r w:rsidRPr="005B3DC2">
        <w:rPr>
          <w:sz w:val="22"/>
          <w:szCs w:val="22"/>
        </w:rPr>
        <w:fldChar w:fldCharType="separate"/>
      </w:r>
      <w:r w:rsidR="00120433">
        <w:rPr>
          <w:sz w:val="22"/>
          <w:szCs w:val="22"/>
        </w:rPr>
        <w:t>(2022)</w:t>
      </w:r>
      <w:r w:rsidRPr="005B3DC2">
        <w:rPr>
          <w:sz w:val="22"/>
          <w:szCs w:val="22"/>
        </w:rPr>
        <w:fldChar w:fldCharType="end"/>
      </w:r>
      <w:r w:rsidRPr="005B3DC2">
        <w:rPr>
          <w:sz w:val="22"/>
          <w:szCs w:val="22"/>
        </w:rPr>
        <w:t xml:space="preserve">. In all cases, the mean lifespans increase linearly between 2021 and 2050. </w:t>
      </w:r>
    </w:p>
    <w:p w14:paraId="18C7731A" w14:textId="77777777" w:rsidR="00250E9B" w:rsidRPr="005B3DC2" w:rsidRDefault="00250E9B" w:rsidP="00250E9B">
      <w:pPr>
        <w:jc w:val="both"/>
        <w:rPr>
          <w:sz w:val="22"/>
          <w:szCs w:val="22"/>
        </w:rPr>
      </w:pPr>
    </w:p>
    <w:p w14:paraId="36975A01" w14:textId="38FF0A19" w:rsidR="00250E9B" w:rsidRDefault="00250E9B" w:rsidP="00250E9B">
      <w:pPr>
        <w:jc w:val="both"/>
        <w:rPr>
          <w:sz w:val="22"/>
          <w:szCs w:val="22"/>
          <w:lang w:val="en-GB"/>
        </w:rPr>
      </w:pPr>
      <w:r w:rsidRPr="005B3DC2">
        <w:rPr>
          <w:sz w:val="22"/>
          <w:szCs w:val="22"/>
          <w:lang w:val="en-GB"/>
        </w:rPr>
        <w:t>All the technologies are assumed to follow a 2-parameter Weibull distribution with standard deviation of 5 years. Figure S</w:t>
      </w:r>
      <w:r w:rsidR="001A6EE1">
        <w:rPr>
          <w:sz w:val="22"/>
          <w:szCs w:val="22"/>
          <w:lang w:val="en-GB"/>
        </w:rPr>
        <w:t>1.4</w:t>
      </w:r>
      <w:r w:rsidRPr="005B3DC2">
        <w:rPr>
          <w:sz w:val="22"/>
          <w:szCs w:val="22"/>
          <w:lang w:val="en-GB"/>
        </w:rPr>
        <w:t xml:space="preserve"> depicts the expected lifespan distribution used for the Baseline scenario throughout the scenario period and the 2050 lifespan distribution used for the </w:t>
      </w:r>
      <w:proofErr w:type="gramStart"/>
      <w:r w:rsidRPr="005B3DC2">
        <w:rPr>
          <w:sz w:val="22"/>
          <w:szCs w:val="22"/>
          <w:lang w:val="en-GB"/>
        </w:rPr>
        <w:t>Longer</w:t>
      </w:r>
      <w:proofErr w:type="gramEnd"/>
      <w:r w:rsidRPr="005B3DC2">
        <w:rPr>
          <w:sz w:val="22"/>
          <w:szCs w:val="22"/>
          <w:lang w:val="en-GB"/>
        </w:rPr>
        <w:t xml:space="preserve"> </w:t>
      </w:r>
      <w:r>
        <w:rPr>
          <w:sz w:val="22"/>
          <w:szCs w:val="22"/>
          <w:lang w:val="en-GB"/>
        </w:rPr>
        <w:t>design</w:t>
      </w:r>
      <w:r w:rsidRPr="005B3DC2">
        <w:rPr>
          <w:sz w:val="22"/>
          <w:szCs w:val="22"/>
          <w:lang w:val="en-GB"/>
        </w:rPr>
        <w:t xml:space="preserve"> lifespan scenario.</w:t>
      </w:r>
    </w:p>
    <w:p w14:paraId="19D96BD0" w14:textId="378DEE81" w:rsidR="00250E9B" w:rsidRDefault="00250E9B" w:rsidP="000567BE">
      <w:pPr>
        <w:rPr>
          <w:sz w:val="22"/>
          <w:szCs w:val="22"/>
          <w:lang w:val="en-GB"/>
        </w:rPr>
      </w:pPr>
    </w:p>
    <w:p w14:paraId="40E8F471" w14:textId="64882945" w:rsidR="00CD7521" w:rsidRPr="005B3DC2" w:rsidRDefault="00CD7521" w:rsidP="00250E9B">
      <w:pPr>
        <w:jc w:val="center"/>
        <w:rPr>
          <w:sz w:val="22"/>
          <w:szCs w:val="22"/>
          <w:lang w:val="en-GB"/>
        </w:rPr>
      </w:pPr>
      <w:r>
        <w:rPr>
          <w:noProof/>
        </w:rPr>
        <w:drawing>
          <wp:inline distT="0" distB="0" distL="0" distR="0" wp14:anchorId="56A41707" wp14:editId="1B702025">
            <wp:extent cx="5760000" cy="2890800"/>
            <wp:effectExtent l="0" t="0" r="0" b="5080"/>
            <wp:docPr id="1210858524" name="Chart 1">
              <a:extLst xmlns:a="http://schemas.openxmlformats.org/drawingml/2006/main">
                <a:ext uri="{FF2B5EF4-FFF2-40B4-BE49-F238E27FC236}">
                  <a16:creationId xmlns:a16="http://schemas.microsoft.com/office/drawing/2014/main" id="{00000000-0008-0000-03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509BB31" w14:textId="215A4D55" w:rsidR="00250E9B" w:rsidRPr="00010BCE" w:rsidRDefault="00250E9B" w:rsidP="00250E9B">
      <w:pPr>
        <w:jc w:val="center"/>
        <w:rPr>
          <w:color w:val="0E2841"/>
          <w:sz w:val="18"/>
          <w:szCs w:val="18"/>
        </w:rPr>
      </w:pPr>
      <w:r w:rsidRPr="00F05D5B">
        <w:rPr>
          <w:b/>
          <w:color w:val="0E2841"/>
          <w:sz w:val="18"/>
          <w:szCs w:val="18"/>
        </w:rPr>
        <w:t>Figure S</w:t>
      </w:r>
      <w:r>
        <w:rPr>
          <w:b/>
          <w:color w:val="0E2841"/>
          <w:sz w:val="18"/>
          <w:szCs w:val="18"/>
        </w:rPr>
        <w:t>1.</w:t>
      </w:r>
      <w:r w:rsidR="00E42788">
        <w:rPr>
          <w:b/>
          <w:color w:val="0E2841"/>
          <w:sz w:val="18"/>
          <w:szCs w:val="18"/>
        </w:rPr>
        <w:t>4</w:t>
      </w:r>
      <w:r w:rsidRPr="00F05D5B">
        <w:rPr>
          <w:b/>
          <w:color w:val="0E2841"/>
          <w:sz w:val="18"/>
          <w:szCs w:val="18"/>
        </w:rPr>
        <w:t>:</w:t>
      </w:r>
      <w:r w:rsidRPr="00F05D5B">
        <w:rPr>
          <w:color w:val="0E2841"/>
          <w:sz w:val="18"/>
          <w:szCs w:val="18"/>
        </w:rPr>
        <w:t xml:space="preserve"> Expected lifespan Weibull distributions for all technologies in the Baseline (throughout the scenario period) and </w:t>
      </w:r>
      <w:proofErr w:type="gramStart"/>
      <w:r w:rsidRPr="00F05D5B">
        <w:rPr>
          <w:color w:val="0E2841"/>
          <w:sz w:val="18"/>
          <w:szCs w:val="18"/>
        </w:rPr>
        <w:t>Longer</w:t>
      </w:r>
      <w:proofErr w:type="gramEnd"/>
      <w:r w:rsidRPr="00F05D5B">
        <w:rPr>
          <w:color w:val="0E2841"/>
          <w:sz w:val="18"/>
          <w:szCs w:val="18"/>
        </w:rPr>
        <w:t xml:space="preserve"> </w:t>
      </w:r>
      <w:r>
        <w:rPr>
          <w:color w:val="0E2841"/>
          <w:sz w:val="18"/>
          <w:szCs w:val="18"/>
        </w:rPr>
        <w:t>design</w:t>
      </w:r>
      <w:r w:rsidRPr="00F05D5B">
        <w:rPr>
          <w:color w:val="0E2841"/>
          <w:sz w:val="18"/>
          <w:szCs w:val="18"/>
        </w:rPr>
        <w:t xml:space="preserve"> lifespan (in 2050) scenarios.</w:t>
      </w:r>
      <w:bookmarkStart w:id="63" w:name="_Toc171362996"/>
      <w:bookmarkStart w:id="64" w:name="_Toc171616703"/>
      <w:bookmarkStart w:id="65" w:name="_Toc172657878"/>
      <w:bookmarkStart w:id="66" w:name="_Toc173327302"/>
      <w:bookmarkStart w:id="67" w:name="_Toc176448301"/>
      <w:bookmarkStart w:id="68" w:name="_Toc176788414"/>
      <w:bookmarkStart w:id="69" w:name="_Toc176788456"/>
      <w:bookmarkStart w:id="70" w:name="_Toc176788573"/>
      <w:bookmarkStart w:id="71" w:name="_Toc176789090"/>
      <w:bookmarkStart w:id="72" w:name="_Toc176789946"/>
    </w:p>
    <w:p w14:paraId="215F1C39" w14:textId="2B33233F" w:rsidR="00250E9B" w:rsidRPr="00EE1723" w:rsidRDefault="00977536" w:rsidP="00250E9B">
      <w:pPr>
        <w:pStyle w:val="Heading1"/>
        <w:rPr>
          <w:color w:val="0E2841" w:themeColor="text2"/>
          <w:sz w:val="32"/>
          <w:szCs w:val="32"/>
          <w:lang w:val="sv-SE"/>
        </w:rPr>
      </w:pPr>
      <w:bookmarkStart w:id="73" w:name="_Toc208849804"/>
      <w:bookmarkStart w:id="74" w:name="_Toc208850248"/>
      <w:r w:rsidRPr="00EE1723">
        <w:rPr>
          <w:color w:val="0E2841" w:themeColor="text2"/>
          <w:sz w:val="32"/>
          <w:szCs w:val="32"/>
          <w:lang w:val="sv-SE"/>
        </w:rPr>
        <w:lastRenderedPageBreak/>
        <w:t>7</w:t>
      </w:r>
      <w:r w:rsidR="00250E9B" w:rsidRPr="00EE1723">
        <w:rPr>
          <w:color w:val="0E2841" w:themeColor="text2"/>
          <w:sz w:val="32"/>
          <w:szCs w:val="32"/>
          <w:lang w:val="sv-SE"/>
        </w:rPr>
        <w:t xml:space="preserve">. </w:t>
      </w:r>
      <w:proofErr w:type="spellStart"/>
      <w:r w:rsidR="00250E9B" w:rsidRPr="00EE1723">
        <w:rPr>
          <w:color w:val="0E2841" w:themeColor="text2"/>
          <w:sz w:val="32"/>
          <w:szCs w:val="32"/>
          <w:lang w:val="sv-SE"/>
        </w:rPr>
        <w:t>Metal</w:t>
      </w:r>
      <w:proofErr w:type="spellEnd"/>
      <w:r w:rsidR="00250E9B" w:rsidRPr="00EE1723">
        <w:rPr>
          <w:color w:val="0E2841" w:themeColor="text2"/>
          <w:sz w:val="32"/>
          <w:szCs w:val="32"/>
          <w:lang w:val="sv-SE"/>
        </w:rPr>
        <w:t xml:space="preserve"> </w:t>
      </w:r>
      <w:proofErr w:type="spellStart"/>
      <w:r w:rsidR="00250E9B" w:rsidRPr="00EE1723">
        <w:rPr>
          <w:color w:val="0E2841" w:themeColor="text2"/>
          <w:sz w:val="32"/>
          <w:szCs w:val="32"/>
          <w:lang w:val="sv-SE"/>
        </w:rPr>
        <w:t>intensities</w:t>
      </w:r>
      <w:bookmarkEnd w:id="63"/>
      <w:bookmarkEnd w:id="64"/>
      <w:bookmarkEnd w:id="65"/>
      <w:bookmarkEnd w:id="66"/>
      <w:bookmarkEnd w:id="67"/>
      <w:bookmarkEnd w:id="68"/>
      <w:bookmarkEnd w:id="69"/>
      <w:bookmarkEnd w:id="70"/>
      <w:bookmarkEnd w:id="71"/>
      <w:bookmarkEnd w:id="72"/>
      <w:bookmarkEnd w:id="73"/>
      <w:bookmarkEnd w:id="74"/>
      <w:proofErr w:type="spellEnd"/>
    </w:p>
    <w:p w14:paraId="58CA6CE1" w14:textId="77777777" w:rsidR="00250E9B" w:rsidRPr="005B3DC2" w:rsidRDefault="00250E9B" w:rsidP="00250E9B">
      <w:pPr>
        <w:jc w:val="both"/>
        <w:rPr>
          <w:sz w:val="22"/>
          <w:szCs w:val="22"/>
          <w:u w:val="single"/>
          <w:lang w:val="sv-SE"/>
        </w:rPr>
      </w:pPr>
      <w:r w:rsidRPr="005B3DC2">
        <w:rPr>
          <w:sz w:val="22"/>
          <w:szCs w:val="22"/>
          <w:u w:val="single"/>
          <w:lang w:val="sv-SE"/>
        </w:rPr>
        <w:t>Solar PV</w:t>
      </w:r>
    </w:p>
    <w:p w14:paraId="68BFDA17" w14:textId="423C416C" w:rsidR="00250E9B" w:rsidRPr="005B3DC2" w:rsidRDefault="00250E9B" w:rsidP="00250E9B">
      <w:pPr>
        <w:jc w:val="both"/>
        <w:rPr>
          <w:sz w:val="22"/>
          <w:szCs w:val="22"/>
        </w:rPr>
      </w:pPr>
      <w:r w:rsidRPr="005B3DC2">
        <w:rPr>
          <w:sz w:val="22"/>
          <w:szCs w:val="22"/>
          <w:lang w:val="sv-SE"/>
        </w:rPr>
        <w:t xml:space="preserve">Liang et al. </w:t>
      </w:r>
      <w:r w:rsidRPr="005B3DC2">
        <w:rPr>
          <w:sz w:val="22"/>
          <w:szCs w:val="22"/>
        </w:rPr>
        <w:fldChar w:fldCharType="begin"/>
      </w:r>
      <w:r w:rsidRPr="005B3DC2">
        <w:rPr>
          <w:sz w:val="22"/>
          <w:szCs w:val="22"/>
          <w:lang w:val="sv-SE"/>
        </w:rPr>
        <w:instrText xml:space="preserve"> ADDIN ZOTERO_ITEM CSL_CITATION {"citationID":"mipwaAic","properties":{"formattedCitation":"(2022)","plainCitation":"(2022)","noteIndex":0},"citationItems":[{"id":15317,"uris":["http://zotero.org/groups/4945499/items/3FURBUW6"],"itemData":{"id":15317,"type":"article-journal","abstract":"Deployment of clean energy technologies will require a considerable amount of materials. The surge in demand for metals related to emerging energy technologies may hinder the energy transition. In this study we provide a comprehensive overview and analysis of existing work in this field, a solid quantitative baseline for material requirements of different energy technologies and quantitative information that can be used to generate learning curves for the material requirements of different energy technologies. We conducted a quantitative review of the material requirements of low-carbon energy technologies in 132 scientific publications, and provided a comparative analysis of detailed data including material intensity and lifetime data. Besides providing a large amount of structured quantitative data, the</w:instrText>
      </w:r>
      <w:r w:rsidRPr="00CD7521">
        <w:rPr>
          <w:sz w:val="22"/>
          <w:szCs w:val="22"/>
          <w:lang w:val="en-GB"/>
        </w:rPr>
        <w:instrText xml:space="preserve"> results of our work indicate that: (1) research on the demand for lowcarbon technology related metals has received much attention since the 2010s; (2) around 80% of the publi­ cations focus on the global level while national level studies are underrepresented; (3) science-based future scenarios are the main means of estimating total future material requirements; (4) most studies foresee material constraints of large-scale implementation of low-carbon technologies and the secure and responsible supply of these materials is still the subject of discussion; (5) changes in metal intensity caused by technological devel­ opment and material requirements for non-critical components are important though often overlooked.","container-title":"Renewable and Sustainable Energy Reviews","DOI":"10.1016/j.rser.2022.112334","ISSN":"13640321","journalAbbreviation":"Renewable and Sustainable Energy Reviews","language":"en","page":"112334","source":"DOI.org (Crossref)","title":"Material requirements for low-carbon energy technologies: A quantitative review","title-short":"Material requirements for low-carbon energy technologies","volume":"161","author":[{"family":"Liang","given":"Yanan"},{"family":"Kleijn","given":"René"},{"family":"Tukker","given":"Arnold"},{"family":"Voet","given":"Ester","non-dropping-particle":"van der"}],"issued":{"date-parts":[["2022",6]]}},"label":"page","suppress-author":true}],"schema":"https://github.com/citation-style-language/schema/raw/master/csl-citation.json"} </w:instrText>
      </w:r>
      <w:r w:rsidRPr="005B3DC2">
        <w:rPr>
          <w:sz w:val="22"/>
          <w:szCs w:val="22"/>
        </w:rPr>
        <w:fldChar w:fldCharType="separate"/>
      </w:r>
      <w:r w:rsidR="00120433">
        <w:rPr>
          <w:sz w:val="22"/>
          <w:szCs w:val="22"/>
        </w:rPr>
        <w:t>(2022)</w:t>
      </w:r>
      <w:r w:rsidRPr="005B3DC2">
        <w:rPr>
          <w:sz w:val="22"/>
          <w:szCs w:val="22"/>
        </w:rPr>
        <w:fldChar w:fldCharType="end"/>
      </w:r>
      <w:r w:rsidRPr="005B3DC2">
        <w:rPr>
          <w:sz w:val="22"/>
          <w:szCs w:val="22"/>
        </w:rPr>
        <w:t xml:space="preserve"> have conducted a review of material intensities in studies in the literature. Values for the material intensity (MI) per material were collected from the literature for the current case, and for 2030 and 2050. Material efficiency improvements occur over time. For example, the intensity of silver in c-Si solar cells has experienced a 40%–50% reduction over the past decade, which is one of the reasons cited for the exponential increase in solar PV deployment </w:t>
      </w:r>
      <w:r w:rsidRPr="005B3DC2">
        <w:rPr>
          <w:sz w:val="22"/>
          <w:szCs w:val="22"/>
        </w:rPr>
        <w:fldChar w:fldCharType="begin"/>
      </w:r>
      <w:r w:rsidR="00120433">
        <w:rPr>
          <w:sz w:val="22"/>
          <w:szCs w:val="22"/>
        </w:rPr>
        <w:instrText xml:space="preserve"> ADDIN ZOTERO_ITEM CSL_CITATION {"citationID":"jmtXdhY7","properties":{"formattedCitation":"(IEA, 2022)","plainCitation":"(IEA, 2022)","noteIndex":0},"citationItems":[{"id":16773,"uris":["http://zotero.org/groups/5509458/items/ML2X38JJ"],"itemData":{"id":16773,"type":"report","collection-title":"World Energy Outlook Special Report","genre":"International Energy Agency","title":"The Role of Critical Minerals in Clean Energy Transitions","URL":"https://www.iea.org/reports/the-role-of-critical-minerals-in-clean-energy-transitions","author":[{"family":"IEA","given":""}],"issued":{"date-parts":[["2022"]]}}}],"schema":"https://github.com/citation-style-language/schema/raw/master/csl-citation.json"} </w:instrText>
      </w:r>
      <w:r w:rsidRPr="005B3DC2">
        <w:rPr>
          <w:sz w:val="22"/>
          <w:szCs w:val="22"/>
        </w:rPr>
        <w:fldChar w:fldCharType="separate"/>
      </w:r>
      <w:r w:rsidR="00120433">
        <w:rPr>
          <w:sz w:val="22"/>
          <w:szCs w:val="22"/>
        </w:rPr>
        <w:t>(IEA, 2022)</w:t>
      </w:r>
      <w:r w:rsidRPr="005B3DC2">
        <w:rPr>
          <w:sz w:val="22"/>
          <w:szCs w:val="22"/>
        </w:rPr>
        <w:fldChar w:fldCharType="end"/>
      </w:r>
      <w:r w:rsidRPr="005B3DC2">
        <w:rPr>
          <w:sz w:val="22"/>
          <w:szCs w:val="22"/>
        </w:rPr>
        <w:t xml:space="preserve">. Therefore, for the current case, we filtered the data provided by Liang et al. </w:t>
      </w:r>
      <w:r w:rsidRPr="005B3DC2">
        <w:rPr>
          <w:sz w:val="22"/>
          <w:szCs w:val="22"/>
        </w:rPr>
        <w:fldChar w:fldCharType="begin"/>
      </w:r>
      <w:r w:rsidRPr="005B3DC2">
        <w:rPr>
          <w:sz w:val="22"/>
          <w:szCs w:val="22"/>
        </w:rPr>
        <w:instrText xml:space="preserve"> ADDIN ZOTERO_ITEM CSL_CITATION {"citationID":"wYQ4klcH","properties":{"formattedCitation":"(2022)","plainCitation":"(2022)","noteIndex":0},"citationItems":[{"id":15317,"uris":["http://zotero.org/groups/4945499/items/3FURBUW6"],"itemData":{"id":15317,"type":"article-journal","abstract":"Deployment of clean energy technologies will require a considerable amount of materials. The surge in demand for metals related to emerging energy technologies may hinder the energy transition. In this study we provide a comprehensive overview and analysis of existing work in this field, a solid quantitative baseline for material requirements of different energy technologies and quantitative information that can be used to generate learning curves for the material requirements of different energy technologies. We conducted a quantitative review of the material requirements of low-carbon energy technologies in 132 scientific publications, and provided a comparative analysis of detailed data including material intensity and lifetime data. Besides providing a large amount of structured quantitative data, the results of our work indicate that: (1) research on the demand for lowcarbon technology related metals has received much attention since the 2010s; (2) around 80% of the publi­ cations focus on the global level while national level studies are underrepresented; (3) science-based future scenarios are the main means of estimating total future material requirements; (4) most studies foresee material constraints of large-scale implementation of low-carbon technologies and the secure and responsible supply of these materials is still the subject of discussion; (5) changes in metal intensity caused by technological devel­ opment and material requirements for non-critical components are important though often overlooked.","container-title":"Renewable and Sustainable Energy Reviews","DOI":"10.1016/j.rser.2022.112334","ISSN":"13640321","journalAbbreviation":"Renewable and Sustainable Energy Reviews","language":"en","page":"112334","source":"DOI.org (Crossref)","title":"Material requirements for low-carbon energy technologies: A quantitative review","title-short":"Material requirements for low-carbon energy technologies","volume":"161","author":[{"family":"Liang","given":"Yanan"},{"family":"Kleijn","given":"René"},{"family":"Tukker","given":"Arnold"},{"family":"Voet","given":"Ester","non-dropping-particle":"van der"}],"issued":{"date-parts":[["2022",6]]}},"label":"page","suppress-author":true}],"schema":"https://github.com/citation-style-language/schema/raw/master/csl-citation.json"} </w:instrText>
      </w:r>
      <w:r w:rsidRPr="005B3DC2">
        <w:rPr>
          <w:sz w:val="22"/>
          <w:szCs w:val="22"/>
        </w:rPr>
        <w:fldChar w:fldCharType="separate"/>
      </w:r>
      <w:r w:rsidR="00120433">
        <w:rPr>
          <w:sz w:val="22"/>
          <w:szCs w:val="22"/>
        </w:rPr>
        <w:t>(2022)</w:t>
      </w:r>
      <w:r w:rsidRPr="005B3DC2">
        <w:rPr>
          <w:sz w:val="22"/>
          <w:szCs w:val="22"/>
        </w:rPr>
        <w:fldChar w:fldCharType="end"/>
      </w:r>
      <w:r w:rsidRPr="005B3DC2">
        <w:rPr>
          <w:sz w:val="22"/>
          <w:szCs w:val="22"/>
        </w:rPr>
        <w:t xml:space="preserve"> to include the material intensity data from the most-recent publications (published between 2018 and 2020). The studies in the literature also provide estimates of the MI values in future years. We collected these for 2030 and 2050. For each material, the average values were used. In Tables S1</w:t>
      </w:r>
      <w:r w:rsidR="000A32E6">
        <w:rPr>
          <w:sz w:val="22"/>
          <w:szCs w:val="22"/>
        </w:rPr>
        <w:t>.</w:t>
      </w:r>
      <w:r w:rsidR="00512600">
        <w:rPr>
          <w:sz w:val="22"/>
          <w:szCs w:val="22"/>
        </w:rPr>
        <w:t>4</w:t>
      </w:r>
      <w:r w:rsidRPr="005B3DC2">
        <w:rPr>
          <w:sz w:val="22"/>
          <w:szCs w:val="22"/>
        </w:rPr>
        <w:t>–</w:t>
      </w:r>
      <w:r w:rsidR="00512600">
        <w:rPr>
          <w:sz w:val="22"/>
          <w:szCs w:val="22"/>
        </w:rPr>
        <w:t>7</w:t>
      </w:r>
      <w:r w:rsidRPr="005B3DC2">
        <w:rPr>
          <w:sz w:val="22"/>
          <w:szCs w:val="22"/>
        </w:rPr>
        <w:t>, we provide the data for the current case, and Table</w:t>
      </w:r>
      <w:r w:rsidR="008D66B4">
        <w:rPr>
          <w:sz w:val="22"/>
          <w:szCs w:val="22"/>
        </w:rPr>
        <w:t>s</w:t>
      </w:r>
      <w:r w:rsidRPr="005B3DC2">
        <w:rPr>
          <w:sz w:val="22"/>
          <w:szCs w:val="22"/>
        </w:rPr>
        <w:t xml:space="preserve"> S</w:t>
      </w:r>
      <w:r w:rsidR="009E242D">
        <w:rPr>
          <w:sz w:val="22"/>
          <w:szCs w:val="22"/>
        </w:rPr>
        <w:t>1.</w:t>
      </w:r>
      <w:r w:rsidR="009A710B">
        <w:rPr>
          <w:sz w:val="22"/>
          <w:szCs w:val="22"/>
        </w:rPr>
        <w:t>8</w:t>
      </w:r>
      <w:r w:rsidR="009173C5" w:rsidRPr="005B3DC2">
        <w:rPr>
          <w:sz w:val="22"/>
          <w:szCs w:val="22"/>
        </w:rPr>
        <w:t>–</w:t>
      </w:r>
      <w:r w:rsidR="009173C5">
        <w:rPr>
          <w:sz w:val="22"/>
          <w:szCs w:val="22"/>
        </w:rPr>
        <w:t>1</w:t>
      </w:r>
      <w:r w:rsidR="009A710B">
        <w:rPr>
          <w:sz w:val="22"/>
          <w:szCs w:val="22"/>
        </w:rPr>
        <w:t>1</w:t>
      </w:r>
      <w:r w:rsidRPr="005B3DC2">
        <w:rPr>
          <w:sz w:val="22"/>
          <w:szCs w:val="22"/>
        </w:rPr>
        <w:t xml:space="preserve"> lists the data for 2030 and 2050</w:t>
      </w:r>
      <w:r w:rsidR="00067C98">
        <w:rPr>
          <w:sz w:val="22"/>
          <w:szCs w:val="22"/>
        </w:rPr>
        <w:t xml:space="preserve"> cases</w:t>
      </w:r>
      <w:r w:rsidRPr="005B3DC2">
        <w:rPr>
          <w:sz w:val="22"/>
          <w:szCs w:val="22"/>
        </w:rPr>
        <w:t>, including the primary sources. Figure S</w:t>
      </w:r>
      <w:r w:rsidR="00863888">
        <w:rPr>
          <w:sz w:val="22"/>
          <w:szCs w:val="22"/>
        </w:rPr>
        <w:t>1.5</w:t>
      </w:r>
      <w:r w:rsidRPr="005B3DC2">
        <w:rPr>
          <w:sz w:val="22"/>
          <w:szCs w:val="22"/>
        </w:rPr>
        <w:t xml:space="preserve"> provides a visualization of the MI in the three cases, as well as the average values used per case. In the Baseline scenario, the current MI values were kept constant throughout the scenario period, while for the MI reduction scenario the values were linearly interpolated between the current (2021), 2030, and 2050 values.</w:t>
      </w:r>
    </w:p>
    <w:p w14:paraId="231E82D8" w14:textId="77777777" w:rsidR="00250E9B" w:rsidRPr="00F73297" w:rsidRDefault="00250E9B" w:rsidP="00250E9B">
      <w:pPr>
        <w:rPr>
          <w:color w:val="0E2841"/>
          <w:sz w:val="18"/>
          <w:szCs w:val="18"/>
          <w:lang w:val="en-GB"/>
        </w:rPr>
      </w:pPr>
    </w:p>
    <w:p w14:paraId="648E4DD1" w14:textId="77777777" w:rsidR="00250E9B" w:rsidRDefault="00250E9B" w:rsidP="00250E9B">
      <w:pPr>
        <w:jc w:val="center"/>
        <w:rPr>
          <w:i/>
          <w:color w:val="0E2841"/>
          <w:sz w:val="18"/>
          <w:szCs w:val="18"/>
        </w:rPr>
      </w:pPr>
    </w:p>
    <w:p w14:paraId="424C315A" w14:textId="3ACEDC8C" w:rsidR="00250E9B" w:rsidRPr="00F05D5B" w:rsidRDefault="00250E9B" w:rsidP="00250E9B">
      <w:pPr>
        <w:jc w:val="center"/>
        <w:rPr>
          <w:color w:val="0E2841"/>
          <w:sz w:val="18"/>
          <w:szCs w:val="18"/>
        </w:rPr>
      </w:pPr>
      <w:r w:rsidRPr="00F05D5B">
        <w:rPr>
          <w:b/>
          <w:color w:val="0E2841"/>
          <w:sz w:val="18"/>
          <w:szCs w:val="18"/>
        </w:rPr>
        <w:t>Table S</w:t>
      </w:r>
      <w:r>
        <w:rPr>
          <w:b/>
          <w:color w:val="0E2841"/>
          <w:sz w:val="18"/>
          <w:szCs w:val="18"/>
        </w:rPr>
        <w:t>1.</w:t>
      </w:r>
      <w:r w:rsidR="0029776D">
        <w:rPr>
          <w:b/>
          <w:color w:val="0E2841"/>
          <w:sz w:val="18"/>
          <w:szCs w:val="18"/>
        </w:rPr>
        <w:t>4</w:t>
      </w:r>
      <w:r w:rsidRPr="00F05D5B">
        <w:rPr>
          <w:b/>
          <w:color w:val="0E2841"/>
          <w:sz w:val="18"/>
          <w:szCs w:val="18"/>
        </w:rPr>
        <w:t>:</w:t>
      </w:r>
      <w:r w:rsidRPr="00F05D5B">
        <w:rPr>
          <w:color w:val="0E2841"/>
          <w:sz w:val="18"/>
          <w:szCs w:val="18"/>
        </w:rPr>
        <w:t xml:space="preserve"> Silver intensities (kg/MW) in the c-</w:t>
      </w:r>
      <w:proofErr w:type="gramStart"/>
      <w:r w:rsidRPr="00F05D5B">
        <w:rPr>
          <w:color w:val="0E2841"/>
          <w:sz w:val="18"/>
          <w:szCs w:val="18"/>
        </w:rPr>
        <w:t>Si  sub</w:t>
      </w:r>
      <w:proofErr w:type="gramEnd"/>
      <w:r w:rsidRPr="00F05D5B">
        <w:rPr>
          <w:color w:val="0E2841"/>
          <w:sz w:val="18"/>
          <w:szCs w:val="18"/>
        </w:rPr>
        <w:t>-technology, as reported in the literature published between 2018 and 2020.</w:t>
      </w:r>
    </w:p>
    <w:tbl>
      <w:tblPr>
        <w:tblW w:w="6374"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252"/>
        <w:gridCol w:w="1328"/>
        <w:gridCol w:w="1309"/>
        <w:gridCol w:w="2485"/>
      </w:tblGrid>
      <w:tr w:rsidR="00250E9B" w:rsidRPr="00F73297" w14:paraId="6F38FF33" w14:textId="77777777">
        <w:trPr>
          <w:trHeight w:val="23"/>
          <w:jc w:val="center"/>
        </w:trPr>
        <w:tc>
          <w:tcPr>
            <w:tcW w:w="1252" w:type="dxa"/>
            <w:noWrap/>
            <w:vAlign w:val="center"/>
            <w:hideMark/>
          </w:tcPr>
          <w:p w14:paraId="000E2F27" w14:textId="77777777" w:rsidR="00250E9B" w:rsidRPr="00F73297" w:rsidRDefault="00250E9B">
            <w:pPr>
              <w:jc w:val="center"/>
              <w:rPr>
                <w:rFonts w:eastAsia="Aptos"/>
                <w:b/>
                <w:i/>
                <w:color w:val="0E2841"/>
                <w:kern w:val="2"/>
                <w:sz w:val="18"/>
                <w:szCs w:val="18"/>
              </w:rPr>
            </w:pPr>
            <w:r w:rsidRPr="00F73297">
              <w:rPr>
                <w:rFonts w:eastAsia="Aptos"/>
                <w:b/>
                <w:i/>
                <w:color w:val="0E2841"/>
                <w:kern w:val="2"/>
                <w:sz w:val="18"/>
                <w:szCs w:val="18"/>
              </w:rPr>
              <w:t>Sub-technology</w:t>
            </w:r>
          </w:p>
        </w:tc>
        <w:tc>
          <w:tcPr>
            <w:tcW w:w="1328" w:type="dxa"/>
            <w:noWrap/>
            <w:vAlign w:val="center"/>
            <w:hideMark/>
          </w:tcPr>
          <w:p w14:paraId="3B339C65" w14:textId="77777777" w:rsidR="00250E9B" w:rsidRPr="00F73297" w:rsidRDefault="00250E9B">
            <w:pPr>
              <w:jc w:val="center"/>
              <w:rPr>
                <w:rFonts w:eastAsia="Aptos"/>
                <w:b/>
                <w:i/>
                <w:color w:val="0E2841"/>
                <w:kern w:val="2"/>
                <w:sz w:val="18"/>
                <w:szCs w:val="18"/>
              </w:rPr>
            </w:pPr>
            <w:r w:rsidRPr="00F73297">
              <w:rPr>
                <w:rFonts w:eastAsia="Aptos"/>
                <w:b/>
                <w:i/>
                <w:color w:val="0E2841"/>
                <w:kern w:val="2"/>
                <w:sz w:val="18"/>
                <w:szCs w:val="18"/>
              </w:rPr>
              <w:t>Material</w:t>
            </w:r>
          </w:p>
        </w:tc>
        <w:tc>
          <w:tcPr>
            <w:tcW w:w="1309" w:type="dxa"/>
            <w:noWrap/>
            <w:vAlign w:val="center"/>
            <w:hideMark/>
          </w:tcPr>
          <w:p w14:paraId="4603B57F" w14:textId="77777777" w:rsidR="00250E9B" w:rsidRPr="00F73297" w:rsidRDefault="00250E9B">
            <w:pPr>
              <w:jc w:val="center"/>
              <w:rPr>
                <w:rFonts w:eastAsia="Aptos"/>
                <w:b/>
                <w:i/>
                <w:color w:val="0E2841"/>
                <w:kern w:val="2"/>
                <w:sz w:val="18"/>
                <w:szCs w:val="18"/>
              </w:rPr>
            </w:pPr>
            <w:r w:rsidRPr="00F73297">
              <w:rPr>
                <w:rFonts w:eastAsia="Aptos"/>
                <w:b/>
                <w:i/>
                <w:color w:val="0E2841"/>
                <w:kern w:val="2"/>
                <w:sz w:val="18"/>
                <w:szCs w:val="18"/>
              </w:rPr>
              <w:t>Intensity (kg/MW)</w:t>
            </w:r>
          </w:p>
        </w:tc>
        <w:tc>
          <w:tcPr>
            <w:tcW w:w="2485" w:type="dxa"/>
            <w:vAlign w:val="center"/>
          </w:tcPr>
          <w:p w14:paraId="17569258" w14:textId="77777777" w:rsidR="00250E9B" w:rsidRPr="00F73297" w:rsidRDefault="00250E9B">
            <w:pPr>
              <w:jc w:val="center"/>
              <w:rPr>
                <w:rFonts w:eastAsia="Aptos"/>
                <w:b/>
                <w:i/>
                <w:color w:val="0E2841"/>
                <w:kern w:val="2"/>
                <w:sz w:val="18"/>
                <w:szCs w:val="18"/>
              </w:rPr>
            </w:pPr>
            <w:r w:rsidRPr="00F73297">
              <w:rPr>
                <w:rFonts w:eastAsia="Aptos"/>
                <w:b/>
                <w:i/>
                <w:color w:val="0E2841"/>
                <w:kern w:val="2"/>
                <w:sz w:val="18"/>
                <w:szCs w:val="18"/>
              </w:rPr>
              <w:t>Source</w:t>
            </w:r>
          </w:p>
        </w:tc>
      </w:tr>
      <w:tr w:rsidR="00250E9B" w:rsidRPr="00F73297" w14:paraId="79ABE4A1" w14:textId="77777777">
        <w:trPr>
          <w:trHeight w:val="23"/>
          <w:jc w:val="center"/>
        </w:trPr>
        <w:tc>
          <w:tcPr>
            <w:tcW w:w="1252" w:type="dxa"/>
            <w:vMerge w:val="restart"/>
            <w:noWrap/>
            <w:vAlign w:val="center"/>
            <w:hideMark/>
          </w:tcPr>
          <w:p w14:paraId="78A3416F"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c-Si</w:t>
            </w:r>
          </w:p>
        </w:tc>
        <w:tc>
          <w:tcPr>
            <w:tcW w:w="1328" w:type="dxa"/>
            <w:vMerge w:val="restart"/>
            <w:noWrap/>
            <w:vAlign w:val="center"/>
            <w:hideMark/>
          </w:tcPr>
          <w:p w14:paraId="2A122D8C" w14:textId="77777777" w:rsidR="00250E9B" w:rsidRDefault="00250E9B">
            <w:pPr>
              <w:jc w:val="center"/>
              <w:rPr>
                <w:rFonts w:eastAsia="Aptos"/>
                <w:i/>
                <w:color w:val="0E2841"/>
                <w:kern w:val="2"/>
                <w:sz w:val="18"/>
                <w:szCs w:val="18"/>
              </w:rPr>
            </w:pPr>
            <w:r w:rsidRPr="00F73297">
              <w:rPr>
                <w:rFonts w:eastAsia="Aptos"/>
                <w:i/>
                <w:color w:val="0E2841"/>
                <w:kern w:val="2"/>
                <w:sz w:val="18"/>
                <w:szCs w:val="18"/>
              </w:rPr>
              <w:t>Silver</w:t>
            </w:r>
          </w:p>
          <w:p w14:paraId="166A0ED5" w14:textId="77777777" w:rsidR="00250E9B" w:rsidRPr="00F73297" w:rsidRDefault="00250E9B">
            <w:pPr>
              <w:jc w:val="center"/>
              <w:rPr>
                <w:rFonts w:eastAsia="Aptos"/>
                <w:i/>
                <w:color w:val="0E2841"/>
                <w:kern w:val="2"/>
                <w:sz w:val="18"/>
                <w:szCs w:val="18"/>
              </w:rPr>
            </w:pPr>
            <w:r>
              <w:rPr>
                <w:rFonts w:eastAsia="Aptos"/>
                <w:i/>
                <w:color w:val="0E2841"/>
                <w:kern w:val="2"/>
                <w:sz w:val="18"/>
                <w:szCs w:val="18"/>
              </w:rPr>
              <w:t>Ag</w:t>
            </w:r>
          </w:p>
        </w:tc>
        <w:tc>
          <w:tcPr>
            <w:tcW w:w="1309" w:type="dxa"/>
            <w:noWrap/>
            <w:vAlign w:val="center"/>
            <w:hideMark/>
          </w:tcPr>
          <w:p w14:paraId="7DC7B2FA"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21.9</w:t>
            </w:r>
          </w:p>
        </w:tc>
        <w:tc>
          <w:tcPr>
            <w:tcW w:w="2485" w:type="dxa"/>
            <w:vAlign w:val="center"/>
          </w:tcPr>
          <w:p w14:paraId="712A2A76" w14:textId="2A0C1FF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120433">
              <w:rPr>
                <w:rFonts w:eastAsia="Aptos"/>
                <w:i/>
                <w:color w:val="0E2841"/>
                <w:kern w:val="2"/>
                <w:sz w:val="18"/>
                <w:szCs w:val="18"/>
              </w:rPr>
              <w:instrText xml:space="preserve"> ADDIN ZOTERO_ITEM CSL_CITATION {"citationID":"kSEfDzZS","properties":{"formattedCitation":"(W. Li &amp; Adachi, 2019)","plainCitation":"(W. Li &amp; Adachi, 2019)","noteIndex":0},"citationItems":[{"id":16726,"uris":["http://zotero.org/groups/5509458/items/HNN6ZIQB"],"itemData":{"id":16726,"type":"article-journal","abstract":"Abstract\n              This study focuses on quantifying supply shortage of silver for c‐Si PV over the long term (2015–2050), and measures the effects of technological uncertainties in the industry by scenario. Wherein, Hubbert theory, Weibull distribution, and intensity of demand are used to estimate silver mining supply, recycling supply, and manufacturing demand, respectively. The results show that silver supply shortage for manufacturing demand will occur from 2030. Technology improvements in the PV industry could delay when the shortage begins, but they will not prevent it, while silver supply shortage for c‐Si PV could be eliminated under the total effects scenario. Reducing dependency on silver as a raw material for c‐Si PV industry through technological progress and recycling retired panels is recommended. This study highlights the balance between natural resources and renewable energy sustainability. It benefits the PV industry's long‐term strategizing and helps policy making for long‐term silver resource sustainability.\n            \n            \n              Recommendations for Resource Managers\n              \n                \n                  \n                    Technological improvements in the PV industry are critical to relieve silver supply shortage in the long term and ensure sustainable installation of c‐Si PV.\n                  \n                  \n                    Recycling of end‐of‐life c‐Si PV is of great importance to secure silver supply for PV manufacturers in the long term.\n                  \n                  \n                    Improving silver old scrap recycling is necessary for long‐term availability of silver.\n                  \n                  \n                    It is indispensable to balance natural resources and renewable energy sustainability.","container-title":"Natural Resource Modeling","DOI":"10.1111/nrm.12176","ISSN":"0890-8575, 1939-7445","issue":"1","journalAbbreviation":"Natural Resource Modeling","language":"en","page":"e12176","source":"DOI.org (Crossref)","title":"Evaluation of long‐term silver supply shortage for c‐Si PV under different technological scenarios","volume":"32","author":[{"family":"Li","given":"Wenhua"},{"family":"Adachi","given":"Tsuyoshi"}],"issued":{"date-parts":[["2019",2]]}}}],"schema":"https://github.com/citation-style-language/schema/raw/master/csl-citation.json"} </w:instrText>
            </w:r>
            <w:r w:rsidRPr="00F73297">
              <w:rPr>
                <w:rFonts w:eastAsia="Aptos"/>
                <w:i/>
                <w:color w:val="0E2841"/>
                <w:kern w:val="2"/>
                <w:sz w:val="18"/>
                <w:szCs w:val="18"/>
              </w:rPr>
              <w:fldChar w:fldCharType="separate"/>
            </w:r>
            <w:r w:rsidR="00120433">
              <w:rPr>
                <w:rFonts w:eastAsia="Aptos"/>
                <w:i/>
                <w:color w:val="0E2841"/>
                <w:kern w:val="2"/>
                <w:sz w:val="18"/>
                <w:szCs w:val="18"/>
              </w:rPr>
              <w:t>(W. Li &amp; Adachi, 2019)</w:t>
            </w:r>
            <w:r w:rsidRPr="00F73297">
              <w:rPr>
                <w:rFonts w:eastAsia="Aptos"/>
                <w:color w:val="0E2841"/>
                <w:kern w:val="2"/>
                <w:sz w:val="18"/>
                <w:szCs w:val="18"/>
              </w:rPr>
              <w:fldChar w:fldCharType="end"/>
            </w:r>
          </w:p>
        </w:tc>
      </w:tr>
      <w:tr w:rsidR="00250E9B" w:rsidRPr="00F73297" w14:paraId="4A6D1FC5" w14:textId="77777777">
        <w:trPr>
          <w:trHeight w:val="23"/>
          <w:jc w:val="center"/>
        </w:trPr>
        <w:tc>
          <w:tcPr>
            <w:tcW w:w="1252" w:type="dxa"/>
            <w:vMerge/>
            <w:vAlign w:val="center"/>
            <w:hideMark/>
          </w:tcPr>
          <w:p w14:paraId="526EE6C1" w14:textId="77777777" w:rsidR="00250E9B" w:rsidRPr="00F73297" w:rsidRDefault="00250E9B">
            <w:pPr>
              <w:jc w:val="center"/>
              <w:rPr>
                <w:rFonts w:eastAsia="Aptos"/>
                <w:i/>
                <w:color w:val="0E2841"/>
                <w:kern w:val="2"/>
                <w:sz w:val="18"/>
                <w:szCs w:val="18"/>
              </w:rPr>
            </w:pPr>
          </w:p>
        </w:tc>
        <w:tc>
          <w:tcPr>
            <w:tcW w:w="1328" w:type="dxa"/>
            <w:vMerge/>
            <w:vAlign w:val="center"/>
            <w:hideMark/>
          </w:tcPr>
          <w:p w14:paraId="0397541B" w14:textId="77777777" w:rsidR="00250E9B" w:rsidRPr="00F73297" w:rsidRDefault="00250E9B">
            <w:pPr>
              <w:jc w:val="center"/>
              <w:rPr>
                <w:rFonts w:eastAsia="Aptos"/>
                <w:i/>
                <w:color w:val="0E2841"/>
                <w:kern w:val="2"/>
                <w:sz w:val="18"/>
                <w:szCs w:val="18"/>
              </w:rPr>
            </w:pPr>
          </w:p>
        </w:tc>
        <w:tc>
          <w:tcPr>
            <w:tcW w:w="1309" w:type="dxa"/>
            <w:noWrap/>
            <w:vAlign w:val="center"/>
            <w:hideMark/>
          </w:tcPr>
          <w:p w14:paraId="5F82490D"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54.8</w:t>
            </w:r>
          </w:p>
        </w:tc>
        <w:tc>
          <w:tcPr>
            <w:tcW w:w="2485" w:type="dxa"/>
            <w:vAlign w:val="center"/>
          </w:tcPr>
          <w:p w14:paraId="24396F3C" w14:textId="7986265A"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120433">
              <w:rPr>
                <w:rFonts w:eastAsia="Aptos"/>
                <w:i/>
                <w:color w:val="0E2841"/>
                <w:kern w:val="2"/>
                <w:sz w:val="18"/>
                <w:szCs w:val="18"/>
              </w:rPr>
              <w:instrText xml:space="preserve"> ADDIN ZOTERO_ITEM CSL_CITATION {"citationID":"mkvsAppM","properties":{"formattedCitation":"(W. Li &amp; Adachi, 2019)","plainCitation":"(W. Li &amp; Adachi, 2019)","noteIndex":0},"citationItems":[{"id":16726,"uris":["http://zotero.org/groups/5509458/items/HNN6ZIQB"],"itemData":{"id":16726,"type":"article-journal","abstract":"Abstract\n              This study focuses on quantifying supply shortage of silver for c‐Si PV over the long term (2015–2050), and measures the effects of technological uncertainties in the industry by scenario. Wherein, Hubbert theory, Weibull distribution, and intensity of demand are used to estimate silver mining supply, recycling supply, and manufacturing demand, respectively. The results show that silver supply shortage for manufacturing demand will occur from 2030. Technology improvements in the PV industry could delay when the shortage begins, but they will not prevent it, while silver supply shortage for c‐Si PV could be eliminated under the total effects scenario. Reducing dependency on silver as a raw material for c‐Si PV industry through technological progress and recycling retired panels is recommended. This study highlights the balance between natural resources and renewable energy sustainability. It benefits the PV industry's long‐term strategizing and helps policy making for long‐term silver resource sustainability.\n            \n            \n              Recommendations for Resource Managers\n              \n                \n                  \n                    Technological improvements in the PV industry are critical to relieve silver supply shortage in the long term and ensure sustainable installation of c‐Si PV.\n                  \n                  \n                    Recycling of end‐of‐life c‐Si PV is of great importance to secure silver supply for PV manufacturers in the long term.\n                  \n                  \n                    Improving silver old scrap recycling is necessary for long‐term availability of silver.\n                  \n                  \n                    It is indispensable to balance natural resources and renewable energy sustainability.","container-title":"Natural Resource Modeling","DOI":"10.1111/nrm.12176","ISSN":"0890-8575, 1939-7445","issue":"1","journalAbbreviation":"Natural Resource Modeling","language":"en","page":"e12176","source":"DOI.org (Crossref)","title":"Evaluation of long‐term silver supply shortage for c‐Si PV under different technological scenarios","volume":"32","author":[{"family":"Li","given":"Wenhua"},{"family":"Adachi","given":"Tsuyoshi"}],"issued":{"date-parts":[["2019",2]]}}}],"schema":"https://github.com/citation-style-language/schema/raw/master/csl-citation.json"} </w:instrText>
            </w:r>
            <w:r w:rsidRPr="00F73297">
              <w:rPr>
                <w:rFonts w:eastAsia="Aptos"/>
                <w:i/>
                <w:color w:val="0E2841"/>
                <w:kern w:val="2"/>
                <w:sz w:val="18"/>
                <w:szCs w:val="18"/>
              </w:rPr>
              <w:fldChar w:fldCharType="separate"/>
            </w:r>
            <w:r w:rsidR="00120433">
              <w:rPr>
                <w:rFonts w:eastAsia="Aptos"/>
                <w:i/>
                <w:color w:val="0E2841"/>
                <w:kern w:val="2"/>
                <w:sz w:val="18"/>
                <w:szCs w:val="18"/>
              </w:rPr>
              <w:t>(W. Li &amp; Adachi, 2019)</w:t>
            </w:r>
            <w:r w:rsidRPr="00F73297">
              <w:rPr>
                <w:rFonts w:eastAsia="Aptos"/>
                <w:color w:val="0E2841"/>
                <w:kern w:val="2"/>
                <w:sz w:val="18"/>
                <w:szCs w:val="18"/>
              </w:rPr>
              <w:fldChar w:fldCharType="end"/>
            </w:r>
          </w:p>
        </w:tc>
      </w:tr>
      <w:tr w:rsidR="00250E9B" w:rsidRPr="00F73297" w14:paraId="4B9A3C9F" w14:textId="77777777">
        <w:trPr>
          <w:trHeight w:val="23"/>
          <w:jc w:val="center"/>
        </w:trPr>
        <w:tc>
          <w:tcPr>
            <w:tcW w:w="1252" w:type="dxa"/>
            <w:vMerge/>
            <w:vAlign w:val="center"/>
            <w:hideMark/>
          </w:tcPr>
          <w:p w14:paraId="5768B3A3" w14:textId="77777777" w:rsidR="00250E9B" w:rsidRPr="00F73297" w:rsidRDefault="00250E9B">
            <w:pPr>
              <w:jc w:val="center"/>
              <w:rPr>
                <w:rFonts w:eastAsia="Aptos"/>
                <w:i/>
                <w:color w:val="0E2841"/>
                <w:kern w:val="2"/>
                <w:sz w:val="18"/>
                <w:szCs w:val="18"/>
              </w:rPr>
            </w:pPr>
          </w:p>
        </w:tc>
        <w:tc>
          <w:tcPr>
            <w:tcW w:w="1328" w:type="dxa"/>
            <w:vMerge/>
            <w:vAlign w:val="center"/>
            <w:hideMark/>
          </w:tcPr>
          <w:p w14:paraId="66C063B5" w14:textId="77777777" w:rsidR="00250E9B" w:rsidRPr="00F73297" w:rsidRDefault="00250E9B">
            <w:pPr>
              <w:jc w:val="center"/>
              <w:rPr>
                <w:rFonts w:eastAsia="Aptos"/>
                <w:i/>
                <w:color w:val="0E2841"/>
                <w:kern w:val="2"/>
                <w:sz w:val="18"/>
                <w:szCs w:val="18"/>
              </w:rPr>
            </w:pPr>
          </w:p>
        </w:tc>
        <w:tc>
          <w:tcPr>
            <w:tcW w:w="1309" w:type="dxa"/>
            <w:noWrap/>
            <w:vAlign w:val="center"/>
            <w:hideMark/>
          </w:tcPr>
          <w:p w14:paraId="7DBDFB61"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10.3</w:t>
            </w:r>
          </w:p>
        </w:tc>
        <w:tc>
          <w:tcPr>
            <w:tcW w:w="2485" w:type="dxa"/>
            <w:vAlign w:val="center"/>
          </w:tcPr>
          <w:p w14:paraId="7C61B644" w14:textId="5C9858BD"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120433">
              <w:rPr>
                <w:rFonts w:eastAsia="Aptos"/>
                <w:i/>
                <w:color w:val="0E2841"/>
                <w:kern w:val="2"/>
                <w:sz w:val="18"/>
                <w:szCs w:val="18"/>
              </w:rPr>
              <w:instrText xml:space="preserve"> ADDIN ZOTERO_ITEM CSL_CITATION {"citationID":"hRTyw4M0","properties":{"formattedCitation":"(W. Li &amp; Adachi, 2019)","plainCitation":"(W. Li &amp; Adachi, 2019)","noteIndex":0},"citationItems":[{"id":16726,"uris":["http://zotero.org/groups/5509458/items/HNN6ZIQB"],"itemData":{"id":16726,"type":"article-journal","abstract":"Abstract\n              This study focuses on quantifying supply shortage of silver for c‐Si PV over the long term (2015–2050), and measures the effects of technological uncertainties in the industry by scenario. Wherein, Hubbert theory, Weibull distribution, and intensity of demand are used to estimate silver mining supply, recycling supply, and manufacturing demand, respectively. The results show that silver supply shortage for manufacturing demand will occur from 2030. Technology improvements in the PV industry could delay when the shortage begins, but they will not prevent it, while silver supply shortage for c‐Si PV could be eliminated under the total effects scenario. Reducing dependency on silver as a raw material for c‐Si PV industry through technological progress and recycling retired panels is recommended. This study highlights the balance between natural resources and renewable energy sustainability. It benefits the PV industry's long‐term strategizing and helps policy making for long‐term silver resource sustainability.\n            \n            \n              Recommendations for Resource Managers\n              \n                \n                  \n                    Technological improvements in the PV industry are critical to relieve silver supply shortage in the long term and ensure sustainable installation of c‐Si PV.\n                  \n                  \n                    Recycling of end‐of‐life c‐Si PV is of great importance to secure silver supply for PV manufacturers in the long term.\n                  \n                  \n                    Improving silver old scrap recycling is necessary for long‐term availability of silver.\n                  \n                  \n                    It is indispensable to balance natural resources and renewable energy sustainability.","container-title":"Natural Resource Modeling","DOI":"10.1111/nrm.12176","ISSN":"0890-8575, 1939-7445","issue":"1","journalAbbreviation":"Natural Resource Modeling","language":"en","page":"e12176","source":"DOI.org (Crossref)","title":"Evaluation of long‐term silver supply shortage for c‐Si PV under different technological scenarios","volume":"32","author":[{"family":"Li","given":"Wenhua"},{"family":"Adachi","given":"Tsuyoshi"}],"issued":{"date-parts":[["2019",2]]}}}],"schema":"https://github.com/citation-style-language/schema/raw/master/csl-citation.json"} </w:instrText>
            </w:r>
            <w:r w:rsidRPr="00F73297">
              <w:rPr>
                <w:rFonts w:eastAsia="Aptos"/>
                <w:i/>
                <w:color w:val="0E2841"/>
                <w:kern w:val="2"/>
                <w:sz w:val="18"/>
                <w:szCs w:val="18"/>
              </w:rPr>
              <w:fldChar w:fldCharType="separate"/>
            </w:r>
            <w:r w:rsidR="00120433">
              <w:rPr>
                <w:rFonts w:eastAsia="Aptos"/>
                <w:i/>
                <w:color w:val="0E2841"/>
                <w:kern w:val="2"/>
                <w:sz w:val="18"/>
                <w:szCs w:val="18"/>
              </w:rPr>
              <w:t>(W. Li &amp; Adachi, 2019)</w:t>
            </w:r>
            <w:r w:rsidRPr="00F73297">
              <w:rPr>
                <w:rFonts w:eastAsia="Aptos"/>
                <w:color w:val="0E2841"/>
                <w:kern w:val="2"/>
                <w:sz w:val="18"/>
                <w:szCs w:val="18"/>
              </w:rPr>
              <w:fldChar w:fldCharType="end"/>
            </w:r>
          </w:p>
        </w:tc>
      </w:tr>
      <w:tr w:rsidR="00250E9B" w:rsidRPr="00F73297" w14:paraId="188F47C4" w14:textId="77777777">
        <w:trPr>
          <w:trHeight w:val="23"/>
          <w:jc w:val="center"/>
        </w:trPr>
        <w:tc>
          <w:tcPr>
            <w:tcW w:w="1252" w:type="dxa"/>
            <w:vMerge/>
            <w:vAlign w:val="center"/>
            <w:hideMark/>
          </w:tcPr>
          <w:p w14:paraId="77148B95" w14:textId="77777777" w:rsidR="00250E9B" w:rsidRPr="00F73297" w:rsidRDefault="00250E9B">
            <w:pPr>
              <w:jc w:val="center"/>
              <w:rPr>
                <w:rFonts w:eastAsia="Aptos"/>
                <w:i/>
                <w:color w:val="0E2841"/>
                <w:kern w:val="2"/>
                <w:sz w:val="18"/>
                <w:szCs w:val="18"/>
              </w:rPr>
            </w:pPr>
          </w:p>
        </w:tc>
        <w:tc>
          <w:tcPr>
            <w:tcW w:w="1328" w:type="dxa"/>
            <w:vMerge/>
            <w:vAlign w:val="center"/>
            <w:hideMark/>
          </w:tcPr>
          <w:p w14:paraId="6A3BBB94" w14:textId="77777777" w:rsidR="00250E9B" w:rsidRPr="00F73297" w:rsidRDefault="00250E9B">
            <w:pPr>
              <w:jc w:val="center"/>
              <w:rPr>
                <w:rFonts w:eastAsia="Aptos"/>
                <w:i/>
                <w:color w:val="0E2841"/>
                <w:kern w:val="2"/>
                <w:sz w:val="18"/>
                <w:szCs w:val="18"/>
              </w:rPr>
            </w:pPr>
          </w:p>
        </w:tc>
        <w:tc>
          <w:tcPr>
            <w:tcW w:w="1309" w:type="dxa"/>
            <w:noWrap/>
            <w:vAlign w:val="center"/>
            <w:hideMark/>
          </w:tcPr>
          <w:p w14:paraId="1097FEB3"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54.8</w:t>
            </w:r>
          </w:p>
        </w:tc>
        <w:tc>
          <w:tcPr>
            <w:tcW w:w="2485" w:type="dxa"/>
            <w:vAlign w:val="center"/>
          </w:tcPr>
          <w:p w14:paraId="3212DC04" w14:textId="603E6668"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120433">
              <w:rPr>
                <w:rFonts w:eastAsia="Aptos"/>
                <w:i/>
                <w:color w:val="0E2841"/>
                <w:kern w:val="2"/>
                <w:sz w:val="18"/>
                <w:szCs w:val="18"/>
              </w:rPr>
              <w:instrText xml:space="preserve"> ADDIN ZOTERO_ITEM CSL_CITATION {"citationID":"8t1I1UyH","properties":{"formattedCitation":"(W. Li &amp; Adachi, 2019)","plainCitation":"(W. Li &amp; Adachi, 2019)","noteIndex":0},"citationItems":[{"id":16726,"uris":["http://zotero.org/groups/5509458/items/HNN6ZIQB"],"itemData":{"id":16726,"type":"article-journal","abstract":"Abstract\n              This study focuses on quantifying supply shortage of silver for c‐Si PV over the long term (2015–2050), and measures the effects of technological uncertainties in the industry by scenario. Wherein, Hubbert theory, Weibull distribution, and intensity of demand are used to estimate silver mining supply, recycling supply, and manufacturing demand, respectively. The results show that silver supply shortage for manufacturing demand will occur from 2030. Technology improvements in the PV industry could delay when the shortage begins, but they will not prevent it, while silver supply shortage for c‐Si PV could be eliminated under the total effects scenario. Reducing dependency on silver as a raw material for c‐Si PV industry through technological progress and recycling retired panels is recommended. This study highlights the balance between natural resources and renewable energy sustainability. It benefits the PV industry's long‐term strategizing and helps policy making for long‐term silver resource sustainability.\n            \n            \n              Recommendations for Resource Managers\n              \n                \n                  \n                    Technological improvements in the PV industry are critical to relieve silver supply shortage in the long term and ensure sustainable installation of c‐Si PV.\n                  \n                  \n                    Recycling of end‐of‐life c‐Si PV is of great importance to secure silver supply for PV manufacturers in the long term.\n                  \n                  \n                    Improving silver old scrap recycling is necessary for long‐term availability of silver.\n                  \n                  \n                    It is indispensable to balance natural resources and renewable energy sustainability.","container-title":"Natural Resource Modeling","DOI":"10.1111/nrm.12176","ISSN":"0890-8575, 1939-7445","issue":"1","journalAbbreviation":"Natural Resource Modeling","language":"en","page":"e12176","source":"DOI.org (Crossref)","title":"Evaluation of long‐term silver supply shortage for c‐Si PV under different technological scenarios","volume":"32","author":[{"family":"Li","given":"Wenhua"},{"family":"Adachi","given":"Tsuyoshi"}],"issued":{"date-parts":[["2019",2]]}}}],"schema":"https://github.com/citation-style-language/schema/raw/master/csl-citation.json"} </w:instrText>
            </w:r>
            <w:r w:rsidRPr="00F73297">
              <w:rPr>
                <w:rFonts w:eastAsia="Aptos"/>
                <w:i/>
                <w:color w:val="0E2841"/>
                <w:kern w:val="2"/>
                <w:sz w:val="18"/>
                <w:szCs w:val="18"/>
              </w:rPr>
              <w:fldChar w:fldCharType="separate"/>
            </w:r>
            <w:r w:rsidR="00120433">
              <w:rPr>
                <w:rFonts w:eastAsia="Aptos"/>
                <w:i/>
                <w:color w:val="0E2841"/>
                <w:kern w:val="2"/>
                <w:sz w:val="18"/>
                <w:szCs w:val="18"/>
              </w:rPr>
              <w:t>(W. Li &amp; Adachi, 2019)</w:t>
            </w:r>
            <w:r w:rsidRPr="00F73297">
              <w:rPr>
                <w:rFonts w:eastAsia="Aptos"/>
                <w:color w:val="0E2841"/>
                <w:kern w:val="2"/>
                <w:sz w:val="18"/>
                <w:szCs w:val="18"/>
              </w:rPr>
              <w:fldChar w:fldCharType="end"/>
            </w:r>
          </w:p>
        </w:tc>
      </w:tr>
      <w:tr w:rsidR="00250E9B" w:rsidRPr="00F73297" w14:paraId="669E30D0" w14:textId="77777777">
        <w:trPr>
          <w:trHeight w:val="23"/>
          <w:jc w:val="center"/>
        </w:trPr>
        <w:tc>
          <w:tcPr>
            <w:tcW w:w="1252" w:type="dxa"/>
            <w:vMerge/>
            <w:vAlign w:val="center"/>
            <w:hideMark/>
          </w:tcPr>
          <w:p w14:paraId="4BC0FA87" w14:textId="77777777" w:rsidR="00250E9B" w:rsidRPr="00F73297" w:rsidRDefault="00250E9B">
            <w:pPr>
              <w:jc w:val="center"/>
              <w:rPr>
                <w:rFonts w:eastAsia="Aptos"/>
                <w:i/>
                <w:color w:val="0E2841"/>
                <w:kern w:val="2"/>
                <w:sz w:val="18"/>
                <w:szCs w:val="18"/>
              </w:rPr>
            </w:pPr>
          </w:p>
        </w:tc>
        <w:tc>
          <w:tcPr>
            <w:tcW w:w="1328" w:type="dxa"/>
            <w:vMerge/>
            <w:vAlign w:val="center"/>
            <w:hideMark/>
          </w:tcPr>
          <w:p w14:paraId="4557DC18" w14:textId="77777777" w:rsidR="00250E9B" w:rsidRPr="00F73297" w:rsidRDefault="00250E9B">
            <w:pPr>
              <w:jc w:val="center"/>
              <w:rPr>
                <w:rFonts w:eastAsia="Aptos"/>
                <w:i/>
                <w:color w:val="0E2841"/>
                <w:kern w:val="2"/>
                <w:sz w:val="18"/>
                <w:szCs w:val="18"/>
              </w:rPr>
            </w:pPr>
          </w:p>
        </w:tc>
        <w:tc>
          <w:tcPr>
            <w:tcW w:w="1309" w:type="dxa"/>
            <w:noWrap/>
            <w:vAlign w:val="center"/>
            <w:hideMark/>
          </w:tcPr>
          <w:p w14:paraId="56A35065"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4.1</w:t>
            </w:r>
          </w:p>
        </w:tc>
        <w:tc>
          <w:tcPr>
            <w:tcW w:w="2485" w:type="dxa"/>
            <w:vAlign w:val="center"/>
          </w:tcPr>
          <w:p w14:paraId="52501E10" w14:textId="1774A870"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120433">
              <w:rPr>
                <w:rFonts w:eastAsia="Aptos"/>
                <w:i/>
                <w:color w:val="0E2841"/>
                <w:kern w:val="2"/>
                <w:sz w:val="18"/>
                <w:szCs w:val="18"/>
              </w:rPr>
              <w:instrText xml:space="preserve"> ADDIN ZOTERO_ITEM CSL_CITATION {"citationID":"M58gXXez","properties":{"formattedCitation":"(W. Li &amp; Adachi, 2019)","plainCitation":"(W. Li &amp; Adachi, 2019)","noteIndex":0},"citationItems":[{"id":16726,"uris":["http://zotero.org/groups/5509458/items/HNN6ZIQB"],"itemData":{"id":16726,"type":"article-journal","abstract":"Abstract\n              This study focuses on quantifying supply shortage of silver for c‐Si PV over the long term (2015–2050), and measures the effects of technological uncertainties in the industry by scenario. Wherein, Hubbert theory, Weibull distribution, and intensity of demand are used to estimate silver mining supply, recycling supply, and manufacturing demand, respectively. The results show that silver supply shortage for manufacturing demand will occur from 2030. Technology improvements in the PV industry could delay when the shortage begins, but they will not prevent it, while silver supply shortage for c‐Si PV could be eliminated under the total effects scenario. Reducing dependency on silver as a raw material for c‐Si PV industry through technological progress and recycling retired panels is recommended. This study highlights the balance between natural resources and renewable energy sustainability. It benefits the PV industry's long‐term strategizing and helps policy making for long‐term silver resource sustainability.\n            \n            \n              Recommendations for Resource Managers\n              \n                \n                  \n                    Technological improvements in the PV industry are critical to relieve silver supply shortage in the long term and ensure sustainable installation of c‐Si PV.\n                  \n                  \n                    Recycling of end‐of‐life c‐Si PV is of great importance to secure silver supply for PV manufacturers in the long term.\n                  \n                  \n                    Improving silver old scrap recycling is necessary for long‐term availability of silver.\n                  \n                  \n                    It is indispensable to balance natural resources and renewable energy sustainability.","container-title":"Natural Resource Modeling","DOI":"10.1111/nrm.12176","ISSN":"0890-8575, 1939-7445","issue":"1","journalAbbreviation":"Natural Resource Modeling","language":"en","page":"e12176","source":"DOI.org (Crossref)","title":"Evaluation of long‐term silver supply shortage for c‐Si PV under different technological scenarios","volume":"32","author":[{"family":"Li","given":"Wenhua"},{"family":"Adachi","given":"Tsuyoshi"}],"issued":{"date-parts":[["2019",2]]}}}],"schema":"https://github.com/citation-style-language/schema/raw/master/csl-citation.json"} </w:instrText>
            </w:r>
            <w:r w:rsidRPr="00F73297">
              <w:rPr>
                <w:rFonts w:eastAsia="Aptos"/>
                <w:i/>
                <w:color w:val="0E2841"/>
                <w:kern w:val="2"/>
                <w:sz w:val="18"/>
                <w:szCs w:val="18"/>
              </w:rPr>
              <w:fldChar w:fldCharType="separate"/>
            </w:r>
            <w:r w:rsidR="00120433">
              <w:rPr>
                <w:rFonts w:eastAsia="Aptos"/>
                <w:i/>
                <w:color w:val="0E2841"/>
                <w:kern w:val="2"/>
                <w:sz w:val="18"/>
                <w:szCs w:val="18"/>
              </w:rPr>
              <w:t>(W. Li &amp; Adachi, 2019)</w:t>
            </w:r>
            <w:r w:rsidRPr="00F73297">
              <w:rPr>
                <w:rFonts w:eastAsia="Aptos"/>
                <w:color w:val="0E2841"/>
                <w:kern w:val="2"/>
                <w:sz w:val="18"/>
                <w:szCs w:val="18"/>
              </w:rPr>
              <w:fldChar w:fldCharType="end"/>
            </w:r>
          </w:p>
        </w:tc>
      </w:tr>
      <w:tr w:rsidR="00250E9B" w:rsidRPr="00F73297" w14:paraId="237265AC" w14:textId="77777777">
        <w:trPr>
          <w:trHeight w:val="23"/>
          <w:jc w:val="center"/>
        </w:trPr>
        <w:tc>
          <w:tcPr>
            <w:tcW w:w="1252" w:type="dxa"/>
            <w:vMerge/>
            <w:vAlign w:val="center"/>
            <w:hideMark/>
          </w:tcPr>
          <w:p w14:paraId="5DC39612" w14:textId="77777777" w:rsidR="00250E9B" w:rsidRPr="00F73297" w:rsidRDefault="00250E9B">
            <w:pPr>
              <w:jc w:val="center"/>
              <w:rPr>
                <w:rFonts w:eastAsia="Aptos"/>
                <w:i/>
                <w:color w:val="0E2841"/>
                <w:kern w:val="2"/>
                <w:sz w:val="18"/>
                <w:szCs w:val="18"/>
              </w:rPr>
            </w:pPr>
          </w:p>
        </w:tc>
        <w:tc>
          <w:tcPr>
            <w:tcW w:w="1328" w:type="dxa"/>
            <w:vMerge/>
            <w:vAlign w:val="center"/>
            <w:hideMark/>
          </w:tcPr>
          <w:p w14:paraId="336109B4" w14:textId="77777777" w:rsidR="00250E9B" w:rsidRPr="00F73297" w:rsidRDefault="00250E9B">
            <w:pPr>
              <w:jc w:val="center"/>
              <w:rPr>
                <w:rFonts w:eastAsia="Aptos"/>
                <w:i/>
                <w:color w:val="0E2841"/>
                <w:kern w:val="2"/>
                <w:sz w:val="18"/>
                <w:szCs w:val="18"/>
              </w:rPr>
            </w:pPr>
          </w:p>
        </w:tc>
        <w:tc>
          <w:tcPr>
            <w:tcW w:w="1309" w:type="dxa"/>
            <w:noWrap/>
            <w:vAlign w:val="center"/>
            <w:hideMark/>
          </w:tcPr>
          <w:p w14:paraId="2CBE1E13"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54.8</w:t>
            </w:r>
          </w:p>
        </w:tc>
        <w:tc>
          <w:tcPr>
            <w:tcW w:w="2485" w:type="dxa"/>
            <w:vAlign w:val="center"/>
          </w:tcPr>
          <w:p w14:paraId="14949705" w14:textId="153648D8"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120433">
              <w:rPr>
                <w:rFonts w:eastAsia="Aptos"/>
                <w:i/>
                <w:color w:val="0E2841"/>
                <w:kern w:val="2"/>
                <w:sz w:val="18"/>
                <w:szCs w:val="18"/>
              </w:rPr>
              <w:instrText xml:space="preserve"> ADDIN ZOTERO_ITEM CSL_CITATION {"citationID":"X7pwgN1A","properties":{"formattedCitation":"(W. Li &amp; Adachi, 2019)","plainCitation":"(W. Li &amp; Adachi, 2019)","noteIndex":0},"citationItems":[{"id":16726,"uris":["http://zotero.org/groups/5509458/items/HNN6ZIQB"],"itemData":{"id":16726,"type":"article-journal","abstract":"Abstract\n              This study focuses on quantifying supply shortage of silver for c‐Si PV over the long term (2015–2050), and measures the effects of technological uncertainties in the industry by scenario. Wherein, Hubbert theory, Weibull distribution, and intensity of demand are used to estimate silver mining supply, recycling supply, and manufacturing demand, respectively. The results show that silver supply shortage for manufacturing demand will occur from 2030. Technology improvements in the PV industry could delay when the shortage begins, but they will not prevent it, while silver supply shortage for c‐Si PV could be eliminated under the total effects scenario. Reducing dependency on silver as a raw material for c‐Si PV industry through technological progress and recycling retired panels is recommended. This study highlights the balance between natural resources and renewable energy sustainability. It benefits the PV industry's long‐term strategizing and helps policy making for long‐term silver resource sustainability.\n            \n            \n              Recommendations for Resource Managers\n              \n                \n                  \n                    Technological improvements in the PV industry are critical to relieve silver supply shortage in the long term and ensure sustainable installation of c‐Si PV.\n                  \n                  \n                    Recycling of end‐of‐life c‐Si PV is of great importance to secure silver supply for PV manufacturers in the long term.\n                  \n                  \n                    Improving silver old scrap recycling is necessary for long‐term availability of silver.\n                  \n                  \n                    It is indispensable to balance natural resources and renewable energy sustainability.","container-title":"Natural Resource Modeling","DOI":"10.1111/nrm.12176","ISSN":"0890-8575, 1939-7445","issue":"1","journalAbbreviation":"Natural Resource Modeling","language":"en","page":"e12176","source":"DOI.org (Crossref)","title":"Evaluation of long‐term silver supply shortage for c‐Si PV under different technological scenarios","volume":"32","author":[{"family":"Li","given":"Wenhua"},{"family":"Adachi","given":"Tsuyoshi"}],"issued":{"date-parts":[["2019",2]]}}}],"schema":"https://github.com/citation-style-language/schema/raw/master/csl-citation.json"} </w:instrText>
            </w:r>
            <w:r w:rsidRPr="00F73297">
              <w:rPr>
                <w:rFonts w:eastAsia="Aptos"/>
                <w:i/>
                <w:color w:val="0E2841"/>
                <w:kern w:val="2"/>
                <w:sz w:val="18"/>
                <w:szCs w:val="18"/>
              </w:rPr>
              <w:fldChar w:fldCharType="separate"/>
            </w:r>
            <w:r w:rsidR="00120433">
              <w:rPr>
                <w:rFonts w:eastAsia="Aptos"/>
                <w:i/>
                <w:color w:val="0E2841"/>
                <w:kern w:val="2"/>
                <w:sz w:val="18"/>
                <w:szCs w:val="18"/>
              </w:rPr>
              <w:t>(W. Li &amp; Adachi, 2019)</w:t>
            </w:r>
            <w:r w:rsidRPr="00F73297">
              <w:rPr>
                <w:rFonts w:eastAsia="Aptos"/>
                <w:color w:val="0E2841"/>
                <w:kern w:val="2"/>
                <w:sz w:val="18"/>
                <w:szCs w:val="18"/>
              </w:rPr>
              <w:fldChar w:fldCharType="end"/>
            </w:r>
          </w:p>
        </w:tc>
      </w:tr>
      <w:tr w:rsidR="00250E9B" w:rsidRPr="00F73297" w14:paraId="0C8F7924" w14:textId="77777777">
        <w:trPr>
          <w:trHeight w:val="23"/>
          <w:jc w:val="center"/>
        </w:trPr>
        <w:tc>
          <w:tcPr>
            <w:tcW w:w="1252" w:type="dxa"/>
            <w:vMerge/>
            <w:vAlign w:val="center"/>
            <w:hideMark/>
          </w:tcPr>
          <w:p w14:paraId="76B33C91" w14:textId="77777777" w:rsidR="00250E9B" w:rsidRPr="00F73297" w:rsidRDefault="00250E9B">
            <w:pPr>
              <w:jc w:val="center"/>
              <w:rPr>
                <w:rFonts w:eastAsia="Aptos"/>
                <w:i/>
                <w:color w:val="0E2841"/>
                <w:kern w:val="2"/>
                <w:sz w:val="18"/>
                <w:szCs w:val="18"/>
              </w:rPr>
            </w:pPr>
          </w:p>
        </w:tc>
        <w:tc>
          <w:tcPr>
            <w:tcW w:w="1328" w:type="dxa"/>
            <w:vMerge/>
            <w:vAlign w:val="center"/>
            <w:hideMark/>
          </w:tcPr>
          <w:p w14:paraId="552772A6" w14:textId="77777777" w:rsidR="00250E9B" w:rsidRPr="00F73297" w:rsidRDefault="00250E9B">
            <w:pPr>
              <w:jc w:val="center"/>
              <w:rPr>
                <w:rFonts w:eastAsia="Aptos"/>
                <w:i/>
                <w:color w:val="0E2841"/>
                <w:kern w:val="2"/>
                <w:sz w:val="18"/>
                <w:szCs w:val="18"/>
              </w:rPr>
            </w:pPr>
          </w:p>
        </w:tc>
        <w:tc>
          <w:tcPr>
            <w:tcW w:w="1309" w:type="dxa"/>
            <w:noWrap/>
            <w:vAlign w:val="center"/>
            <w:hideMark/>
          </w:tcPr>
          <w:p w14:paraId="65661A67"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80.0</w:t>
            </w:r>
          </w:p>
        </w:tc>
        <w:tc>
          <w:tcPr>
            <w:tcW w:w="2485" w:type="dxa"/>
            <w:vAlign w:val="center"/>
          </w:tcPr>
          <w:p w14:paraId="190FC1EE" w14:textId="255E7E01"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120433">
              <w:rPr>
                <w:rFonts w:eastAsia="Aptos"/>
                <w:i/>
                <w:color w:val="0E2841"/>
                <w:kern w:val="2"/>
                <w:sz w:val="18"/>
                <w:szCs w:val="18"/>
              </w:rPr>
              <w:instrText xml:space="preserve"> ADDIN ZOTERO_ITEM CSL_CITATION {"citationID":"hWq7SDvN","properties":{"formattedCitation":"(Elshkaki &amp; Shen, 2019)","plainCitation":"(Elshkaki &amp; Shen, 2019)","noteIndex":0},"citationItems":[{"id":16580,"uris":["http://zotero.org/groups/5509458/items/29GCVUC4"],"itemData":{"id":16580,"type":"article-journal","container-title":"Energy","DOI":"10.1016/j.energy.2019.05.156","ISSN":"03605442","journalAbbreviation":"Energy","language":"en","page":"903-917","source":"DOI.org (Crossref)","title":"Energy-material nexus: The impacts of national and international energy scenarios on critical metals use in China up to 2050 and their global implications","title-short":"Energy-material nexus","volume":"180","author":[{"family":"Elshkaki","given":"Ayman"},{"family":"Shen","given":"Lei"}],"issued":{"date-parts":[["2019",8]]}}}],"schema":"https://github.com/citation-style-language/schema/raw/master/csl-citation.json"} </w:instrText>
            </w:r>
            <w:r w:rsidRPr="00F73297">
              <w:rPr>
                <w:rFonts w:eastAsia="Aptos"/>
                <w:i/>
                <w:color w:val="0E2841"/>
                <w:kern w:val="2"/>
                <w:sz w:val="18"/>
                <w:szCs w:val="18"/>
              </w:rPr>
              <w:fldChar w:fldCharType="separate"/>
            </w:r>
            <w:r w:rsidR="00120433">
              <w:rPr>
                <w:rFonts w:eastAsia="Aptos"/>
                <w:i/>
                <w:color w:val="0E2841"/>
                <w:kern w:val="2"/>
                <w:sz w:val="18"/>
                <w:szCs w:val="18"/>
              </w:rPr>
              <w:t>(</w:t>
            </w:r>
            <w:proofErr w:type="spellStart"/>
            <w:r w:rsidR="00120433">
              <w:rPr>
                <w:rFonts w:eastAsia="Aptos"/>
                <w:i/>
                <w:color w:val="0E2841"/>
                <w:kern w:val="2"/>
                <w:sz w:val="18"/>
                <w:szCs w:val="18"/>
              </w:rPr>
              <w:t>Elshkaki</w:t>
            </w:r>
            <w:proofErr w:type="spellEnd"/>
            <w:r w:rsidR="00120433">
              <w:rPr>
                <w:rFonts w:eastAsia="Aptos"/>
                <w:i/>
                <w:color w:val="0E2841"/>
                <w:kern w:val="2"/>
                <w:sz w:val="18"/>
                <w:szCs w:val="18"/>
              </w:rPr>
              <w:t xml:space="preserve"> &amp; Shen, 2019)</w:t>
            </w:r>
            <w:r w:rsidRPr="00F73297">
              <w:rPr>
                <w:rFonts w:eastAsia="Aptos"/>
                <w:color w:val="0E2841"/>
                <w:kern w:val="2"/>
                <w:sz w:val="18"/>
                <w:szCs w:val="18"/>
              </w:rPr>
              <w:fldChar w:fldCharType="end"/>
            </w:r>
          </w:p>
        </w:tc>
      </w:tr>
      <w:tr w:rsidR="00250E9B" w:rsidRPr="00F73297" w14:paraId="00492955" w14:textId="77777777">
        <w:trPr>
          <w:trHeight w:val="23"/>
          <w:jc w:val="center"/>
        </w:trPr>
        <w:tc>
          <w:tcPr>
            <w:tcW w:w="1252" w:type="dxa"/>
            <w:vMerge/>
            <w:vAlign w:val="center"/>
            <w:hideMark/>
          </w:tcPr>
          <w:p w14:paraId="77271DF6" w14:textId="77777777" w:rsidR="00250E9B" w:rsidRPr="00F73297" w:rsidRDefault="00250E9B">
            <w:pPr>
              <w:jc w:val="center"/>
              <w:rPr>
                <w:rFonts w:eastAsia="Aptos"/>
                <w:i/>
                <w:color w:val="0E2841"/>
                <w:kern w:val="2"/>
                <w:sz w:val="18"/>
                <w:szCs w:val="18"/>
              </w:rPr>
            </w:pPr>
          </w:p>
        </w:tc>
        <w:tc>
          <w:tcPr>
            <w:tcW w:w="1328" w:type="dxa"/>
            <w:vMerge/>
            <w:vAlign w:val="center"/>
            <w:hideMark/>
          </w:tcPr>
          <w:p w14:paraId="32B555F0" w14:textId="77777777" w:rsidR="00250E9B" w:rsidRPr="00F73297" w:rsidRDefault="00250E9B">
            <w:pPr>
              <w:jc w:val="center"/>
              <w:rPr>
                <w:rFonts w:eastAsia="Aptos"/>
                <w:i/>
                <w:color w:val="0E2841"/>
                <w:kern w:val="2"/>
                <w:sz w:val="18"/>
                <w:szCs w:val="18"/>
              </w:rPr>
            </w:pPr>
          </w:p>
        </w:tc>
        <w:tc>
          <w:tcPr>
            <w:tcW w:w="1309" w:type="dxa"/>
            <w:noWrap/>
            <w:vAlign w:val="center"/>
            <w:hideMark/>
          </w:tcPr>
          <w:p w14:paraId="71AE9D7E"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36.0</w:t>
            </w:r>
          </w:p>
        </w:tc>
        <w:tc>
          <w:tcPr>
            <w:tcW w:w="2485" w:type="dxa"/>
            <w:vAlign w:val="center"/>
          </w:tcPr>
          <w:p w14:paraId="52DCEBA6" w14:textId="3D89F12E"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120433">
              <w:rPr>
                <w:rFonts w:eastAsia="Aptos"/>
                <w:i/>
                <w:color w:val="0E2841"/>
                <w:kern w:val="2"/>
                <w:sz w:val="18"/>
                <w:szCs w:val="18"/>
              </w:rPr>
              <w:instrText xml:space="preserve"> ADDIN ZOTERO_ITEM CSL_CITATION {"citationID":"7ZsqMALH","properties":{"formattedCitation":"(Watari et al., 2019)","plainCitation":"(Watari et al., 2019)","noteIndex":0},"citationItems":[{"id":16645,"uris":["http://zotero.org/groups/5509458/items/SSAPB4AV"],"itemData":{"id":16645,"type":"article-journal","container-title":"Resources, Conservation and Recycling","DOI":"10.1016/j.resconrec.2019.05.015","ISSN":"09213449","journalAbbreviation":"Resources, Conservation and Recycling","language":"en","page":"91-103","source":"DOI.org (Crossref)","title":"Total material requirement for the global energy transition to 2050: A focus on transport and electricity","title-short":"Total material requirement for the global energy transition to 2050","volume":"148","author":[{"family":"Watari","given":"Takuma"},{"family":"McLellan","given":"Benjamin C."},{"family":"Giurco","given":"Damien"},{"family":"Dominish","given":"Elsa"},{"family":"Yamasue","given":"Eiji"},{"family":"Nansai","given":"Keisuke"}],"issued":{"date-parts":[["2019",9]]}}}],"schema":"https://github.com/citation-style-language/schema/raw/master/csl-citation.json"} </w:instrText>
            </w:r>
            <w:r w:rsidRPr="00F73297">
              <w:rPr>
                <w:rFonts w:eastAsia="Aptos"/>
                <w:i/>
                <w:color w:val="0E2841"/>
                <w:kern w:val="2"/>
                <w:sz w:val="18"/>
                <w:szCs w:val="18"/>
              </w:rPr>
              <w:fldChar w:fldCharType="separate"/>
            </w:r>
            <w:r w:rsidR="00120433">
              <w:rPr>
                <w:rFonts w:eastAsia="Aptos"/>
                <w:i/>
                <w:color w:val="0E2841"/>
                <w:kern w:val="2"/>
                <w:sz w:val="18"/>
                <w:szCs w:val="18"/>
              </w:rPr>
              <w:t>(Watari et al., 2019)</w:t>
            </w:r>
            <w:r w:rsidRPr="00F73297">
              <w:rPr>
                <w:rFonts w:eastAsia="Aptos"/>
                <w:color w:val="0E2841"/>
                <w:kern w:val="2"/>
                <w:sz w:val="18"/>
                <w:szCs w:val="18"/>
              </w:rPr>
              <w:fldChar w:fldCharType="end"/>
            </w:r>
          </w:p>
        </w:tc>
      </w:tr>
      <w:tr w:rsidR="00250E9B" w:rsidRPr="00F73297" w14:paraId="7B2BAC9A" w14:textId="77777777">
        <w:trPr>
          <w:trHeight w:val="23"/>
          <w:jc w:val="center"/>
        </w:trPr>
        <w:tc>
          <w:tcPr>
            <w:tcW w:w="1252" w:type="dxa"/>
            <w:vMerge/>
            <w:vAlign w:val="center"/>
            <w:hideMark/>
          </w:tcPr>
          <w:p w14:paraId="11C3562F" w14:textId="77777777" w:rsidR="00250E9B" w:rsidRPr="00F73297" w:rsidRDefault="00250E9B">
            <w:pPr>
              <w:jc w:val="center"/>
              <w:rPr>
                <w:rFonts w:eastAsia="Aptos"/>
                <w:i/>
                <w:color w:val="0E2841"/>
                <w:kern w:val="2"/>
                <w:sz w:val="18"/>
                <w:szCs w:val="18"/>
              </w:rPr>
            </w:pPr>
          </w:p>
        </w:tc>
        <w:tc>
          <w:tcPr>
            <w:tcW w:w="1328" w:type="dxa"/>
            <w:vMerge/>
            <w:vAlign w:val="center"/>
            <w:hideMark/>
          </w:tcPr>
          <w:p w14:paraId="0DCDF450" w14:textId="77777777" w:rsidR="00250E9B" w:rsidRPr="00F73297" w:rsidRDefault="00250E9B">
            <w:pPr>
              <w:jc w:val="center"/>
              <w:rPr>
                <w:rFonts w:eastAsia="Aptos"/>
                <w:i/>
                <w:color w:val="0E2841"/>
                <w:kern w:val="2"/>
                <w:sz w:val="18"/>
                <w:szCs w:val="18"/>
              </w:rPr>
            </w:pPr>
          </w:p>
        </w:tc>
        <w:tc>
          <w:tcPr>
            <w:tcW w:w="1309" w:type="dxa"/>
            <w:noWrap/>
            <w:vAlign w:val="center"/>
            <w:hideMark/>
          </w:tcPr>
          <w:p w14:paraId="31225B7D"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30.0</w:t>
            </w:r>
          </w:p>
        </w:tc>
        <w:tc>
          <w:tcPr>
            <w:tcW w:w="2485" w:type="dxa"/>
            <w:vAlign w:val="center"/>
          </w:tcPr>
          <w:p w14:paraId="0E1C9FD0" w14:textId="243592AB"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120433">
              <w:rPr>
                <w:rFonts w:eastAsia="Aptos"/>
                <w:i/>
                <w:color w:val="0E2841"/>
                <w:kern w:val="2"/>
                <w:sz w:val="18"/>
                <w:szCs w:val="18"/>
              </w:rPr>
              <w:instrText xml:space="preserve"> ADDIN ZOTERO_ITEM CSL_CITATION {"citationID":"Gu93ns9b","properties":{"formattedCitation":"(Watari et al., 2019)","plainCitation":"(Watari et al., 2019)","noteIndex":0},"citationItems":[{"id":16645,"uris":["http://zotero.org/groups/5509458/items/SSAPB4AV"],"itemData":{"id":16645,"type":"article-journal","container-title":"Resources, Conservation and Recycling","DOI":"10.1016/j.resconrec.2019.05.015","ISSN":"09213449","journalAbbreviation":"Resources, Conservation and Recycling","language":"en","page":"91-103","source":"DOI.org (Crossref)","title":"Total material requirement for the global energy transition to 2050: A focus on transport and electricity","title-short":"Total material requirement for the global energy transition to 2050","volume":"148","author":[{"family":"Watari","given":"Takuma"},{"family":"McLellan","given":"Benjamin C."},{"family":"Giurco","given":"Damien"},{"family":"Dominish","given":"Elsa"},{"family":"Yamasue","given":"Eiji"},{"family":"Nansai","given":"Keisuke"}],"issued":{"date-parts":[["2019",9]]}}}],"schema":"https://github.com/citation-style-language/schema/raw/master/csl-citation.json"} </w:instrText>
            </w:r>
            <w:r w:rsidRPr="00F73297">
              <w:rPr>
                <w:rFonts w:eastAsia="Aptos"/>
                <w:i/>
                <w:color w:val="0E2841"/>
                <w:kern w:val="2"/>
                <w:sz w:val="18"/>
                <w:szCs w:val="18"/>
              </w:rPr>
              <w:fldChar w:fldCharType="separate"/>
            </w:r>
            <w:r w:rsidR="00120433">
              <w:rPr>
                <w:rFonts w:eastAsia="Aptos"/>
                <w:i/>
                <w:color w:val="0E2841"/>
                <w:kern w:val="2"/>
                <w:sz w:val="18"/>
                <w:szCs w:val="18"/>
              </w:rPr>
              <w:t>(Watari et al., 2019)</w:t>
            </w:r>
            <w:r w:rsidRPr="00F73297">
              <w:rPr>
                <w:rFonts w:eastAsia="Aptos"/>
                <w:color w:val="0E2841"/>
                <w:kern w:val="2"/>
                <w:sz w:val="18"/>
                <w:szCs w:val="18"/>
              </w:rPr>
              <w:fldChar w:fldCharType="end"/>
            </w:r>
          </w:p>
        </w:tc>
      </w:tr>
      <w:tr w:rsidR="00250E9B" w:rsidRPr="00F73297" w14:paraId="002B7A47" w14:textId="77777777">
        <w:trPr>
          <w:trHeight w:val="23"/>
          <w:jc w:val="center"/>
        </w:trPr>
        <w:tc>
          <w:tcPr>
            <w:tcW w:w="1252" w:type="dxa"/>
            <w:vMerge/>
            <w:vAlign w:val="center"/>
            <w:hideMark/>
          </w:tcPr>
          <w:p w14:paraId="55897912" w14:textId="77777777" w:rsidR="00250E9B" w:rsidRPr="00F73297" w:rsidRDefault="00250E9B">
            <w:pPr>
              <w:jc w:val="center"/>
              <w:rPr>
                <w:rFonts w:eastAsia="Aptos"/>
                <w:i/>
                <w:color w:val="0E2841"/>
                <w:kern w:val="2"/>
                <w:sz w:val="18"/>
                <w:szCs w:val="18"/>
              </w:rPr>
            </w:pPr>
          </w:p>
        </w:tc>
        <w:tc>
          <w:tcPr>
            <w:tcW w:w="1328" w:type="dxa"/>
            <w:vMerge/>
            <w:vAlign w:val="center"/>
            <w:hideMark/>
          </w:tcPr>
          <w:p w14:paraId="15F67B63" w14:textId="77777777" w:rsidR="00250E9B" w:rsidRPr="00F73297" w:rsidRDefault="00250E9B">
            <w:pPr>
              <w:jc w:val="center"/>
              <w:rPr>
                <w:rFonts w:eastAsia="Aptos"/>
                <w:i/>
                <w:color w:val="0E2841"/>
                <w:kern w:val="2"/>
                <w:sz w:val="18"/>
                <w:szCs w:val="18"/>
              </w:rPr>
            </w:pPr>
          </w:p>
        </w:tc>
        <w:tc>
          <w:tcPr>
            <w:tcW w:w="1309" w:type="dxa"/>
            <w:noWrap/>
            <w:vAlign w:val="center"/>
            <w:hideMark/>
          </w:tcPr>
          <w:p w14:paraId="2BE84242"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20.0</w:t>
            </w:r>
          </w:p>
        </w:tc>
        <w:tc>
          <w:tcPr>
            <w:tcW w:w="2485" w:type="dxa"/>
            <w:vAlign w:val="center"/>
          </w:tcPr>
          <w:p w14:paraId="0842A7C9" w14:textId="2C97987B"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120433">
              <w:rPr>
                <w:rFonts w:eastAsia="Aptos"/>
                <w:i/>
                <w:color w:val="0E2841"/>
                <w:kern w:val="2"/>
                <w:sz w:val="18"/>
                <w:szCs w:val="18"/>
              </w:rPr>
              <w:instrText xml:space="preserve"> ADDIN ZOTERO_ITEM CSL_CITATION {"citationID":"CtR4Yr9u","properties":{"formattedCitation":"(Carrara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color w:val="0E2841"/>
                <w:kern w:val="2"/>
                <w:sz w:val="18"/>
                <w:szCs w:val="18"/>
              </w:rPr>
              <w:fldChar w:fldCharType="separate"/>
            </w:r>
            <w:r w:rsidR="00120433">
              <w:rPr>
                <w:rFonts w:eastAsia="Aptos"/>
                <w:i/>
                <w:color w:val="0E2841"/>
                <w:kern w:val="2"/>
                <w:sz w:val="18"/>
                <w:szCs w:val="18"/>
              </w:rPr>
              <w:t>(Carrara et al., 2020)</w:t>
            </w:r>
            <w:r w:rsidRPr="00F73297">
              <w:rPr>
                <w:rFonts w:eastAsia="Aptos"/>
                <w:color w:val="0E2841"/>
                <w:kern w:val="2"/>
                <w:sz w:val="18"/>
                <w:szCs w:val="18"/>
              </w:rPr>
              <w:fldChar w:fldCharType="end"/>
            </w:r>
          </w:p>
        </w:tc>
      </w:tr>
    </w:tbl>
    <w:p w14:paraId="2A8E0F4B" w14:textId="77777777" w:rsidR="00250E9B" w:rsidRDefault="00250E9B" w:rsidP="00250E9B">
      <w:pPr>
        <w:jc w:val="center"/>
        <w:rPr>
          <w:i/>
          <w:color w:val="0E2841"/>
          <w:sz w:val="18"/>
          <w:szCs w:val="18"/>
        </w:rPr>
      </w:pPr>
    </w:p>
    <w:p w14:paraId="26ED7CC0" w14:textId="77777777" w:rsidR="00250E9B" w:rsidRDefault="00250E9B" w:rsidP="00250E9B">
      <w:pPr>
        <w:jc w:val="center"/>
        <w:rPr>
          <w:i/>
          <w:color w:val="0E2841"/>
          <w:sz w:val="18"/>
          <w:szCs w:val="18"/>
        </w:rPr>
      </w:pPr>
    </w:p>
    <w:p w14:paraId="7FD796AE" w14:textId="0718F26D" w:rsidR="00250E9B" w:rsidRPr="00F05D5B" w:rsidRDefault="00250E9B" w:rsidP="00250E9B">
      <w:pPr>
        <w:jc w:val="center"/>
        <w:rPr>
          <w:color w:val="0E2841"/>
          <w:sz w:val="18"/>
          <w:szCs w:val="18"/>
        </w:rPr>
      </w:pPr>
      <w:r w:rsidRPr="00F05D5B">
        <w:rPr>
          <w:b/>
          <w:color w:val="0E2841"/>
          <w:sz w:val="18"/>
          <w:szCs w:val="18"/>
        </w:rPr>
        <w:t>Table S</w:t>
      </w:r>
      <w:r>
        <w:rPr>
          <w:b/>
          <w:color w:val="0E2841"/>
          <w:sz w:val="18"/>
          <w:szCs w:val="18"/>
        </w:rPr>
        <w:t>1.</w:t>
      </w:r>
      <w:r w:rsidR="0029776D">
        <w:rPr>
          <w:b/>
          <w:color w:val="0E2841"/>
          <w:sz w:val="18"/>
          <w:szCs w:val="18"/>
        </w:rPr>
        <w:t>5</w:t>
      </w:r>
      <w:r w:rsidRPr="00F05D5B">
        <w:rPr>
          <w:b/>
          <w:color w:val="0E2841"/>
          <w:sz w:val="18"/>
          <w:szCs w:val="18"/>
        </w:rPr>
        <w:t>:</w:t>
      </w:r>
      <w:r w:rsidRPr="00F05D5B">
        <w:rPr>
          <w:color w:val="0E2841"/>
          <w:sz w:val="18"/>
          <w:szCs w:val="18"/>
        </w:rPr>
        <w:t xml:space="preserve"> Germanium intensities (kg/MW) in the a-</w:t>
      </w:r>
      <w:proofErr w:type="gramStart"/>
      <w:r w:rsidRPr="00F05D5B">
        <w:rPr>
          <w:color w:val="0E2841"/>
          <w:sz w:val="18"/>
          <w:szCs w:val="18"/>
        </w:rPr>
        <w:t>Si  sub</w:t>
      </w:r>
      <w:proofErr w:type="gramEnd"/>
      <w:r w:rsidRPr="00F05D5B">
        <w:rPr>
          <w:color w:val="0E2841"/>
          <w:sz w:val="18"/>
          <w:szCs w:val="18"/>
        </w:rPr>
        <w:t>-technology, as reported in the literature published between 2018 and 2020.</w:t>
      </w:r>
    </w:p>
    <w:tbl>
      <w:tblPr>
        <w:tblW w:w="6374"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252"/>
        <w:gridCol w:w="1328"/>
        <w:gridCol w:w="1309"/>
        <w:gridCol w:w="2485"/>
      </w:tblGrid>
      <w:tr w:rsidR="00250E9B" w:rsidRPr="00F73297" w14:paraId="2D84191B" w14:textId="77777777">
        <w:trPr>
          <w:trHeight w:val="23"/>
          <w:jc w:val="center"/>
        </w:trPr>
        <w:tc>
          <w:tcPr>
            <w:tcW w:w="1252" w:type="dxa"/>
            <w:noWrap/>
            <w:vAlign w:val="center"/>
          </w:tcPr>
          <w:p w14:paraId="0CBC959D" w14:textId="77777777" w:rsidR="00250E9B" w:rsidRPr="00F73297" w:rsidRDefault="00250E9B">
            <w:pPr>
              <w:jc w:val="center"/>
              <w:rPr>
                <w:rFonts w:eastAsia="Aptos"/>
                <w:b/>
                <w:i/>
                <w:color w:val="0E2841"/>
                <w:kern w:val="2"/>
                <w:sz w:val="18"/>
                <w:szCs w:val="18"/>
              </w:rPr>
            </w:pPr>
            <w:r w:rsidRPr="00F73297">
              <w:rPr>
                <w:rFonts w:eastAsia="Aptos"/>
                <w:b/>
                <w:i/>
                <w:color w:val="0E2841"/>
                <w:kern w:val="2"/>
                <w:sz w:val="18"/>
                <w:szCs w:val="18"/>
              </w:rPr>
              <w:t>Sub-technology</w:t>
            </w:r>
          </w:p>
        </w:tc>
        <w:tc>
          <w:tcPr>
            <w:tcW w:w="1328" w:type="dxa"/>
            <w:noWrap/>
            <w:vAlign w:val="center"/>
          </w:tcPr>
          <w:p w14:paraId="39C45A03" w14:textId="77777777" w:rsidR="00250E9B" w:rsidRPr="00F73297" w:rsidRDefault="00250E9B">
            <w:pPr>
              <w:jc w:val="center"/>
              <w:rPr>
                <w:rFonts w:eastAsia="Aptos"/>
                <w:b/>
                <w:i/>
                <w:color w:val="0E2841"/>
                <w:kern w:val="2"/>
                <w:sz w:val="18"/>
                <w:szCs w:val="18"/>
              </w:rPr>
            </w:pPr>
            <w:r w:rsidRPr="00F73297">
              <w:rPr>
                <w:rFonts w:eastAsia="Aptos"/>
                <w:b/>
                <w:i/>
                <w:color w:val="0E2841"/>
                <w:kern w:val="2"/>
                <w:sz w:val="18"/>
                <w:szCs w:val="18"/>
              </w:rPr>
              <w:t>Material</w:t>
            </w:r>
          </w:p>
        </w:tc>
        <w:tc>
          <w:tcPr>
            <w:tcW w:w="1309" w:type="dxa"/>
            <w:noWrap/>
            <w:vAlign w:val="center"/>
          </w:tcPr>
          <w:p w14:paraId="3CBE04D9" w14:textId="77777777" w:rsidR="00250E9B" w:rsidRPr="00F73297" w:rsidRDefault="00250E9B">
            <w:pPr>
              <w:jc w:val="center"/>
              <w:rPr>
                <w:rFonts w:eastAsia="Aptos"/>
                <w:b/>
                <w:i/>
                <w:color w:val="0E2841"/>
                <w:kern w:val="2"/>
                <w:sz w:val="18"/>
                <w:szCs w:val="18"/>
              </w:rPr>
            </w:pPr>
            <w:r w:rsidRPr="00F73297">
              <w:rPr>
                <w:rFonts w:eastAsia="Aptos"/>
                <w:b/>
                <w:i/>
                <w:color w:val="0E2841"/>
                <w:kern w:val="2"/>
                <w:sz w:val="18"/>
                <w:szCs w:val="18"/>
              </w:rPr>
              <w:t>Intensity (kg/MW)</w:t>
            </w:r>
          </w:p>
        </w:tc>
        <w:tc>
          <w:tcPr>
            <w:tcW w:w="2485" w:type="dxa"/>
            <w:vAlign w:val="center"/>
          </w:tcPr>
          <w:p w14:paraId="60CCD7EA" w14:textId="77777777" w:rsidR="00250E9B" w:rsidRPr="00F73297" w:rsidRDefault="00250E9B">
            <w:pPr>
              <w:jc w:val="center"/>
              <w:rPr>
                <w:rFonts w:eastAsia="Aptos"/>
                <w:b/>
                <w:i/>
                <w:color w:val="0E2841"/>
                <w:kern w:val="2"/>
                <w:sz w:val="18"/>
                <w:szCs w:val="18"/>
              </w:rPr>
            </w:pPr>
            <w:r w:rsidRPr="00F73297">
              <w:rPr>
                <w:rFonts w:eastAsia="Aptos"/>
                <w:b/>
                <w:i/>
                <w:color w:val="0E2841"/>
                <w:kern w:val="2"/>
                <w:sz w:val="18"/>
                <w:szCs w:val="18"/>
              </w:rPr>
              <w:t>Source</w:t>
            </w:r>
          </w:p>
        </w:tc>
      </w:tr>
      <w:tr w:rsidR="00250E9B" w:rsidRPr="00F73297" w14:paraId="6809D221" w14:textId="77777777">
        <w:trPr>
          <w:trHeight w:val="23"/>
          <w:jc w:val="center"/>
        </w:trPr>
        <w:tc>
          <w:tcPr>
            <w:tcW w:w="1252" w:type="dxa"/>
            <w:vMerge w:val="restart"/>
            <w:noWrap/>
            <w:vAlign w:val="center"/>
            <w:hideMark/>
          </w:tcPr>
          <w:p w14:paraId="3FC3E644"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a-Si</w:t>
            </w:r>
          </w:p>
        </w:tc>
        <w:tc>
          <w:tcPr>
            <w:tcW w:w="1328" w:type="dxa"/>
            <w:vMerge w:val="restart"/>
            <w:noWrap/>
            <w:vAlign w:val="center"/>
            <w:hideMark/>
          </w:tcPr>
          <w:p w14:paraId="5965A727" w14:textId="77777777" w:rsidR="00250E9B" w:rsidRDefault="00250E9B">
            <w:pPr>
              <w:jc w:val="center"/>
              <w:rPr>
                <w:rFonts w:eastAsia="Aptos"/>
                <w:i/>
                <w:color w:val="0E2841"/>
                <w:kern w:val="2"/>
                <w:sz w:val="18"/>
                <w:szCs w:val="18"/>
              </w:rPr>
            </w:pPr>
            <w:r w:rsidRPr="00F73297">
              <w:rPr>
                <w:rFonts w:eastAsia="Aptos"/>
                <w:i/>
                <w:color w:val="0E2841"/>
                <w:kern w:val="2"/>
                <w:sz w:val="18"/>
                <w:szCs w:val="18"/>
              </w:rPr>
              <w:t>Germanium</w:t>
            </w:r>
          </w:p>
          <w:p w14:paraId="2BCA64F3" w14:textId="77777777" w:rsidR="00250E9B" w:rsidRPr="00F73297" w:rsidRDefault="00250E9B">
            <w:pPr>
              <w:jc w:val="center"/>
              <w:rPr>
                <w:rFonts w:eastAsia="Aptos"/>
                <w:i/>
                <w:color w:val="0E2841"/>
                <w:kern w:val="2"/>
                <w:sz w:val="18"/>
                <w:szCs w:val="18"/>
              </w:rPr>
            </w:pPr>
            <w:r>
              <w:rPr>
                <w:rFonts w:eastAsia="Aptos"/>
                <w:i/>
                <w:color w:val="0E2841"/>
                <w:kern w:val="2"/>
                <w:sz w:val="18"/>
                <w:szCs w:val="18"/>
              </w:rPr>
              <w:t>Ge</w:t>
            </w:r>
          </w:p>
        </w:tc>
        <w:tc>
          <w:tcPr>
            <w:tcW w:w="1309" w:type="dxa"/>
            <w:noWrap/>
            <w:vAlign w:val="center"/>
            <w:hideMark/>
          </w:tcPr>
          <w:p w14:paraId="0E8F99B1"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14.8</w:t>
            </w:r>
          </w:p>
        </w:tc>
        <w:tc>
          <w:tcPr>
            <w:tcW w:w="2485" w:type="dxa"/>
            <w:vAlign w:val="center"/>
          </w:tcPr>
          <w:p w14:paraId="3607E5DB" w14:textId="296EDDDD"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120433">
              <w:rPr>
                <w:rFonts w:eastAsia="Aptos"/>
                <w:i/>
                <w:color w:val="0E2841"/>
                <w:kern w:val="2"/>
                <w:sz w:val="18"/>
                <w:szCs w:val="18"/>
              </w:rPr>
              <w:instrText xml:space="preserve"> ADDIN ZOTERO_ITEM CSL_CITATION {"citationID":"CV4zI59z","properties":{"formattedCitation":"(Valero et al., 2018)","plainCitation":"(Valero et al., 2018)","noteIndex":0},"citationItems":[{"id":15668,"uris":["http://zotero.org/groups/5033565/items/ND7LTATV"],"itemData":{"id":15668,"type":"article-journal","container-title":"Renewable and Sustainable Energy Reviews","DOI":"10.1016/j.rser.2018.05.041","ISSN":"13640321","journalAbbreviation":"Renewable and Sustainable Energy Reviews","language":"en","page":"178-200","source":"DOI.org (Crossref)","title":"Material bottlenecks in the future development of green technologies","volume":"93","author":[{"family":"Valero","given":"Alicia"},{"family":"Valero","given":"Antonio"},{"family":"Calvo","given":"Guiomar"},{"family":"Ortego","given":"Abel"}],"issued":{"date-parts":[["2018",10]]}}}],"schema":"https://github.com/citation-style-language/schema/raw/master/csl-citation.json"} </w:instrText>
            </w:r>
            <w:r w:rsidRPr="00F73297">
              <w:rPr>
                <w:rFonts w:eastAsia="Aptos"/>
                <w:i/>
                <w:color w:val="0E2841"/>
                <w:kern w:val="2"/>
                <w:sz w:val="18"/>
                <w:szCs w:val="18"/>
              </w:rPr>
              <w:fldChar w:fldCharType="separate"/>
            </w:r>
            <w:r w:rsidR="00120433">
              <w:rPr>
                <w:rFonts w:eastAsia="Aptos"/>
                <w:i/>
                <w:color w:val="0E2841"/>
                <w:kern w:val="2"/>
                <w:sz w:val="18"/>
                <w:szCs w:val="18"/>
              </w:rPr>
              <w:t>(Valero et al., 2018)</w:t>
            </w:r>
            <w:r w:rsidRPr="00F73297">
              <w:rPr>
                <w:rFonts w:eastAsia="Aptos"/>
                <w:color w:val="0E2841"/>
                <w:kern w:val="2"/>
                <w:sz w:val="18"/>
                <w:szCs w:val="18"/>
              </w:rPr>
              <w:fldChar w:fldCharType="end"/>
            </w:r>
          </w:p>
        </w:tc>
      </w:tr>
      <w:tr w:rsidR="00250E9B" w:rsidRPr="00F73297" w14:paraId="60F21940" w14:textId="77777777">
        <w:trPr>
          <w:trHeight w:val="23"/>
          <w:jc w:val="center"/>
        </w:trPr>
        <w:tc>
          <w:tcPr>
            <w:tcW w:w="1252" w:type="dxa"/>
            <w:vMerge/>
            <w:vAlign w:val="center"/>
            <w:hideMark/>
          </w:tcPr>
          <w:p w14:paraId="5BCF3871" w14:textId="77777777" w:rsidR="00250E9B" w:rsidRPr="00F73297" w:rsidRDefault="00250E9B">
            <w:pPr>
              <w:jc w:val="center"/>
              <w:rPr>
                <w:rFonts w:eastAsia="Aptos"/>
                <w:i/>
                <w:color w:val="0E2841"/>
                <w:kern w:val="2"/>
                <w:sz w:val="18"/>
                <w:szCs w:val="18"/>
              </w:rPr>
            </w:pPr>
          </w:p>
        </w:tc>
        <w:tc>
          <w:tcPr>
            <w:tcW w:w="1328" w:type="dxa"/>
            <w:vMerge/>
            <w:vAlign w:val="center"/>
            <w:hideMark/>
          </w:tcPr>
          <w:p w14:paraId="37B53BF1" w14:textId="77777777" w:rsidR="00250E9B" w:rsidRPr="00F73297" w:rsidRDefault="00250E9B">
            <w:pPr>
              <w:jc w:val="center"/>
              <w:rPr>
                <w:rFonts w:eastAsia="Aptos"/>
                <w:i/>
                <w:color w:val="0E2841"/>
                <w:kern w:val="2"/>
                <w:sz w:val="18"/>
                <w:szCs w:val="18"/>
              </w:rPr>
            </w:pPr>
          </w:p>
        </w:tc>
        <w:tc>
          <w:tcPr>
            <w:tcW w:w="1309" w:type="dxa"/>
            <w:noWrap/>
            <w:vAlign w:val="center"/>
            <w:hideMark/>
          </w:tcPr>
          <w:p w14:paraId="3EC94DD0"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73.0</w:t>
            </w:r>
          </w:p>
        </w:tc>
        <w:tc>
          <w:tcPr>
            <w:tcW w:w="2485" w:type="dxa"/>
            <w:vAlign w:val="center"/>
          </w:tcPr>
          <w:p w14:paraId="4BBB066B" w14:textId="5DAE74D4"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120433">
              <w:rPr>
                <w:rFonts w:eastAsia="Aptos"/>
                <w:i/>
                <w:color w:val="0E2841"/>
                <w:kern w:val="2"/>
                <w:sz w:val="18"/>
                <w:szCs w:val="18"/>
              </w:rPr>
              <w:instrText xml:space="preserve"> ADDIN ZOTERO_ITEM CSL_CITATION {"citationID":"dieLYqv2","properties":{"formattedCitation":"(Elshkaki &amp; Shen, 2019)","plainCitation":"(Elshkaki &amp; Shen, 2019)","noteIndex":0},"citationItems":[{"id":16580,"uris":["http://zotero.org/groups/5509458/items/29GCVUC4"],"itemData":{"id":16580,"type":"article-journal","container-title":"Energy","DOI":"10.1016/j.energy.2019.05.156","ISSN":"03605442","journalAbbreviation":"Energy","language":"en","page":"903-917","source":"DOI.org (Crossref)","title":"Energy-material nexus: The impacts of national and international energy scenarios on critical metals use in China up to 2050 and their global implications","title-short":"Energy-material nexus","volume":"180","author":[{"family":"Elshkaki","given":"Ayman"},{"family":"Shen","given":"Lei"}],"issued":{"date-parts":[["2019",8]]}}}],"schema":"https://github.com/citation-style-language/schema/raw/master/csl-citation.json"} </w:instrText>
            </w:r>
            <w:r w:rsidRPr="00F73297">
              <w:rPr>
                <w:rFonts w:eastAsia="Aptos"/>
                <w:i/>
                <w:color w:val="0E2841"/>
                <w:kern w:val="2"/>
                <w:sz w:val="18"/>
                <w:szCs w:val="18"/>
              </w:rPr>
              <w:fldChar w:fldCharType="separate"/>
            </w:r>
            <w:r w:rsidR="00120433">
              <w:rPr>
                <w:rFonts w:eastAsia="Aptos"/>
                <w:i/>
                <w:color w:val="0E2841"/>
                <w:kern w:val="2"/>
                <w:sz w:val="18"/>
                <w:szCs w:val="18"/>
              </w:rPr>
              <w:t>(</w:t>
            </w:r>
            <w:proofErr w:type="spellStart"/>
            <w:r w:rsidR="00120433">
              <w:rPr>
                <w:rFonts w:eastAsia="Aptos"/>
                <w:i/>
                <w:color w:val="0E2841"/>
                <w:kern w:val="2"/>
                <w:sz w:val="18"/>
                <w:szCs w:val="18"/>
              </w:rPr>
              <w:t>Elshkaki</w:t>
            </w:r>
            <w:proofErr w:type="spellEnd"/>
            <w:r w:rsidR="00120433">
              <w:rPr>
                <w:rFonts w:eastAsia="Aptos"/>
                <w:i/>
                <w:color w:val="0E2841"/>
                <w:kern w:val="2"/>
                <w:sz w:val="18"/>
                <w:szCs w:val="18"/>
              </w:rPr>
              <w:t xml:space="preserve"> &amp; Shen, 2019)</w:t>
            </w:r>
            <w:r w:rsidRPr="00F73297">
              <w:rPr>
                <w:rFonts w:eastAsia="Aptos"/>
                <w:color w:val="0E2841"/>
                <w:kern w:val="2"/>
                <w:sz w:val="18"/>
                <w:szCs w:val="18"/>
              </w:rPr>
              <w:fldChar w:fldCharType="end"/>
            </w:r>
          </w:p>
        </w:tc>
      </w:tr>
      <w:tr w:rsidR="00250E9B" w:rsidRPr="00F73297" w14:paraId="30F8E0D5" w14:textId="77777777">
        <w:trPr>
          <w:trHeight w:val="23"/>
          <w:jc w:val="center"/>
        </w:trPr>
        <w:tc>
          <w:tcPr>
            <w:tcW w:w="1252" w:type="dxa"/>
            <w:vMerge/>
            <w:vAlign w:val="center"/>
            <w:hideMark/>
          </w:tcPr>
          <w:p w14:paraId="42BF990C" w14:textId="77777777" w:rsidR="00250E9B" w:rsidRPr="00F73297" w:rsidRDefault="00250E9B">
            <w:pPr>
              <w:jc w:val="center"/>
              <w:rPr>
                <w:rFonts w:eastAsia="Aptos"/>
                <w:i/>
                <w:color w:val="0E2841"/>
                <w:kern w:val="2"/>
                <w:sz w:val="18"/>
                <w:szCs w:val="18"/>
              </w:rPr>
            </w:pPr>
          </w:p>
        </w:tc>
        <w:tc>
          <w:tcPr>
            <w:tcW w:w="1328" w:type="dxa"/>
            <w:vMerge/>
            <w:vAlign w:val="center"/>
            <w:hideMark/>
          </w:tcPr>
          <w:p w14:paraId="4B5F314F" w14:textId="77777777" w:rsidR="00250E9B" w:rsidRPr="00F73297" w:rsidRDefault="00250E9B">
            <w:pPr>
              <w:jc w:val="center"/>
              <w:rPr>
                <w:rFonts w:eastAsia="Aptos"/>
                <w:i/>
                <w:color w:val="0E2841"/>
                <w:kern w:val="2"/>
                <w:sz w:val="18"/>
                <w:szCs w:val="18"/>
              </w:rPr>
            </w:pPr>
          </w:p>
        </w:tc>
        <w:tc>
          <w:tcPr>
            <w:tcW w:w="1309" w:type="dxa"/>
            <w:noWrap/>
            <w:vAlign w:val="center"/>
            <w:hideMark/>
          </w:tcPr>
          <w:p w14:paraId="1DF37646"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48.0</w:t>
            </w:r>
          </w:p>
        </w:tc>
        <w:tc>
          <w:tcPr>
            <w:tcW w:w="2485" w:type="dxa"/>
            <w:vAlign w:val="center"/>
          </w:tcPr>
          <w:p w14:paraId="200D155A" w14:textId="5150BE14"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120433">
              <w:rPr>
                <w:rFonts w:eastAsia="Aptos"/>
                <w:i/>
                <w:color w:val="0E2841"/>
                <w:kern w:val="2"/>
                <w:sz w:val="18"/>
                <w:szCs w:val="18"/>
              </w:rPr>
              <w:instrText xml:space="preserve"> ADDIN ZOTERO_ITEM CSL_CITATION {"citationID":"FJmdeGea","properties":{"formattedCitation":"(Carrara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color w:val="0E2841"/>
                <w:kern w:val="2"/>
                <w:sz w:val="18"/>
                <w:szCs w:val="18"/>
              </w:rPr>
              <w:fldChar w:fldCharType="separate"/>
            </w:r>
            <w:r w:rsidR="00120433">
              <w:rPr>
                <w:rFonts w:eastAsia="Aptos"/>
                <w:i/>
                <w:color w:val="0E2841"/>
                <w:kern w:val="2"/>
                <w:sz w:val="18"/>
                <w:szCs w:val="18"/>
              </w:rPr>
              <w:t>(Carrara et al., 2020)</w:t>
            </w:r>
            <w:r w:rsidRPr="00F73297">
              <w:rPr>
                <w:rFonts w:eastAsia="Aptos"/>
                <w:color w:val="0E2841"/>
                <w:kern w:val="2"/>
                <w:sz w:val="18"/>
                <w:szCs w:val="18"/>
              </w:rPr>
              <w:fldChar w:fldCharType="end"/>
            </w:r>
          </w:p>
        </w:tc>
      </w:tr>
    </w:tbl>
    <w:p w14:paraId="56D61BA0" w14:textId="77777777" w:rsidR="00250E9B" w:rsidRDefault="00250E9B" w:rsidP="00250E9B">
      <w:pPr>
        <w:rPr>
          <w:i/>
          <w:color w:val="0E2841"/>
          <w:sz w:val="18"/>
          <w:szCs w:val="18"/>
        </w:rPr>
      </w:pPr>
    </w:p>
    <w:p w14:paraId="6EEEB791" w14:textId="77777777" w:rsidR="00250E9B" w:rsidRDefault="00250E9B" w:rsidP="00250E9B">
      <w:pPr>
        <w:jc w:val="center"/>
        <w:rPr>
          <w:i/>
          <w:color w:val="0E2841"/>
          <w:sz w:val="18"/>
          <w:szCs w:val="18"/>
        </w:rPr>
      </w:pPr>
    </w:p>
    <w:p w14:paraId="57052BD6" w14:textId="77777777" w:rsidR="00250E9B" w:rsidRDefault="00250E9B" w:rsidP="00250E9B">
      <w:pPr>
        <w:jc w:val="center"/>
        <w:rPr>
          <w:i/>
          <w:color w:val="0E2841"/>
          <w:sz w:val="18"/>
          <w:szCs w:val="18"/>
        </w:rPr>
      </w:pPr>
    </w:p>
    <w:p w14:paraId="7C6F9BD0" w14:textId="77777777" w:rsidR="00250E9B" w:rsidRDefault="00250E9B" w:rsidP="00250E9B">
      <w:pPr>
        <w:jc w:val="center"/>
        <w:rPr>
          <w:i/>
          <w:color w:val="0E2841"/>
          <w:sz w:val="18"/>
          <w:szCs w:val="18"/>
        </w:rPr>
      </w:pPr>
    </w:p>
    <w:p w14:paraId="60B96A0E" w14:textId="77777777" w:rsidR="00250E9B" w:rsidRDefault="00250E9B" w:rsidP="00250E9B">
      <w:pPr>
        <w:jc w:val="center"/>
        <w:rPr>
          <w:i/>
          <w:color w:val="0E2841"/>
          <w:sz w:val="18"/>
          <w:szCs w:val="18"/>
        </w:rPr>
      </w:pPr>
    </w:p>
    <w:p w14:paraId="44267FB7" w14:textId="77777777" w:rsidR="00250E9B" w:rsidRDefault="00250E9B" w:rsidP="00250E9B">
      <w:pPr>
        <w:jc w:val="center"/>
        <w:rPr>
          <w:i/>
          <w:color w:val="0E2841"/>
          <w:sz w:val="18"/>
          <w:szCs w:val="18"/>
        </w:rPr>
      </w:pPr>
    </w:p>
    <w:p w14:paraId="13FE6726" w14:textId="77777777" w:rsidR="00250E9B" w:rsidRDefault="00250E9B" w:rsidP="00250E9B">
      <w:pPr>
        <w:jc w:val="center"/>
        <w:rPr>
          <w:i/>
          <w:color w:val="0E2841"/>
          <w:sz w:val="18"/>
          <w:szCs w:val="18"/>
        </w:rPr>
      </w:pPr>
    </w:p>
    <w:p w14:paraId="21C7E437" w14:textId="77777777" w:rsidR="00250E9B" w:rsidRDefault="00250E9B" w:rsidP="00250E9B">
      <w:pPr>
        <w:jc w:val="center"/>
        <w:rPr>
          <w:i/>
          <w:color w:val="0E2841"/>
          <w:sz w:val="18"/>
          <w:szCs w:val="18"/>
        </w:rPr>
      </w:pPr>
    </w:p>
    <w:p w14:paraId="0C8AC96E" w14:textId="77777777" w:rsidR="00250E9B" w:rsidRDefault="00250E9B" w:rsidP="00250E9B">
      <w:pPr>
        <w:jc w:val="center"/>
        <w:rPr>
          <w:i/>
          <w:color w:val="0E2841"/>
          <w:sz w:val="18"/>
          <w:szCs w:val="18"/>
        </w:rPr>
      </w:pPr>
    </w:p>
    <w:p w14:paraId="435E4452" w14:textId="77777777" w:rsidR="00250E9B" w:rsidRDefault="00250E9B" w:rsidP="00250E9B">
      <w:pPr>
        <w:jc w:val="center"/>
        <w:rPr>
          <w:i/>
          <w:color w:val="0E2841"/>
          <w:sz w:val="18"/>
          <w:szCs w:val="18"/>
        </w:rPr>
      </w:pPr>
    </w:p>
    <w:p w14:paraId="126FE2F2" w14:textId="77777777" w:rsidR="00250E9B" w:rsidRDefault="00250E9B" w:rsidP="00250E9B">
      <w:pPr>
        <w:jc w:val="center"/>
        <w:rPr>
          <w:i/>
          <w:color w:val="0E2841"/>
          <w:sz w:val="18"/>
          <w:szCs w:val="18"/>
        </w:rPr>
      </w:pPr>
    </w:p>
    <w:p w14:paraId="696219A1" w14:textId="77777777" w:rsidR="00250E9B" w:rsidRDefault="00250E9B" w:rsidP="00250E9B">
      <w:pPr>
        <w:jc w:val="center"/>
        <w:rPr>
          <w:i/>
          <w:color w:val="0E2841"/>
          <w:sz w:val="18"/>
          <w:szCs w:val="18"/>
        </w:rPr>
      </w:pPr>
    </w:p>
    <w:p w14:paraId="737E2CC5" w14:textId="77777777" w:rsidR="00250E9B" w:rsidRDefault="00250E9B" w:rsidP="00250E9B">
      <w:pPr>
        <w:jc w:val="center"/>
        <w:rPr>
          <w:i/>
          <w:color w:val="0E2841"/>
          <w:sz w:val="18"/>
          <w:szCs w:val="18"/>
        </w:rPr>
      </w:pPr>
    </w:p>
    <w:p w14:paraId="4A88885D" w14:textId="77777777" w:rsidR="00250E9B" w:rsidRPr="00F05D5B" w:rsidRDefault="00250E9B" w:rsidP="00250E9B">
      <w:pPr>
        <w:rPr>
          <w:color w:val="0E2841"/>
          <w:sz w:val="18"/>
          <w:szCs w:val="18"/>
        </w:rPr>
      </w:pPr>
    </w:p>
    <w:p w14:paraId="72E428EE" w14:textId="6318F10C" w:rsidR="00250E9B" w:rsidRPr="00F05D5B" w:rsidRDefault="00250E9B" w:rsidP="00250E9B">
      <w:pPr>
        <w:jc w:val="center"/>
        <w:rPr>
          <w:color w:val="0E2841"/>
          <w:sz w:val="18"/>
          <w:szCs w:val="18"/>
        </w:rPr>
      </w:pPr>
      <w:r w:rsidRPr="00F05D5B">
        <w:rPr>
          <w:b/>
          <w:color w:val="0E2841"/>
          <w:sz w:val="18"/>
          <w:szCs w:val="18"/>
        </w:rPr>
        <w:lastRenderedPageBreak/>
        <w:t>Table S</w:t>
      </w:r>
      <w:r>
        <w:rPr>
          <w:b/>
          <w:color w:val="0E2841"/>
          <w:sz w:val="18"/>
          <w:szCs w:val="18"/>
        </w:rPr>
        <w:t>1.</w:t>
      </w:r>
      <w:r w:rsidR="0029776D">
        <w:rPr>
          <w:b/>
          <w:color w:val="0E2841"/>
          <w:sz w:val="18"/>
          <w:szCs w:val="18"/>
        </w:rPr>
        <w:t>6</w:t>
      </w:r>
      <w:r w:rsidRPr="00F05D5B">
        <w:rPr>
          <w:b/>
          <w:color w:val="0E2841"/>
          <w:sz w:val="18"/>
          <w:szCs w:val="18"/>
        </w:rPr>
        <w:t>:</w:t>
      </w:r>
      <w:r w:rsidRPr="00F05D5B">
        <w:rPr>
          <w:color w:val="0E2841"/>
          <w:sz w:val="18"/>
          <w:szCs w:val="18"/>
        </w:rPr>
        <w:t xml:space="preserve"> Cadmium and tellurium intensities (kg/MW) in the </w:t>
      </w:r>
      <w:proofErr w:type="spellStart"/>
      <w:proofErr w:type="gramStart"/>
      <w:r w:rsidRPr="00F05D5B">
        <w:rPr>
          <w:color w:val="0E2841"/>
          <w:sz w:val="18"/>
          <w:szCs w:val="18"/>
        </w:rPr>
        <w:t>CdTe</w:t>
      </w:r>
      <w:proofErr w:type="spellEnd"/>
      <w:r w:rsidRPr="00F05D5B">
        <w:rPr>
          <w:color w:val="0E2841"/>
          <w:sz w:val="18"/>
          <w:szCs w:val="18"/>
        </w:rPr>
        <w:t xml:space="preserve">  sub</w:t>
      </w:r>
      <w:proofErr w:type="gramEnd"/>
      <w:r w:rsidRPr="00F05D5B">
        <w:rPr>
          <w:color w:val="0E2841"/>
          <w:sz w:val="18"/>
          <w:szCs w:val="18"/>
        </w:rPr>
        <w:t>-technology, as reported in the literature published between 2018 and 2020.</w:t>
      </w:r>
    </w:p>
    <w:tbl>
      <w:tblPr>
        <w:tblW w:w="708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252"/>
        <w:gridCol w:w="1328"/>
        <w:gridCol w:w="1309"/>
        <w:gridCol w:w="3194"/>
      </w:tblGrid>
      <w:tr w:rsidR="00250E9B" w:rsidRPr="00F73297" w14:paraId="6211B563" w14:textId="77777777">
        <w:trPr>
          <w:trHeight w:val="20"/>
          <w:jc w:val="center"/>
        </w:trPr>
        <w:tc>
          <w:tcPr>
            <w:tcW w:w="1252" w:type="dxa"/>
            <w:noWrap/>
            <w:vAlign w:val="center"/>
          </w:tcPr>
          <w:p w14:paraId="360327CD" w14:textId="77777777" w:rsidR="00250E9B" w:rsidRPr="00F73297" w:rsidRDefault="00250E9B">
            <w:pPr>
              <w:jc w:val="center"/>
              <w:rPr>
                <w:rFonts w:eastAsia="Aptos"/>
                <w:b/>
                <w:bCs/>
                <w:i/>
                <w:iCs/>
                <w:color w:val="0E2841"/>
                <w:kern w:val="2"/>
                <w:sz w:val="18"/>
                <w:szCs w:val="18"/>
              </w:rPr>
            </w:pPr>
            <w:r w:rsidRPr="00F73297">
              <w:rPr>
                <w:rFonts w:eastAsia="Aptos"/>
                <w:b/>
                <w:bCs/>
                <w:i/>
                <w:iCs/>
                <w:color w:val="0E2841"/>
                <w:kern w:val="2"/>
                <w:sz w:val="18"/>
                <w:szCs w:val="18"/>
              </w:rPr>
              <w:t>Sub-technology</w:t>
            </w:r>
          </w:p>
        </w:tc>
        <w:tc>
          <w:tcPr>
            <w:tcW w:w="1328" w:type="dxa"/>
            <w:noWrap/>
            <w:vAlign w:val="center"/>
          </w:tcPr>
          <w:p w14:paraId="321AA855" w14:textId="77777777" w:rsidR="00250E9B" w:rsidRPr="00F73297" w:rsidRDefault="00250E9B">
            <w:pPr>
              <w:jc w:val="center"/>
              <w:rPr>
                <w:rFonts w:eastAsia="Aptos"/>
                <w:b/>
                <w:bCs/>
                <w:i/>
                <w:iCs/>
                <w:color w:val="0E2841"/>
                <w:kern w:val="2"/>
                <w:sz w:val="18"/>
                <w:szCs w:val="18"/>
              </w:rPr>
            </w:pPr>
            <w:r w:rsidRPr="00F73297">
              <w:rPr>
                <w:rFonts w:eastAsia="Aptos"/>
                <w:b/>
                <w:bCs/>
                <w:i/>
                <w:iCs/>
                <w:color w:val="0E2841"/>
                <w:kern w:val="2"/>
                <w:sz w:val="18"/>
                <w:szCs w:val="18"/>
              </w:rPr>
              <w:t>Material</w:t>
            </w:r>
          </w:p>
        </w:tc>
        <w:tc>
          <w:tcPr>
            <w:tcW w:w="1309" w:type="dxa"/>
            <w:noWrap/>
            <w:vAlign w:val="center"/>
          </w:tcPr>
          <w:p w14:paraId="43B89BF2" w14:textId="77777777" w:rsidR="00250E9B" w:rsidRPr="00F73297" w:rsidRDefault="00250E9B">
            <w:pPr>
              <w:jc w:val="center"/>
              <w:rPr>
                <w:rFonts w:eastAsia="Aptos"/>
                <w:b/>
                <w:bCs/>
                <w:i/>
                <w:iCs/>
                <w:color w:val="0E2841"/>
                <w:kern w:val="2"/>
                <w:sz w:val="18"/>
                <w:szCs w:val="18"/>
              </w:rPr>
            </w:pPr>
            <w:r w:rsidRPr="00F73297">
              <w:rPr>
                <w:rFonts w:eastAsia="Aptos"/>
                <w:b/>
                <w:bCs/>
                <w:i/>
                <w:iCs/>
                <w:color w:val="0E2841"/>
                <w:kern w:val="2"/>
                <w:sz w:val="18"/>
                <w:szCs w:val="18"/>
              </w:rPr>
              <w:t>Intensity (kg/MW)</w:t>
            </w:r>
          </w:p>
        </w:tc>
        <w:tc>
          <w:tcPr>
            <w:tcW w:w="3194" w:type="dxa"/>
            <w:vAlign w:val="center"/>
          </w:tcPr>
          <w:p w14:paraId="1C436F4E" w14:textId="77777777" w:rsidR="00250E9B" w:rsidRPr="00F73297" w:rsidRDefault="00250E9B">
            <w:pPr>
              <w:jc w:val="center"/>
              <w:rPr>
                <w:rFonts w:eastAsia="Aptos"/>
                <w:b/>
                <w:bCs/>
                <w:i/>
                <w:iCs/>
                <w:color w:val="0E2841"/>
                <w:kern w:val="2"/>
                <w:sz w:val="18"/>
                <w:szCs w:val="18"/>
              </w:rPr>
            </w:pPr>
            <w:r w:rsidRPr="00F73297">
              <w:rPr>
                <w:rFonts w:eastAsia="Aptos"/>
                <w:b/>
                <w:bCs/>
                <w:i/>
                <w:iCs/>
                <w:color w:val="0E2841"/>
                <w:kern w:val="2"/>
                <w:sz w:val="18"/>
                <w:szCs w:val="18"/>
              </w:rPr>
              <w:t>Source</w:t>
            </w:r>
          </w:p>
        </w:tc>
      </w:tr>
      <w:tr w:rsidR="00250E9B" w:rsidRPr="00F73297" w14:paraId="3B9C9FA0" w14:textId="77777777">
        <w:trPr>
          <w:trHeight w:val="20"/>
          <w:jc w:val="center"/>
        </w:trPr>
        <w:tc>
          <w:tcPr>
            <w:tcW w:w="1252" w:type="dxa"/>
            <w:vMerge w:val="restart"/>
            <w:noWrap/>
            <w:vAlign w:val="center"/>
            <w:hideMark/>
          </w:tcPr>
          <w:p w14:paraId="5C687DB1" w14:textId="77777777" w:rsidR="00250E9B" w:rsidRPr="00F73297" w:rsidRDefault="00250E9B">
            <w:pPr>
              <w:jc w:val="center"/>
              <w:rPr>
                <w:rFonts w:eastAsia="Aptos"/>
                <w:i/>
                <w:iCs/>
                <w:color w:val="0E2841"/>
                <w:kern w:val="2"/>
                <w:sz w:val="18"/>
                <w:szCs w:val="18"/>
              </w:rPr>
            </w:pPr>
            <w:proofErr w:type="spellStart"/>
            <w:r w:rsidRPr="00F73297">
              <w:rPr>
                <w:rFonts w:eastAsia="Aptos"/>
                <w:i/>
                <w:iCs/>
                <w:color w:val="0E2841"/>
                <w:kern w:val="2"/>
                <w:sz w:val="18"/>
                <w:szCs w:val="18"/>
              </w:rPr>
              <w:t>CdTe</w:t>
            </w:r>
            <w:proofErr w:type="spellEnd"/>
          </w:p>
        </w:tc>
        <w:tc>
          <w:tcPr>
            <w:tcW w:w="1328" w:type="dxa"/>
            <w:vMerge w:val="restart"/>
            <w:noWrap/>
            <w:vAlign w:val="center"/>
            <w:hideMark/>
          </w:tcPr>
          <w:p w14:paraId="2FAACA44" w14:textId="77777777" w:rsidR="00250E9B" w:rsidRDefault="00250E9B">
            <w:pPr>
              <w:jc w:val="center"/>
              <w:rPr>
                <w:rFonts w:eastAsia="Aptos"/>
                <w:i/>
                <w:iCs/>
                <w:color w:val="0E2841"/>
                <w:kern w:val="2"/>
                <w:sz w:val="18"/>
                <w:szCs w:val="18"/>
              </w:rPr>
            </w:pPr>
            <w:r w:rsidRPr="00F73297">
              <w:rPr>
                <w:rFonts w:eastAsia="Aptos"/>
                <w:i/>
                <w:iCs/>
                <w:color w:val="0E2841"/>
                <w:kern w:val="2"/>
                <w:sz w:val="18"/>
                <w:szCs w:val="18"/>
              </w:rPr>
              <w:t>Cadmium</w:t>
            </w:r>
          </w:p>
          <w:p w14:paraId="461E59CF" w14:textId="77777777" w:rsidR="00250E9B" w:rsidRPr="00F73297" w:rsidRDefault="00250E9B">
            <w:pPr>
              <w:jc w:val="center"/>
              <w:rPr>
                <w:rFonts w:eastAsia="Aptos"/>
                <w:i/>
                <w:iCs/>
                <w:color w:val="0E2841"/>
                <w:kern w:val="2"/>
                <w:sz w:val="18"/>
                <w:szCs w:val="18"/>
              </w:rPr>
            </w:pPr>
            <w:r>
              <w:rPr>
                <w:rFonts w:eastAsia="Aptos"/>
                <w:i/>
                <w:iCs/>
                <w:color w:val="0E2841"/>
                <w:kern w:val="2"/>
                <w:sz w:val="18"/>
                <w:szCs w:val="18"/>
              </w:rPr>
              <w:t>Cd</w:t>
            </w:r>
          </w:p>
        </w:tc>
        <w:tc>
          <w:tcPr>
            <w:tcW w:w="1309" w:type="dxa"/>
            <w:noWrap/>
            <w:vAlign w:val="center"/>
            <w:hideMark/>
          </w:tcPr>
          <w:p w14:paraId="15684281" w14:textId="7777777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t>65.2</w:t>
            </w:r>
          </w:p>
        </w:tc>
        <w:tc>
          <w:tcPr>
            <w:tcW w:w="3194" w:type="dxa"/>
            <w:vAlign w:val="center"/>
          </w:tcPr>
          <w:p w14:paraId="5BCBFC58" w14:textId="1B08B610"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fldChar w:fldCharType="begin"/>
            </w:r>
            <w:r w:rsidR="00120433">
              <w:rPr>
                <w:rFonts w:eastAsia="Aptos"/>
                <w:i/>
                <w:iCs/>
                <w:color w:val="0E2841"/>
                <w:kern w:val="2"/>
                <w:sz w:val="18"/>
                <w:szCs w:val="18"/>
              </w:rPr>
              <w:instrText xml:space="preserve"> ADDIN ZOTERO_ITEM CSL_CITATION {"citationID":"CxKVbDAO","properties":{"formattedCitation":"(Valero et al., 2018)","plainCitation":"(Valero et al., 2018)","noteIndex":0},"citationItems":[{"id":15668,"uris":["http://zotero.org/groups/5033565/items/ND7LTATV"],"itemData":{"id":15668,"type":"article-journal","container-title":"Renewable and Sustainable Energy Reviews","DOI":"10.1016/j.rser.2018.05.041","ISSN":"13640321","journalAbbreviation":"Renewable and Sustainable Energy Reviews","language":"en","page":"178-200","source":"DOI.org (Crossref)","title":"Material bottlenecks in the future development of green technologies","volume":"93","author":[{"family":"Valero","given":"Alicia"},{"family":"Valero","given":"Antonio"},{"family":"Calvo","given":"Guiomar"},{"family":"Ortego","given":"Abel"}],"issued":{"date-parts":[["2018",10]]}}}],"schema":"https://github.com/citation-style-language/schema/raw/master/csl-citation.json"} </w:instrText>
            </w:r>
            <w:r w:rsidRPr="00F73297">
              <w:rPr>
                <w:rFonts w:eastAsia="Aptos"/>
                <w:i/>
                <w:iCs/>
                <w:color w:val="0E2841"/>
                <w:kern w:val="2"/>
                <w:sz w:val="18"/>
                <w:szCs w:val="18"/>
              </w:rPr>
              <w:fldChar w:fldCharType="separate"/>
            </w:r>
            <w:r w:rsidR="00120433">
              <w:rPr>
                <w:rFonts w:eastAsia="Aptos"/>
                <w:i/>
                <w:iCs/>
                <w:noProof/>
                <w:color w:val="0E2841"/>
                <w:kern w:val="2"/>
                <w:sz w:val="18"/>
                <w:szCs w:val="18"/>
              </w:rPr>
              <w:t>(Valero et al., 2018)</w:t>
            </w:r>
            <w:r w:rsidRPr="00F73297">
              <w:rPr>
                <w:rFonts w:eastAsia="Aptos"/>
                <w:i/>
                <w:iCs/>
                <w:color w:val="0E2841"/>
                <w:kern w:val="2"/>
                <w:sz w:val="18"/>
                <w:szCs w:val="18"/>
              </w:rPr>
              <w:fldChar w:fldCharType="end"/>
            </w:r>
          </w:p>
        </w:tc>
      </w:tr>
      <w:tr w:rsidR="00250E9B" w:rsidRPr="00F73297" w14:paraId="7CCF5EAE" w14:textId="77777777">
        <w:trPr>
          <w:trHeight w:val="20"/>
          <w:jc w:val="center"/>
        </w:trPr>
        <w:tc>
          <w:tcPr>
            <w:tcW w:w="1252" w:type="dxa"/>
            <w:vMerge/>
            <w:vAlign w:val="center"/>
            <w:hideMark/>
          </w:tcPr>
          <w:p w14:paraId="02A486EF" w14:textId="77777777" w:rsidR="00250E9B" w:rsidRPr="00F73297" w:rsidRDefault="00250E9B">
            <w:pPr>
              <w:jc w:val="center"/>
              <w:rPr>
                <w:rFonts w:eastAsia="Aptos"/>
                <w:i/>
                <w:iCs/>
                <w:color w:val="0E2841"/>
                <w:kern w:val="2"/>
                <w:sz w:val="18"/>
                <w:szCs w:val="18"/>
              </w:rPr>
            </w:pPr>
          </w:p>
        </w:tc>
        <w:tc>
          <w:tcPr>
            <w:tcW w:w="1328" w:type="dxa"/>
            <w:vMerge/>
            <w:vAlign w:val="center"/>
            <w:hideMark/>
          </w:tcPr>
          <w:p w14:paraId="7CD92F13" w14:textId="77777777" w:rsidR="00250E9B" w:rsidRPr="00F73297" w:rsidRDefault="00250E9B">
            <w:pPr>
              <w:jc w:val="center"/>
              <w:rPr>
                <w:rFonts w:eastAsia="Aptos"/>
                <w:i/>
                <w:iCs/>
                <w:color w:val="0E2841"/>
                <w:kern w:val="2"/>
                <w:sz w:val="18"/>
                <w:szCs w:val="18"/>
              </w:rPr>
            </w:pPr>
          </w:p>
        </w:tc>
        <w:tc>
          <w:tcPr>
            <w:tcW w:w="1309" w:type="dxa"/>
            <w:noWrap/>
            <w:vAlign w:val="center"/>
            <w:hideMark/>
          </w:tcPr>
          <w:p w14:paraId="32EFEB35" w14:textId="7777777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t>85.0</w:t>
            </w:r>
          </w:p>
        </w:tc>
        <w:tc>
          <w:tcPr>
            <w:tcW w:w="3194" w:type="dxa"/>
            <w:vAlign w:val="center"/>
          </w:tcPr>
          <w:p w14:paraId="391F3209" w14:textId="4D62329C"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fldChar w:fldCharType="begin"/>
            </w:r>
            <w:r w:rsidR="00120433">
              <w:rPr>
                <w:rFonts w:eastAsia="Aptos"/>
                <w:i/>
                <w:iCs/>
                <w:color w:val="0E2841"/>
                <w:kern w:val="2"/>
                <w:sz w:val="18"/>
                <w:szCs w:val="18"/>
              </w:rPr>
              <w:instrText xml:space="preserve"> ADDIN ZOTERO_ITEM CSL_CITATION {"citationID":"zhzzQyAy","properties":{"formattedCitation":"(Elshkaki &amp; Shen, 2019)","plainCitation":"(Elshkaki &amp; Shen, 2019)","noteIndex":0},"citationItems":[{"id":16580,"uris":["http://zotero.org/groups/5509458/items/29GCVUC4"],"itemData":{"id":16580,"type":"article-journal","container-title":"Energy","DOI":"10.1016/j.energy.2019.05.156","ISSN":"03605442","journalAbbreviation":"Energy","language":"en","page":"903-917","source":"DOI.org (Crossref)","title":"Energy-material nexus: The impacts of national and international energy scenarios on critical metals use in China up to 2050 and their global implications","title-short":"Energy-material nexus","volume":"180","author":[{"family":"Elshkaki","given":"Ayman"},{"family":"Shen","given":"Lei"}],"issued":{"date-parts":[["2019",8]]}}}],"schema":"https://github.com/citation-style-language/schema/raw/master/csl-citation.json"} </w:instrText>
            </w:r>
            <w:r w:rsidRPr="00F73297">
              <w:rPr>
                <w:rFonts w:eastAsia="Aptos"/>
                <w:i/>
                <w:iCs/>
                <w:color w:val="0E2841"/>
                <w:kern w:val="2"/>
                <w:sz w:val="18"/>
                <w:szCs w:val="18"/>
              </w:rPr>
              <w:fldChar w:fldCharType="separate"/>
            </w:r>
            <w:r w:rsidR="00120433">
              <w:rPr>
                <w:rFonts w:eastAsia="Aptos"/>
                <w:i/>
                <w:iCs/>
                <w:noProof/>
                <w:color w:val="0E2841"/>
                <w:kern w:val="2"/>
                <w:sz w:val="18"/>
                <w:szCs w:val="18"/>
              </w:rPr>
              <w:t>(Elshkaki &amp; Shen, 2019)</w:t>
            </w:r>
            <w:r w:rsidRPr="00F73297">
              <w:rPr>
                <w:rFonts w:eastAsia="Aptos"/>
                <w:i/>
                <w:iCs/>
                <w:color w:val="0E2841"/>
                <w:kern w:val="2"/>
                <w:sz w:val="18"/>
                <w:szCs w:val="18"/>
              </w:rPr>
              <w:fldChar w:fldCharType="end"/>
            </w:r>
          </w:p>
        </w:tc>
      </w:tr>
      <w:tr w:rsidR="00250E9B" w:rsidRPr="00F73297" w14:paraId="0A7344E9" w14:textId="77777777">
        <w:trPr>
          <w:trHeight w:val="20"/>
          <w:jc w:val="center"/>
        </w:trPr>
        <w:tc>
          <w:tcPr>
            <w:tcW w:w="1252" w:type="dxa"/>
            <w:vMerge/>
            <w:vAlign w:val="center"/>
            <w:hideMark/>
          </w:tcPr>
          <w:p w14:paraId="3A702A21" w14:textId="77777777" w:rsidR="00250E9B" w:rsidRPr="00F73297" w:rsidRDefault="00250E9B">
            <w:pPr>
              <w:jc w:val="center"/>
              <w:rPr>
                <w:rFonts w:eastAsia="Aptos"/>
                <w:i/>
                <w:iCs/>
                <w:color w:val="0E2841"/>
                <w:kern w:val="2"/>
                <w:sz w:val="18"/>
                <w:szCs w:val="18"/>
              </w:rPr>
            </w:pPr>
          </w:p>
        </w:tc>
        <w:tc>
          <w:tcPr>
            <w:tcW w:w="1328" w:type="dxa"/>
            <w:vMerge/>
            <w:vAlign w:val="center"/>
            <w:hideMark/>
          </w:tcPr>
          <w:p w14:paraId="7C0D03A2" w14:textId="77777777" w:rsidR="00250E9B" w:rsidRPr="00F73297" w:rsidRDefault="00250E9B">
            <w:pPr>
              <w:jc w:val="center"/>
              <w:rPr>
                <w:rFonts w:eastAsia="Aptos"/>
                <w:i/>
                <w:iCs/>
                <w:color w:val="0E2841"/>
                <w:kern w:val="2"/>
                <w:sz w:val="18"/>
                <w:szCs w:val="18"/>
              </w:rPr>
            </w:pPr>
          </w:p>
        </w:tc>
        <w:tc>
          <w:tcPr>
            <w:tcW w:w="1309" w:type="dxa"/>
            <w:noWrap/>
            <w:vAlign w:val="center"/>
            <w:hideMark/>
          </w:tcPr>
          <w:p w14:paraId="1A516147" w14:textId="7777777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t>244.0</w:t>
            </w:r>
          </w:p>
        </w:tc>
        <w:tc>
          <w:tcPr>
            <w:tcW w:w="3194" w:type="dxa"/>
            <w:vAlign w:val="center"/>
          </w:tcPr>
          <w:p w14:paraId="3F0DAB59" w14:textId="40E474B9"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fldChar w:fldCharType="begin"/>
            </w:r>
            <w:r w:rsidR="00120433">
              <w:rPr>
                <w:rFonts w:eastAsia="Aptos"/>
                <w:i/>
                <w:iCs/>
                <w:color w:val="0E2841"/>
                <w:kern w:val="2"/>
                <w:sz w:val="18"/>
                <w:szCs w:val="18"/>
              </w:rPr>
              <w:instrText xml:space="preserve"> ADDIN ZOTERO_ITEM CSL_CITATION {"citationID":"NiJZRa7w","properties":{"formattedCitation":"(Watari et al., 2019)","plainCitation":"(Watari et al., 2019)","noteIndex":0},"citationItems":[{"id":16645,"uris":["http://zotero.org/groups/5509458/items/SSAPB4AV"],"itemData":{"id":16645,"type":"article-journal","container-title":"Resources, Conservation and Recycling","DOI":"10.1016/j.resconrec.2019.05.015","ISSN":"09213449","journalAbbreviation":"Resources, Conservation and Recycling","language":"en","page":"91-103","source":"DOI.org (Crossref)","title":"Total material requirement for the global energy transition to 2050: A focus on transport and electricity","title-short":"Total material requirement for the global energy transition to 2050","volume":"148","author":[{"family":"Watari","given":"Takuma"},{"family":"McLellan","given":"Benjamin C."},{"family":"Giurco","given":"Damien"},{"family":"Dominish","given":"Elsa"},{"family":"Yamasue","given":"Eiji"},{"family":"Nansai","given":"Keisuke"}],"issued":{"date-parts":[["2019",9]]}}}],"schema":"https://github.com/citation-style-language/schema/raw/master/csl-citation.json"} </w:instrText>
            </w:r>
            <w:r w:rsidRPr="00F73297">
              <w:rPr>
                <w:rFonts w:eastAsia="Aptos"/>
                <w:i/>
                <w:iCs/>
                <w:color w:val="0E2841"/>
                <w:kern w:val="2"/>
                <w:sz w:val="18"/>
                <w:szCs w:val="18"/>
              </w:rPr>
              <w:fldChar w:fldCharType="separate"/>
            </w:r>
            <w:r w:rsidR="00120433">
              <w:rPr>
                <w:rFonts w:eastAsia="Aptos"/>
                <w:i/>
                <w:iCs/>
                <w:noProof/>
                <w:color w:val="0E2841"/>
                <w:kern w:val="2"/>
                <w:sz w:val="18"/>
                <w:szCs w:val="18"/>
              </w:rPr>
              <w:t>(Watari et al., 2019)</w:t>
            </w:r>
            <w:r w:rsidRPr="00F73297">
              <w:rPr>
                <w:rFonts w:eastAsia="Aptos"/>
                <w:i/>
                <w:iCs/>
                <w:color w:val="0E2841"/>
                <w:kern w:val="2"/>
                <w:sz w:val="18"/>
                <w:szCs w:val="18"/>
              </w:rPr>
              <w:fldChar w:fldCharType="end"/>
            </w:r>
          </w:p>
        </w:tc>
      </w:tr>
      <w:tr w:rsidR="00250E9B" w:rsidRPr="00F73297" w14:paraId="78E13ADA" w14:textId="77777777">
        <w:trPr>
          <w:trHeight w:val="20"/>
          <w:jc w:val="center"/>
        </w:trPr>
        <w:tc>
          <w:tcPr>
            <w:tcW w:w="1252" w:type="dxa"/>
            <w:vMerge/>
            <w:vAlign w:val="center"/>
            <w:hideMark/>
          </w:tcPr>
          <w:p w14:paraId="03274E61" w14:textId="77777777" w:rsidR="00250E9B" w:rsidRPr="00F73297" w:rsidRDefault="00250E9B">
            <w:pPr>
              <w:jc w:val="center"/>
              <w:rPr>
                <w:rFonts w:eastAsia="Aptos"/>
                <w:i/>
                <w:iCs/>
                <w:color w:val="0E2841"/>
                <w:kern w:val="2"/>
                <w:sz w:val="18"/>
                <w:szCs w:val="18"/>
              </w:rPr>
            </w:pPr>
          </w:p>
        </w:tc>
        <w:tc>
          <w:tcPr>
            <w:tcW w:w="1328" w:type="dxa"/>
            <w:vMerge/>
            <w:vAlign w:val="center"/>
            <w:hideMark/>
          </w:tcPr>
          <w:p w14:paraId="15F68767" w14:textId="77777777" w:rsidR="00250E9B" w:rsidRPr="00F73297" w:rsidRDefault="00250E9B">
            <w:pPr>
              <w:jc w:val="center"/>
              <w:rPr>
                <w:rFonts w:eastAsia="Aptos"/>
                <w:i/>
                <w:iCs/>
                <w:color w:val="0E2841"/>
                <w:kern w:val="2"/>
                <w:sz w:val="18"/>
                <w:szCs w:val="18"/>
              </w:rPr>
            </w:pPr>
          </w:p>
        </w:tc>
        <w:tc>
          <w:tcPr>
            <w:tcW w:w="1309" w:type="dxa"/>
            <w:noWrap/>
            <w:vAlign w:val="center"/>
            <w:hideMark/>
          </w:tcPr>
          <w:p w14:paraId="2DB53BAF" w14:textId="7777777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t>87.0</w:t>
            </w:r>
          </w:p>
        </w:tc>
        <w:tc>
          <w:tcPr>
            <w:tcW w:w="3194" w:type="dxa"/>
            <w:vAlign w:val="center"/>
          </w:tcPr>
          <w:p w14:paraId="1CBF7B13" w14:textId="1E23B9FC"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fldChar w:fldCharType="begin"/>
            </w:r>
            <w:r w:rsidR="00120433">
              <w:rPr>
                <w:rFonts w:eastAsia="Aptos"/>
                <w:i/>
                <w:iCs/>
                <w:color w:val="0E2841"/>
                <w:kern w:val="2"/>
                <w:sz w:val="18"/>
                <w:szCs w:val="18"/>
              </w:rPr>
              <w:instrText xml:space="preserve"> ADDIN ZOTERO_ITEM CSL_CITATION {"citationID":"XKkz4Fte","properties":{"formattedCitation":"(Watari et al., 2019)","plainCitation":"(Watari et al., 2019)","noteIndex":0},"citationItems":[{"id":16645,"uris":["http://zotero.org/groups/5509458/items/SSAPB4AV"],"itemData":{"id":16645,"type":"article-journal","container-title":"Resources, Conservation and Recycling","DOI":"10.1016/j.resconrec.2019.05.015","ISSN":"09213449","journalAbbreviation":"Resources, Conservation and Recycling","language":"en","page":"91-103","source":"DOI.org (Crossref)","title":"Total material requirement for the global energy transition to 2050: A focus on transport and electricity","title-short":"Total material requirement for the global energy transition to 2050","volume":"148","author":[{"family":"Watari","given":"Takuma"},{"family":"McLellan","given":"Benjamin C."},{"family":"Giurco","given":"Damien"},{"family":"Dominish","given":"Elsa"},{"family":"Yamasue","given":"Eiji"},{"family":"Nansai","given":"Keisuke"}],"issued":{"date-parts":[["2019",9]]}}}],"schema":"https://github.com/citation-style-language/schema/raw/master/csl-citation.json"} </w:instrText>
            </w:r>
            <w:r w:rsidRPr="00F73297">
              <w:rPr>
                <w:rFonts w:eastAsia="Aptos"/>
                <w:i/>
                <w:iCs/>
                <w:color w:val="0E2841"/>
                <w:kern w:val="2"/>
                <w:sz w:val="18"/>
                <w:szCs w:val="18"/>
              </w:rPr>
              <w:fldChar w:fldCharType="separate"/>
            </w:r>
            <w:r w:rsidR="00120433">
              <w:rPr>
                <w:rFonts w:eastAsia="Aptos"/>
                <w:i/>
                <w:iCs/>
                <w:noProof/>
                <w:color w:val="0E2841"/>
                <w:kern w:val="2"/>
                <w:sz w:val="18"/>
                <w:szCs w:val="18"/>
              </w:rPr>
              <w:t>(Watari et al., 2019)</w:t>
            </w:r>
            <w:r w:rsidRPr="00F73297">
              <w:rPr>
                <w:rFonts w:eastAsia="Aptos"/>
                <w:i/>
                <w:iCs/>
                <w:color w:val="0E2841"/>
                <w:kern w:val="2"/>
                <w:sz w:val="18"/>
                <w:szCs w:val="18"/>
              </w:rPr>
              <w:fldChar w:fldCharType="end"/>
            </w:r>
          </w:p>
        </w:tc>
      </w:tr>
      <w:tr w:rsidR="00250E9B" w:rsidRPr="00F73297" w14:paraId="21300F8E" w14:textId="77777777">
        <w:trPr>
          <w:trHeight w:val="20"/>
          <w:jc w:val="center"/>
        </w:trPr>
        <w:tc>
          <w:tcPr>
            <w:tcW w:w="1252" w:type="dxa"/>
            <w:vMerge/>
            <w:vAlign w:val="center"/>
            <w:hideMark/>
          </w:tcPr>
          <w:p w14:paraId="739BAAD0" w14:textId="77777777" w:rsidR="00250E9B" w:rsidRPr="00F73297" w:rsidRDefault="00250E9B">
            <w:pPr>
              <w:jc w:val="center"/>
              <w:rPr>
                <w:rFonts w:eastAsia="Aptos"/>
                <w:i/>
                <w:iCs/>
                <w:color w:val="0E2841"/>
                <w:kern w:val="2"/>
                <w:sz w:val="18"/>
                <w:szCs w:val="18"/>
              </w:rPr>
            </w:pPr>
          </w:p>
        </w:tc>
        <w:tc>
          <w:tcPr>
            <w:tcW w:w="1328" w:type="dxa"/>
            <w:vMerge/>
            <w:vAlign w:val="center"/>
            <w:hideMark/>
          </w:tcPr>
          <w:p w14:paraId="35F4E3E0" w14:textId="77777777" w:rsidR="00250E9B" w:rsidRPr="00F73297" w:rsidRDefault="00250E9B">
            <w:pPr>
              <w:jc w:val="center"/>
              <w:rPr>
                <w:rFonts w:eastAsia="Aptos"/>
                <w:i/>
                <w:iCs/>
                <w:color w:val="0E2841"/>
                <w:kern w:val="2"/>
                <w:sz w:val="18"/>
                <w:szCs w:val="18"/>
              </w:rPr>
            </w:pPr>
          </w:p>
        </w:tc>
        <w:tc>
          <w:tcPr>
            <w:tcW w:w="1309" w:type="dxa"/>
            <w:noWrap/>
            <w:vAlign w:val="center"/>
            <w:hideMark/>
          </w:tcPr>
          <w:p w14:paraId="0ED6DB06" w14:textId="7777777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t>53.0</w:t>
            </w:r>
          </w:p>
        </w:tc>
        <w:tc>
          <w:tcPr>
            <w:tcW w:w="3194" w:type="dxa"/>
            <w:vAlign w:val="center"/>
          </w:tcPr>
          <w:p w14:paraId="639D3611" w14:textId="77D3B912"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fldChar w:fldCharType="begin"/>
            </w:r>
            <w:r w:rsidR="00120433">
              <w:rPr>
                <w:rFonts w:eastAsia="Aptos"/>
                <w:i/>
                <w:iCs/>
                <w:color w:val="0E2841"/>
                <w:kern w:val="2"/>
                <w:sz w:val="18"/>
                <w:szCs w:val="18"/>
              </w:rPr>
              <w:instrText xml:space="preserve"> ADDIN ZOTERO_ITEM CSL_CITATION {"citationID":"ldgJJtcs","properties":{"formattedCitation":"(Zhou et al., 2020)","plainCitation":"(Zhou et al., 2020)","noteIndex":0},"citationItems":[{"id":16690,"uris":["http://zotero.org/groups/5509458/items/HGS2XCRK"],"itemData":{"id":16690,"type":"article-journal","container-title":"Journal of Cleaner Production","DOI":"10.1016/j.jclepro.2020.121599","ISSN":"09596526","journalAbbreviation":"Journal of Cleaner Production","language":"en","page":"121599","source":"DOI.org (Crossref)","title":"Dynamic criticality of by-products used in thin-film photovoltaic technologies by 2050","volume":"263","author":[{"family":"Zhou","given":"Yanjing"},{"family":"Li","given":"Jianwu"},{"family":"Rechberger","given":"Helmut"},{"family":"Wang","given":"Gaoshang"},{"family":"Chen","given":"Shouyu"},{"family":"Xing","given":"Wanli"},{"family":"Li","given":"Pengyuan"}],"issued":{"date-parts":[["2020",8]]}}}],"schema":"https://github.com/citation-style-language/schema/raw/master/csl-citation.json"} </w:instrText>
            </w:r>
            <w:r w:rsidRPr="00F73297">
              <w:rPr>
                <w:rFonts w:eastAsia="Aptos"/>
                <w:i/>
                <w:iCs/>
                <w:color w:val="0E2841"/>
                <w:kern w:val="2"/>
                <w:sz w:val="18"/>
                <w:szCs w:val="18"/>
              </w:rPr>
              <w:fldChar w:fldCharType="separate"/>
            </w:r>
            <w:r w:rsidR="00120433">
              <w:rPr>
                <w:rFonts w:eastAsia="Aptos"/>
                <w:i/>
                <w:iCs/>
                <w:noProof/>
                <w:color w:val="0E2841"/>
                <w:kern w:val="2"/>
                <w:sz w:val="18"/>
                <w:szCs w:val="18"/>
              </w:rPr>
              <w:t>(Zhou et al., 2020)</w:t>
            </w:r>
            <w:r w:rsidRPr="00F73297">
              <w:rPr>
                <w:rFonts w:eastAsia="Aptos"/>
                <w:i/>
                <w:iCs/>
                <w:color w:val="0E2841"/>
                <w:kern w:val="2"/>
                <w:sz w:val="18"/>
                <w:szCs w:val="18"/>
              </w:rPr>
              <w:fldChar w:fldCharType="end"/>
            </w:r>
          </w:p>
        </w:tc>
      </w:tr>
      <w:tr w:rsidR="00250E9B" w:rsidRPr="00F73297" w14:paraId="25FEDC60" w14:textId="77777777">
        <w:trPr>
          <w:trHeight w:val="20"/>
          <w:jc w:val="center"/>
        </w:trPr>
        <w:tc>
          <w:tcPr>
            <w:tcW w:w="1252" w:type="dxa"/>
            <w:vMerge/>
            <w:vAlign w:val="center"/>
            <w:hideMark/>
          </w:tcPr>
          <w:p w14:paraId="4BD18B35" w14:textId="77777777" w:rsidR="00250E9B" w:rsidRPr="00F73297" w:rsidRDefault="00250E9B">
            <w:pPr>
              <w:jc w:val="center"/>
              <w:rPr>
                <w:rFonts w:eastAsia="Aptos"/>
                <w:i/>
                <w:iCs/>
                <w:color w:val="0E2841"/>
                <w:kern w:val="2"/>
                <w:sz w:val="18"/>
                <w:szCs w:val="18"/>
              </w:rPr>
            </w:pPr>
          </w:p>
        </w:tc>
        <w:tc>
          <w:tcPr>
            <w:tcW w:w="1328" w:type="dxa"/>
            <w:vMerge/>
            <w:vAlign w:val="center"/>
            <w:hideMark/>
          </w:tcPr>
          <w:p w14:paraId="40D65B2D" w14:textId="77777777" w:rsidR="00250E9B" w:rsidRPr="00F73297" w:rsidRDefault="00250E9B">
            <w:pPr>
              <w:jc w:val="center"/>
              <w:rPr>
                <w:rFonts w:eastAsia="Aptos"/>
                <w:i/>
                <w:iCs/>
                <w:color w:val="0E2841"/>
                <w:kern w:val="2"/>
                <w:sz w:val="18"/>
                <w:szCs w:val="18"/>
              </w:rPr>
            </w:pPr>
          </w:p>
        </w:tc>
        <w:tc>
          <w:tcPr>
            <w:tcW w:w="1309" w:type="dxa"/>
            <w:noWrap/>
            <w:vAlign w:val="center"/>
            <w:hideMark/>
          </w:tcPr>
          <w:p w14:paraId="7A74AEE7" w14:textId="7777777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t>35.0</w:t>
            </w:r>
          </w:p>
        </w:tc>
        <w:tc>
          <w:tcPr>
            <w:tcW w:w="3194" w:type="dxa"/>
            <w:vAlign w:val="center"/>
          </w:tcPr>
          <w:p w14:paraId="6966C0C9" w14:textId="200CA37A"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fldChar w:fldCharType="begin"/>
            </w:r>
            <w:r w:rsidR="00120433">
              <w:rPr>
                <w:rFonts w:eastAsia="Aptos"/>
                <w:i/>
                <w:iCs/>
                <w:color w:val="0E2841"/>
                <w:kern w:val="2"/>
                <w:sz w:val="18"/>
                <w:szCs w:val="18"/>
              </w:rPr>
              <w:instrText xml:space="preserve"> ADDIN ZOTERO_ITEM CSL_CITATION {"citationID":"6APKrg6m","properties":{"formattedCitation":"(Carrara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iCs/>
                <w:color w:val="0E2841"/>
                <w:kern w:val="2"/>
                <w:sz w:val="18"/>
                <w:szCs w:val="18"/>
              </w:rPr>
              <w:fldChar w:fldCharType="separate"/>
            </w:r>
            <w:r w:rsidR="00120433">
              <w:rPr>
                <w:rFonts w:eastAsia="Aptos"/>
                <w:i/>
                <w:iCs/>
                <w:noProof/>
                <w:color w:val="0E2841"/>
                <w:kern w:val="2"/>
                <w:sz w:val="18"/>
                <w:szCs w:val="18"/>
              </w:rPr>
              <w:t>(Carrara et al., 2020)</w:t>
            </w:r>
            <w:r w:rsidRPr="00F73297">
              <w:rPr>
                <w:rFonts w:eastAsia="Aptos"/>
                <w:i/>
                <w:iCs/>
                <w:color w:val="0E2841"/>
                <w:kern w:val="2"/>
                <w:sz w:val="18"/>
                <w:szCs w:val="18"/>
              </w:rPr>
              <w:fldChar w:fldCharType="end"/>
            </w:r>
          </w:p>
        </w:tc>
      </w:tr>
      <w:tr w:rsidR="00250E9B" w:rsidRPr="00F73297" w14:paraId="28CE8A55" w14:textId="77777777">
        <w:trPr>
          <w:trHeight w:val="20"/>
          <w:jc w:val="center"/>
        </w:trPr>
        <w:tc>
          <w:tcPr>
            <w:tcW w:w="1252" w:type="dxa"/>
            <w:vMerge/>
            <w:vAlign w:val="center"/>
            <w:hideMark/>
          </w:tcPr>
          <w:p w14:paraId="3D59244B" w14:textId="77777777" w:rsidR="00250E9B" w:rsidRPr="00F73297" w:rsidRDefault="00250E9B">
            <w:pPr>
              <w:jc w:val="center"/>
              <w:rPr>
                <w:rFonts w:eastAsia="Aptos"/>
                <w:i/>
                <w:iCs/>
                <w:color w:val="0E2841"/>
                <w:kern w:val="2"/>
                <w:sz w:val="18"/>
                <w:szCs w:val="18"/>
              </w:rPr>
            </w:pPr>
          </w:p>
        </w:tc>
        <w:tc>
          <w:tcPr>
            <w:tcW w:w="1328" w:type="dxa"/>
            <w:vMerge/>
            <w:vAlign w:val="center"/>
            <w:hideMark/>
          </w:tcPr>
          <w:p w14:paraId="1FD22DC9" w14:textId="77777777" w:rsidR="00250E9B" w:rsidRPr="00F73297" w:rsidRDefault="00250E9B">
            <w:pPr>
              <w:jc w:val="center"/>
              <w:rPr>
                <w:rFonts w:eastAsia="Aptos"/>
                <w:i/>
                <w:iCs/>
                <w:color w:val="0E2841"/>
                <w:kern w:val="2"/>
                <w:sz w:val="18"/>
                <w:szCs w:val="18"/>
              </w:rPr>
            </w:pPr>
          </w:p>
        </w:tc>
        <w:tc>
          <w:tcPr>
            <w:tcW w:w="1309" w:type="dxa"/>
            <w:noWrap/>
            <w:vAlign w:val="center"/>
            <w:hideMark/>
          </w:tcPr>
          <w:p w14:paraId="5D333802" w14:textId="7777777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t>50.0</w:t>
            </w:r>
          </w:p>
        </w:tc>
        <w:tc>
          <w:tcPr>
            <w:tcW w:w="3194" w:type="dxa"/>
            <w:vAlign w:val="center"/>
          </w:tcPr>
          <w:p w14:paraId="10F88337" w14:textId="3554EAF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fldChar w:fldCharType="begin"/>
            </w:r>
            <w:r w:rsidR="00120433">
              <w:rPr>
                <w:rFonts w:eastAsia="Aptos"/>
                <w:i/>
                <w:iCs/>
                <w:color w:val="0E2841"/>
                <w:kern w:val="2"/>
                <w:sz w:val="18"/>
                <w:szCs w:val="18"/>
              </w:rPr>
              <w:instrText xml:space="preserve"> ADDIN ZOTERO_ITEM CSL_CITATION {"citationID":"AMg1HxwO","properties":{"formattedCitation":"(Carrara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iCs/>
                <w:color w:val="0E2841"/>
                <w:kern w:val="2"/>
                <w:sz w:val="18"/>
                <w:szCs w:val="18"/>
              </w:rPr>
              <w:fldChar w:fldCharType="separate"/>
            </w:r>
            <w:r w:rsidR="00120433">
              <w:rPr>
                <w:rFonts w:eastAsia="Aptos"/>
                <w:i/>
                <w:iCs/>
                <w:noProof/>
                <w:color w:val="0E2841"/>
                <w:kern w:val="2"/>
                <w:sz w:val="18"/>
                <w:szCs w:val="18"/>
              </w:rPr>
              <w:t>(Carrara et al., 2020)</w:t>
            </w:r>
            <w:r w:rsidRPr="00F73297">
              <w:rPr>
                <w:rFonts w:eastAsia="Aptos"/>
                <w:i/>
                <w:iCs/>
                <w:color w:val="0E2841"/>
                <w:kern w:val="2"/>
                <w:sz w:val="18"/>
                <w:szCs w:val="18"/>
              </w:rPr>
              <w:fldChar w:fldCharType="end"/>
            </w:r>
          </w:p>
        </w:tc>
      </w:tr>
      <w:tr w:rsidR="00250E9B" w:rsidRPr="00F73297" w14:paraId="5748BDFB" w14:textId="77777777">
        <w:trPr>
          <w:trHeight w:val="20"/>
          <w:jc w:val="center"/>
        </w:trPr>
        <w:tc>
          <w:tcPr>
            <w:tcW w:w="1252" w:type="dxa"/>
            <w:vMerge/>
            <w:vAlign w:val="center"/>
            <w:hideMark/>
          </w:tcPr>
          <w:p w14:paraId="169D9EF2" w14:textId="77777777" w:rsidR="00250E9B" w:rsidRPr="00F73297" w:rsidRDefault="00250E9B">
            <w:pPr>
              <w:jc w:val="center"/>
              <w:rPr>
                <w:rFonts w:eastAsia="Aptos"/>
                <w:i/>
                <w:iCs/>
                <w:color w:val="0E2841"/>
                <w:kern w:val="2"/>
                <w:sz w:val="18"/>
                <w:szCs w:val="18"/>
              </w:rPr>
            </w:pPr>
          </w:p>
        </w:tc>
        <w:tc>
          <w:tcPr>
            <w:tcW w:w="1328" w:type="dxa"/>
            <w:vMerge/>
            <w:vAlign w:val="center"/>
            <w:hideMark/>
          </w:tcPr>
          <w:p w14:paraId="37E76901" w14:textId="77777777" w:rsidR="00250E9B" w:rsidRPr="00F73297" w:rsidRDefault="00250E9B">
            <w:pPr>
              <w:jc w:val="center"/>
              <w:rPr>
                <w:rFonts w:eastAsia="Aptos"/>
                <w:i/>
                <w:iCs/>
                <w:color w:val="0E2841"/>
                <w:kern w:val="2"/>
                <w:sz w:val="18"/>
                <w:szCs w:val="18"/>
              </w:rPr>
            </w:pPr>
          </w:p>
        </w:tc>
        <w:tc>
          <w:tcPr>
            <w:tcW w:w="1309" w:type="dxa"/>
            <w:noWrap/>
            <w:vAlign w:val="center"/>
            <w:hideMark/>
          </w:tcPr>
          <w:p w14:paraId="43B422F4" w14:textId="7777777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t>85.0</w:t>
            </w:r>
          </w:p>
        </w:tc>
        <w:tc>
          <w:tcPr>
            <w:tcW w:w="3194" w:type="dxa"/>
            <w:vAlign w:val="center"/>
          </w:tcPr>
          <w:p w14:paraId="70ADD171" w14:textId="10D2F402"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fldChar w:fldCharType="begin"/>
            </w:r>
            <w:r w:rsidR="00120433">
              <w:rPr>
                <w:rFonts w:eastAsia="Aptos"/>
                <w:i/>
                <w:iCs/>
                <w:color w:val="0E2841"/>
                <w:kern w:val="2"/>
                <w:sz w:val="18"/>
                <w:szCs w:val="18"/>
              </w:rPr>
              <w:instrText xml:space="preserve"> ADDIN ZOTERO_ITEM CSL_CITATION {"citationID":"pj3OySGr","properties":{"formattedCitation":"(Carrara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iCs/>
                <w:color w:val="0E2841"/>
                <w:kern w:val="2"/>
                <w:sz w:val="18"/>
                <w:szCs w:val="18"/>
              </w:rPr>
              <w:fldChar w:fldCharType="separate"/>
            </w:r>
            <w:r w:rsidR="00120433">
              <w:rPr>
                <w:rFonts w:eastAsia="Aptos"/>
                <w:i/>
                <w:iCs/>
                <w:noProof/>
                <w:color w:val="0E2841"/>
                <w:kern w:val="2"/>
                <w:sz w:val="18"/>
                <w:szCs w:val="18"/>
              </w:rPr>
              <w:t>(Carrara et al., 2020)</w:t>
            </w:r>
            <w:r w:rsidRPr="00F73297">
              <w:rPr>
                <w:rFonts w:eastAsia="Aptos"/>
                <w:i/>
                <w:iCs/>
                <w:color w:val="0E2841"/>
                <w:kern w:val="2"/>
                <w:sz w:val="18"/>
                <w:szCs w:val="18"/>
              </w:rPr>
              <w:fldChar w:fldCharType="end"/>
            </w:r>
          </w:p>
        </w:tc>
      </w:tr>
      <w:tr w:rsidR="00250E9B" w:rsidRPr="00F73297" w14:paraId="2A515F1A" w14:textId="77777777">
        <w:trPr>
          <w:trHeight w:val="20"/>
          <w:jc w:val="center"/>
        </w:trPr>
        <w:tc>
          <w:tcPr>
            <w:tcW w:w="1252" w:type="dxa"/>
            <w:vMerge/>
            <w:vAlign w:val="center"/>
            <w:hideMark/>
          </w:tcPr>
          <w:p w14:paraId="1CAD2F9C" w14:textId="77777777" w:rsidR="00250E9B" w:rsidRPr="00F73297" w:rsidRDefault="00250E9B">
            <w:pPr>
              <w:jc w:val="center"/>
              <w:rPr>
                <w:rFonts w:eastAsia="Aptos"/>
                <w:i/>
                <w:iCs/>
                <w:color w:val="0E2841"/>
                <w:kern w:val="2"/>
                <w:sz w:val="18"/>
                <w:szCs w:val="18"/>
              </w:rPr>
            </w:pPr>
          </w:p>
        </w:tc>
        <w:tc>
          <w:tcPr>
            <w:tcW w:w="1328" w:type="dxa"/>
            <w:vMerge w:val="restart"/>
            <w:noWrap/>
            <w:vAlign w:val="center"/>
            <w:hideMark/>
          </w:tcPr>
          <w:p w14:paraId="3B083CF4" w14:textId="77777777" w:rsidR="00250E9B" w:rsidRDefault="00250E9B">
            <w:pPr>
              <w:jc w:val="center"/>
              <w:rPr>
                <w:rFonts w:eastAsia="Aptos"/>
                <w:i/>
                <w:iCs/>
                <w:color w:val="0E2841"/>
                <w:kern w:val="2"/>
                <w:sz w:val="18"/>
                <w:szCs w:val="18"/>
              </w:rPr>
            </w:pPr>
            <w:r w:rsidRPr="00F73297">
              <w:rPr>
                <w:rFonts w:eastAsia="Aptos"/>
                <w:i/>
                <w:iCs/>
                <w:color w:val="0E2841"/>
                <w:kern w:val="2"/>
                <w:sz w:val="18"/>
                <w:szCs w:val="18"/>
              </w:rPr>
              <w:t>Tellurium</w:t>
            </w:r>
          </w:p>
          <w:p w14:paraId="461728D8" w14:textId="77777777" w:rsidR="00250E9B" w:rsidRPr="00F73297" w:rsidRDefault="00250E9B">
            <w:pPr>
              <w:jc w:val="center"/>
              <w:rPr>
                <w:rFonts w:eastAsia="Aptos"/>
                <w:i/>
                <w:iCs/>
                <w:color w:val="0E2841"/>
                <w:kern w:val="2"/>
                <w:sz w:val="18"/>
                <w:szCs w:val="18"/>
              </w:rPr>
            </w:pPr>
            <w:proofErr w:type="spellStart"/>
            <w:r>
              <w:rPr>
                <w:rFonts w:eastAsia="Aptos"/>
                <w:i/>
                <w:iCs/>
                <w:color w:val="0E2841"/>
                <w:kern w:val="2"/>
                <w:sz w:val="18"/>
                <w:szCs w:val="18"/>
              </w:rPr>
              <w:t>Te</w:t>
            </w:r>
            <w:proofErr w:type="spellEnd"/>
          </w:p>
        </w:tc>
        <w:tc>
          <w:tcPr>
            <w:tcW w:w="1309" w:type="dxa"/>
            <w:noWrap/>
            <w:vAlign w:val="center"/>
            <w:hideMark/>
          </w:tcPr>
          <w:p w14:paraId="0186B5E6" w14:textId="7777777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t>70.0</w:t>
            </w:r>
          </w:p>
        </w:tc>
        <w:tc>
          <w:tcPr>
            <w:tcW w:w="3194" w:type="dxa"/>
            <w:vAlign w:val="center"/>
          </w:tcPr>
          <w:p w14:paraId="27FCDA59" w14:textId="7C2C8297" w:rsidR="00250E9B" w:rsidRPr="00F73297" w:rsidRDefault="00250E9B">
            <w:pPr>
              <w:jc w:val="center"/>
              <w:rPr>
                <w:rFonts w:eastAsia="Aptos"/>
                <w:i/>
                <w:iCs/>
                <w:color w:val="0E2841"/>
                <w:kern w:val="2"/>
                <w:sz w:val="18"/>
                <w:szCs w:val="18"/>
              </w:rPr>
            </w:pPr>
            <w:r w:rsidRPr="00F73297">
              <w:rPr>
                <w:rFonts w:eastAsia="Aptos"/>
                <w:i/>
                <w:iCs/>
                <w:noProof/>
                <w:color w:val="0E2841"/>
                <w:kern w:val="2"/>
                <w:sz w:val="18"/>
                <w:szCs w:val="18"/>
              </w:rPr>
              <w:fldChar w:fldCharType="begin"/>
            </w:r>
            <w:r w:rsidR="00120433">
              <w:rPr>
                <w:rFonts w:eastAsia="Aptos"/>
                <w:i/>
                <w:iCs/>
                <w:noProof/>
                <w:color w:val="0E2841"/>
                <w:kern w:val="2"/>
                <w:sz w:val="18"/>
                <w:szCs w:val="18"/>
              </w:rPr>
              <w:instrText xml:space="preserve"> ADDIN ZOTERO_ITEM CSL_CITATION {"citationID":"oev52TWf","properties":{"formattedCitation":"(M\\uc0\\u229{}nberger &amp; Stenqvist, 2018)","plainCitation":"(Månberger &amp; Stenqvist, 2018)","noteIndex":0},"citationItems":[{"id":16607,"uris":["http://zotero.org/groups/5509458/items/ETUG7SXT"],"itemData":{"id":16607,"type":"article-journal","container-title":"Energy Policy","DOI":"10.1016/j.enpol.2018.04.056","ISSN":"03014215","journalAbbreviation":"Energy Policy","language":"en","page":"226-241","source":"DOI.org (Crossref)","title":"Global metal flows in the renewable energy transition: Exploring the effects of substitutes, technological mix and development","title-short":"Global metal flows in the renewable energy transition","volume":"119","author":[{"family":"Månberger","given":"André"},{"family":"Stenqvist","given":"Björn"}],"issued":{"date-parts":[["2018",8]]}}}],"schema":"https://github.com/citation-style-language/schema/raw/master/csl-citation.json"} </w:instrText>
            </w:r>
            <w:r w:rsidRPr="00F73297">
              <w:rPr>
                <w:rFonts w:eastAsia="Aptos"/>
                <w:i/>
                <w:iCs/>
                <w:noProof/>
                <w:color w:val="0E2841"/>
                <w:kern w:val="2"/>
                <w:sz w:val="18"/>
                <w:szCs w:val="18"/>
              </w:rPr>
              <w:fldChar w:fldCharType="separate"/>
            </w:r>
            <w:r w:rsidR="00175D8C" w:rsidRPr="00120433">
              <w:rPr>
                <w:color w:val="008080"/>
                <w:sz w:val="18"/>
                <w:szCs w:val="24"/>
                <w:lang w:val="en-GB" w:eastAsia="en-GB"/>
              </w:rPr>
              <w:t>(</w:t>
            </w:r>
            <w:proofErr w:type="spellStart"/>
            <w:r w:rsidR="00175D8C" w:rsidRPr="00120433">
              <w:rPr>
                <w:color w:val="008080"/>
                <w:sz w:val="18"/>
                <w:szCs w:val="24"/>
                <w:lang w:val="en-GB" w:eastAsia="en-GB"/>
              </w:rPr>
              <w:t>Månberger</w:t>
            </w:r>
            <w:proofErr w:type="spellEnd"/>
            <w:r w:rsidR="00175D8C" w:rsidRPr="00120433">
              <w:rPr>
                <w:color w:val="008080"/>
                <w:sz w:val="18"/>
                <w:szCs w:val="24"/>
                <w:lang w:val="en-GB" w:eastAsia="en-GB"/>
              </w:rPr>
              <w:t xml:space="preserve"> &amp; </w:t>
            </w:r>
            <w:proofErr w:type="spellStart"/>
            <w:r w:rsidR="00175D8C" w:rsidRPr="00120433">
              <w:rPr>
                <w:color w:val="008080"/>
                <w:sz w:val="18"/>
                <w:szCs w:val="24"/>
                <w:lang w:val="en-GB" w:eastAsia="en-GB"/>
              </w:rPr>
              <w:t>Stenqvist</w:t>
            </w:r>
            <w:proofErr w:type="spellEnd"/>
            <w:r w:rsidR="00175D8C" w:rsidRPr="00120433">
              <w:rPr>
                <w:color w:val="008080"/>
                <w:sz w:val="18"/>
                <w:szCs w:val="24"/>
                <w:lang w:val="en-GB" w:eastAsia="en-GB"/>
              </w:rPr>
              <w:t>, 2018)</w:t>
            </w:r>
            <w:r w:rsidRPr="00F73297">
              <w:rPr>
                <w:rFonts w:eastAsia="Aptos"/>
                <w:i/>
                <w:iCs/>
                <w:noProof/>
                <w:color w:val="0E2841"/>
                <w:kern w:val="2"/>
                <w:sz w:val="18"/>
                <w:szCs w:val="18"/>
              </w:rPr>
              <w:fldChar w:fldCharType="end"/>
            </w:r>
          </w:p>
        </w:tc>
      </w:tr>
      <w:tr w:rsidR="00250E9B" w:rsidRPr="00F73297" w14:paraId="15C493AE" w14:textId="77777777">
        <w:trPr>
          <w:trHeight w:val="20"/>
          <w:jc w:val="center"/>
        </w:trPr>
        <w:tc>
          <w:tcPr>
            <w:tcW w:w="1252" w:type="dxa"/>
            <w:vMerge/>
            <w:vAlign w:val="center"/>
            <w:hideMark/>
          </w:tcPr>
          <w:p w14:paraId="0EBA3477" w14:textId="77777777" w:rsidR="00250E9B" w:rsidRPr="00F73297" w:rsidRDefault="00250E9B">
            <w:pPr>
              <w:jc w:val="center"/>
              <w:rPr>
                <w:rFonts w:eastAsia="Aptos"/>
                <w:i/>
                <w:iCs/>
                <w:color w:val="0E2841"/>
                <w:kern w:val="2"/>
                <w:sz w:val="18"/>
                <w:szCs w:val="18"/>
              </w:rPr>
            </w:pPr>
          </w:p>
        </w:tc>
        <w:tc>
          <w:tcPr>
            <w:tcW w:w="1328" w:type="dxa"/>
            <w:vMerge/>
            <w:vAlign w:val="center"/>
            <w:hideMark/>
          </w:tcPr>
          <w:p w14:paraId="187B640E" w14:textId="77777777" w:rsidR="00250E9B" w:rsidRPr="00F73297" w:rsidRDefault="00250E9B">
            <w:pPr>
              <w:jc w:val="center"/>
              <w:rPr>
                <w:rFonts w:eastAsia="Aptos"/>
                <w:i/>
                <w:iCs/>
                <w:color w:val="0E2841"/>
                <w:kern w:val="2"/>
                <w:sz w:val="18"/>
                <w:szCs w:val="18"/>
              </w:rPr>
            </w:pPr>
          </w:p>
        </w:tc>
        <w:tc>
          <w:tcPr>
            <w:tcW w:w="1309" w:type="dxa"/>
            <w:noWrap/>
            <w:vAlign w:val="center"/>
            <w:hideMark/>
          </w:tcPr>
          <w:p w14:paraId="50BA2C5D" w14:textId="7777777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t>65.4</w:t>
            </w:r>
          </w:p>
        </w:tc>
        <w:tc>
          <w:tcPr>
            <w:tcW w:w="3194" w:type="dxa"/>
            <w:vAlign w:val="center"/>
          </w:tcPr>
          <w:p w14:paraId="1144C19E" w14:textId="34651CE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fldChar w:fldCharType="begin"/>
            </w:r>
            <w:r w:rsidR="00175D8C">
              <w:rPr>
                <w:rFonts w:eastAsia="Aptos"/>
                <w:i/>
                <w:iCs/>
                <w:color w:val="0E2841"/>
                <w:kern w:val="2"/>
                <w:sz w:val="18"/>
                <w:szCs w:val="18"/>
              </w:rPr>
              <w:instrText xml:space="preserve"> ADDIN ZOTERO_ITEM CSL_CITATION {"citationID":"HBLckzuL","properties":{"formattedCitation":"(Valero et al., 2018)","plainCitation":"(Valero et al., 2018)","noteIndex":0},"citationItems":[{"id":15668,"uris":["http://zotero.org/groups/5033565/items/ND7LTATV"],"itemData":{"id":15668,"type":"article-journal","container-title":"Renewable and Sustainable Energy Reviews","DOI":"10.1016/j.rser.2018.05.041","ISSN":"13640321","journalAbbreviation":"Renewable and Sustainable Energy Reviews","language":"en","page":"178-200","source":"DOI.org (Crossref)","title":"Material bottlenecks in the future development of green technologies","volume":"93","author":[{"family":"Valero","given":"Alicia"},{"family":"Valero","given":"Antonio"},{"family":"Calvo","given":"Guiomar"},{"family":"Ortego","given":"Abel"}],"issued":{"date-parts":[["2018",10]]}}}],"schema":"https://github.com/citation-style-language/schema/raw/master/csl-citation.json"} </w:instrText>
            </w:r>
            <w:r w:rsidRPr="00F73297">
              <w:rPr>
                <w:rFonts w:eastAsia="Aptos"/>
                <w:i/>
                <w:iCs/>
                <w:color w:val="0E2841"/>
                <w:kern w:val="2"/>
                <w:sz w:val="18"/>
                <w:szCs w:val="18"/>
              </w:rPr>
              <w:fldChar w:fldCharType="separate"/>
            </w:r>
            <w:r w:rsidR="00175D8C">
              <w:rPr>
                <w:rFonts w:eastAsia="Aptos"/>
                <w:i/>
                <w:iCs/>
                <w:noProof/>
                <w:color w:val="0E2841"/>
                <w:kern w:val="2"/>
                <w:sz w:val="18"/>
                <w:szCs w:val="18"/>
              </w:rPr>
              <w:t>(Valero et al., 2018)</w:t>
            </w:r>
            <w:r w:rsidRPr="00F73297">
              <w:rPr>
                <w:rFonts w:eastAsia="Aptos"/>
                <w:i/>
                <w:iCs/>
                <w:color w:val="0E2841"/>
                <w:kern w:val="2"/>
                <w:sz w:val="18"/>
                <w:szCs w:val="18"/>
              </w:rPr>
              <w:fldChar w:fldCharType="end"/>
            </w:r>
          </w:p>
        </w:tc>
      </w:tr>
      <w:tr w:rsidR="00250E9B" w:rsidRPr="00F73297" w14:paraId="0B330B28" w14:textId="77777777">
        <w:trPr>
          <w:trHeight w:val="20"/>
          <w:jc w:val="center"/>
        </w:trPr>
        <w:tc>
          <w:tcPr>
            <w:tcW w:w="1252" w:type="dxa"/>
            <w:vMerge/>
            <w:vAlign w:val="center"/>
            <w:hideMark/>
          </w:tcPr>
          <w:p w14:paraId="3162466A" w14:textId="77777777" w:rsidR="00250E9B" w:rsidRPr="00F73297" w:rsidRDefault="00250E9B">
            <w:pPr>
              <w:jc w:val="center"/>
              <w:rPr>
                <w:rFonts w:eastAsia="Aptos"/>
                <w:i/>
                <w:iCs/>
                <w:color w:val="0E2841"/>
                <w:kern w:val="2"/>
                <w:sz w:val="18"/>
                <w:szCs w:val="18"/>
              </w:rPr>
            </w:pPr>
          </w:p>
        </w:tc>
        <w:tc>
          <w:tcPr>
            <w:tcW w:w="1328" w:type="dxa"/>
            <w:vMerge/>
            <w:vAlign w:val="center"/>
            <w:hideMark/>
          </w:tcPr>
          <w:p w14:paraId="22341FEF" w14:textId="77777777" w:rsidR="00250E9B" w:rsidRPr="00F73297" w:rsidRDefault="00250E9B">
            <w:pPr>
              <w:jc w:val="center"/>
              <w:rPr>
                <w:rFonts w:eastAsia="Aptos"/>
                <w:i/>
                <w:iCs/>
                <w:color w:val="0E2841"/>
                <w:kern w:val="2"/>
                <w:sz w:val="18"/>
                <w:szCs w:val="18"/>
              </w:rPr>
            </w:pPr>
          </w:p>
        </w:tc>
        <w:tc>
          <w:tcPr>
            <w:tcW w:w="1309" w:type="dxa"/>
            <w:noWrap/>
            <w:vAlign w:val="center"/>
            <w:hideMark/>
          </w:tcPr>
          <w:p w14:paraId="44B9DBFB" w14:textId="7777777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t>97.5</w:t>
            </w:r>
          </w:p>
        </w:tc>
        <w:tc>
          <w:tcPr>
            <w:tcW w:w="3194" w:type="dxa"/>
            <w:vAlign w:val="center"/>
          </w:tcPr>
          <w:p w14:paraId="293902F4" w14:textId="1641A2D4"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fldChar w:fldCharType="begin"/>
            </w:r>
            <w:r w:rsidR="00175D8C">
              <w:rPr>
                <w:rFonts w:eastAsia="Aptos"/>
                <w:i/>
                <w:iCs/>
                <w:color w:val="0E2841"/>
                <w:kern w:val="2"/>
                <w:sz w:val="18"/>
                <w:szCs w:val="18"/>
              </w:rPr>
              <w:instrText xml:space="preserve"> ADDIN ZOTERO_ITEM CSL_CITATION {"citationID":"eyK5SftO","properties":{"formattedCitation":"(Elshkaki &amp; Shen, 2019)","plainCitation":"(Elshkaki &amp; Shen, 2019)","noteIndex":0},"citationItems":[{"id":16580,"uris":["http://zotero.org/groups/5509458/items/29GCVUC4"],"itemData":{"id":16580,"type":"article-journal","container-title":"Energy","DOI":"10.1016/j.energy.2019.05.156","ISSN":"03605442","journalAbbreviation":"Energy","language":"en","page":"903-917","source":"DOI.org (Crossref)","title":"Energy-material nexus: The impacts of national and international energy scenarios on critical metals use in China up to 2050 and their global implications","title-short":"Energy-material nexus","volume":"180","author":[{"family":"Elshkaki","given":"Ayman"},{"family":"Shen","given":"Lei"}],"issued":{"date-parts":[["2019",8]]}}}],"schema":"https://github.com/citation-style-language/schema/raw/master/csl-citation.json"} </w:instrText>
            </w:r>
            <w:r w:rsidRPr="00F73297">
              <w:rPr>
                <w:rFonts w:eastAsia="Aptos"/>
                <w:i/>
                <w:iCs/>
                <w:color w:val="0E2841"/>
                <w:kern w:val="2"/>
                <w:sz w:val="18"/>
                <w:szCs w:val="18"/>
              </w:rPr>
              <w:fldChar w:fldCharType="separate"/>
            </w:r>
            <w:r w:rsidR="00175D8C">
              <w:rPr>
                <w:rFonts w:eastAsia="Aptos"/>
                <w:i/>
                <w:iCs/>
                <w:noProof/>
                <w:color w:val="0E2841"/>
                <w:kern w:val="2"/>
                <w:sz w:val="18"/>
                <w:szCs w:val="18"/>
              </w:rPr>
              <w:t>(Elshkaki &amp; Shen, 2019)</w:t>
            </w:r>
            <w:r w:rsidRPr="00F73297">
              <w:rPr>
                <w:rFonts w:eastAsia="Aptos"/>
                <w:i/>
                <w:iCs/>
                <w:color w:val="0E2841"/>
                <w:kern w:val="2"/>
                <w:sz w:val="18"/>
                <w:szCs w:val="18"/>
              </w:rPr>
              <w:fldChar w:fldCharType="end"/>
            </w:r>
          </w:p>
        </w:tc>
      </w:tr>
      <w:tr w:rsidR="00250E9B" w:rsidRPr="00F73297" w14:paraId="3A14B893" w14:textId="77777777">
        <w:trPr>
          <w:trHeight w:val="20"/>
          <w:jc w:val="center"/>
        </w:trPr>
        <w:tc>
          <w:tcPr>
            <w:tcW w:w="1252" w:type="dxa"/>
            <w:vMerge/>
            <w:vAlign w:val="center"/>
            <w:hideMark/>
          </w:tcPr>
          <w:p w14:paraId="403FC011" w14:textId="77777777" w:rsidR="00250E9B" w:rsidRPr="00F73297" w:rsidRDefault="00250E9B">
            <w:pPr>
              <w:jc w:val="center"/>
              <w:rPr>
                <w:rFonts w:eastAsia="Aptos"/>
                <w:i/>
                <w:iCs/>
                <w:color w:val="0E2841"/>
                <w:kern w:val="2"/>
                <w:sz w:val="18"/>
                <w:szCs w:val="18"/>
              </w:rPr>
            </w:pPr>
          </w:p>
        </w:tc>
        <w:tc>
          <w:tcPr>
            <w:tcW w:w="1328" w:type="dxa"/>
            <w:vMerge/>
            <w:vAlign w:val="center"/>
            <w:hideMark/>
          </w:tcPr>
          <w:p w14:paraId="68B83167" w14:textId="77777777" w:rsidR="00250E9B" w:rsidRPr="00F73297" w:rsidRDefault="00250E9B">
            <w:pPr>
              <w:jc w:val="center"/>
              <w:rPr>
                <w:rFonts w:eastAsia="Aptos"/>
                <w:i/>
                <w:iCs/>
                <w:color w:val="0E2841"/>
                <w:kern w:val="2"/>
                <w:sz w:val="18"/>
                <w:szCs w:val="18"/>
              </w:rPr>
            </w:pPr>
          </w:p>
        </w:tc>
        <w:tc>
          <w:tcPr>
            <w:tcW w:w="1309" w:type="dxa"/>
            <w:noWrap/>
            <w:vAlign w:val="center"/>
            <w:hideMark/>
          </w:tcPr>
          <w:p w14:paraId="7D4C2577" w14:textId="7777777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t>92.0</w:t>
            </w:r>
          </w:p>
        </w:tc>
        <w:tc>
          <w:tcPr>
            <w:tcW w:w="3194" w:type="dxa"/>
            <w:vAlign w:val="center"/>
          </w:tcPr>
          <w:p w14:paraId="6D463965" w14:textId="7D13B5CF"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fldChar w:fldCharType="begin"/>
            </w:r>
            <w:r w:rsidR="00175D8C">
              <w:rPr>
                <w:rFonts w:eastAsia="Aptos"/>
                <w:i/>
                <w:iCs/>
                <w:color w:val="0E2841"/>
                <w:kern w:val="2"/>
                <w:sz w:val="18"/>
                <w:szCs w:val="18"/>
              </w:rPr>
              <w:instrText xml:space="preserve"> ADDIN ZOTERO_ITEM CSL_CITATION {"citationID":"vYCcjhUQ","properties":{"formattedCitation":"(Watari et al., 2019)","plainCitation":"(Watari et al., 2019)","noteIndex":0},"citationItems":[{"id":16645,"uris":["http://zotero.org/groups/5509458/items/SSAPB4AV"],"itemData":{"id":16645,"type":"article-journal","container-title":"Resources, Conservation and Recycling","DOI":"10.1016/j.resconrec.2019.05.015","ISSN":"09213449","journalAbbreviation":"Resources, Conservation and Recycling","language":"en","page":"91-103","source":"DOI.org (Crossref)","title":"Total material requirement for the global energy transition to 2050: A focus on transport and electricity","title-short":"Total material requirement for the global energy transition to 2050","volume":"148","author":[{"family":"Watari","given":"Takuma"},{"family":"McLellan","given":"Benjamin C."},{"family":"Giurco","given":"Damien"},{"family":"Dominish","given":"Elsa"},{"family":"Yamasue","given":"Eiji"},{"family":"Nansai","given":"Keisuke"}],"issued":{"date-parts":[["2019",9]]}}}],"schema":"https://github.com/citation-style-language/schema/raw/master/csl-citation.json"} </w:instrText>
            </w:r>
            <w:r w:rsidRPr="00F73297">
              <w:rPr>
                <w:rFonts w:eastAsia="Aptos"/>
                <w:i/>
                <w:iCs/>
                <w:color w:val="0E2841"/>
                <w:kern w:val="2"/>
                <w:sz w:val="18"/>
                <w:szCs w:val="18"/>
              </w:rPr>
              <w:fldChar w:fldCharType="separate"/>
            </w:r>
            <w:r w:rsidR="00175D8C">
              <w:rPr>
                <w:rFonts w:eastAsia="Aptos"/>
                <w:i/>
                <w:iCs/>
                <w:noProof/>
                <w:color w:val="0E2841"/>
                <w:kern w:val="2"/>
                <w:sz w:val="18"/>
                <w:szCs w:val="18"/>
              </w:rPr>
              <w:t>(Watari et al., 2019)</w:t>
            </w:r>
            <w:r w:rsidRPr="00F73297">
              <w:rPr>
                <w:rFonts w:eastAsia="Aptos"/>
                <w:i/>
                <w:iCs/>
                <w:color w:val="0E2841"/>
                <w:kern w:val="2"/>
                <w:sz w:val="18"/>
                <w:szCs w:val="18"/>
              </w:rPr>
              <w:fldChar w:fldCharType="end"/>
            </w:r>
          </w:p>
        </w:tc>
      </w:tr>
      <w:tr w:rsidR="00250E9B" w:rsidRPr="00F73297" w14:paraId="238198A3" w14:textId="77777777">
        <w:trPr>
          <w:trHeight w:val="20"/>
          <w:jc w:val="center"/>
        </w:trPr>
        <w:tc>
          <w:tcPr>
            <w:tcW w:w="1252" w:type="dxa"/>
            <w:vMerge/>
            <w:vAlign w:val="center"/>
            <w:hideMark/>
          </w:tcPr>
          <w:p w14:paraId="47F9B3FF" w14:textId="77777777" w:rsidR="00250E9B" w:rsidRPr="00F73297" w:rsidRDefault="00250E9B">
            <w:pPr>
              <w:jc w:val="center"/>
              <w:rPr>
                <w:rFonts w:eastAsia="Aptos"/>
                <w:i/>
                <w:iCs/>
                <w:color w:val="0E2841"/>
                <w:kern w:val="2"/>
                <w:sz w:val="18"/>
                <w:szCs w:val="18"/>
              </w:rPr>
            </w:pPr>
          </w:p>
        </w:tc>
        <w:tc>
          <w:tcPr>
            <w:tcW w:w="1328" w:type="dxa"/>
            <w:vMerge/>
            <w:vAlign w:val="center"/>
            <w:hideMark/>
          </w:tcPr>
          <w:p w14:paraId="517B1A3F" w14:textId="77777777" w:rsidR="00250E9B" w:rsidRPr="00F73297" w:rsidRDefault="00250E9B">
            <w:pPr>
              <w:jc w:val="center"/>
              <w:rPr>
                <w:rFonts w:eastAsia="Aptos"/>
                <w:i/>
                <w:iCs/>
                <w:color w:val="0E2841"/>
                <w:kern w:val="2"/>
                <w:sz w:val="18"/>
                <w:szCs w:val="18"/>
              </w:rPr>
            </w:pPr>
          </w:p>
        </w:tc>
        <w:tc>
          <w:tcPr>
            <w:tcW w:w="1309" w:type="dxa"/>
            <w:noWrap/>
            <w:vAlign w:val="center"/>
            <w:hideMark/>
          </w:tcPr>
          <w:p w14:paraId="7AAAD034" w14:textId="7777777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t>41.0</w:t>
            </w:r>
          </w:p>
        </w:tc>
        <w:tc>
          <w:tcPr>
            <w:tcW w:w="3194" w:type="dxa"/>
            <w:vAlign w:val="center"/>
          </w:tcPr>
          <w:p w14:paraId="06025B9F" w14:textId="5C8E669F"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fldChar w:fldCharType="begin"/>
            </w:r>
            <w:r w:rsidR="00175D8C">
              <w:rPr>
                <w:rFonts w:eastAsia="Aptos"/>
                <w:i/>
                <w:iCs/>
                <w:color w:val="0E2841"/>
                <w:kern w:val="2"/>
                <w:sz w:val="18"/>
                <w:szCs w:val="18"/>
              </w:rPr>
              <w:instrText xml:space="preserve"> ADDIN ZOTERO_ITEM CSL_CITATION {"citationID":"VvXoBjlP","properties":{"formattedCitation":"(Zhou et al., 2020)","plainCitation":"(Zhou et al., 2020)","noteIndex":0},"citationItems":[{"id":16690,"uris":["http://zotero.org/groups/5509458/items/HGS2XCRK"],"itemData":{"id":16690,"type":"article-journal","container-title":"Journal of Cleaner Production","DOI":"10.1016/j.jclepro.2020.121599","ISSN":"09596526","journalAbbreviation":"Journal of Cleaner Production","language":"en","page":"121599","source":"DOI.org (Crossref)","title":"Dynamic criticality of by-products used in thin-film photovoltaic technologies by 2050","volume":"263","author":[{"family":"Zhou","given":"Yanjing"},{"family":"Li","given":"Jianwu"},{"family":"Rechberger","given":"Helmut"},{"family":"Wang","given":"Gaoshang"},{"family":"Chen","given":"Shouyu"},{"family":"Xing","given":"Wanli"},{"family":"Li","given":"Pengyuan"}],"issued":{"date-parts":[["2020",8]]}}}],"schema":"https://github.com/citation-style-language/schema/raw/master/csl-citation.json"} </w:instrText>
            </w:r>
            <w:r w:rsidRPr="00F73297">
              <w:rPr>
                <w:rFonts w:eastAsia="Aptos"/>
                <w:i/>
                <w:iCs/>
                <w:color w:val="0E2841"/>
                <w:kern w:val="2"/>
                <w:sz w:val="18"/>
                <w:szCs w:val="18"/>
              </w:rPr>
              <w:fldChar w:fldCharType="separate"/>
            </w:r>
            <w:r w:rsidR="00175D8C">
              <w:rPr>
                <w:rFonts w:eastAsia="Aptos"/>
                <w:i/>
                <w:iCs/>
                <w:noProof/>
                <w:color w:val="0E2841"/>
                <w:kern w:val="2"/>
                <w:sz w:val="18"/>
                <w:szCs w:val="18"/>
              </w:rPr>
              <w:t>(Zhou et al., 2020)</w:t>
            </w:r>
            <w:r w:rsidRPr="00F73297">
              <w:rPr>
                <w:rFonts w:eastAsia="Aptos"/>
                <w:i/>
                <w:iCs/>
                <w:color w:val="0E2841"/>
                <w:kern w:val="2"/>
                <w:sz w:val="18"/>
                <w:szCs w:val="18"/>
              </w:rPr>
              <w:fldChar w:fldCharType="end"/>
            </w:r>
          </w:p>
        </w:tc>
      </w:tr>
      <w:tr w:rsidR="00250E9B" w:rsidRPr="00F73297" w14:paraId="0DE7347D" w14:textId="77777777">
        <w:trPr>
          <w:trHeight w:val="20"/>
          <w:jc w:val="center"/>
        </w:trPr>
        <w:tc>
          <w:tcPr>
            <w:tcW w:w="1252" w:type="dxa"/>
            <w:vMerge/>
            <w:vAlign w:val="center"/>
            <w:hideMark/>
          </w:tcPr>
          <w:p w14:paraId="3DC96FB2" w14:textId="77777777" w:rsidR="00250E9B" w:rsidRPr="00F73297" w:rsidRDefault="00250E9B">
            <w:pPr>
              <w:jc w:val="center"/>
              <w:rPr>
                <w:rFonts w:eastAsia="Aptos"/>
                <w:i/>
                <w:iCs/>
                <w:color w:val="0E2841"/>
                <w:kern w:val="2"/>
                <w:sz w:val="18"/>
                <w:szCs w:val="18"/>
              </w:rPr>
            </w:pPr>
          </w:p>
        </w:tc>
        <w:tc>
          <w:tcPr>
            <w:tcW w:w="1328" w:type="dxa"/>
            <w:vMerge/>
            <w:vAlign w:val="center"/>
            <w:hideMark/>
          </w:tcPr>
          <w:p w14:paraId="73CEC844" w14:textId="77777777" w:rsidR="00250E9B" w:rsidRPr="00F73297" w:rsidRDefault="00250E9B">
            <w:pPr>
              <w:jc w:val="center"/>
              <w:rPr>
                <w:rFonts w:eastAsia="Aptos"/>
                <w:i/>
                <w:iCs/>
                <w:color w:val="0E2841"/>
                <w:kern w:val="2"/>
                <w:sz w:val="18"/>
                <w:szCs w:val="18"/>
              </w:rPr>
            </w:pPr>
          </w:p>
        </w:tc>
        <w:tc>
          <w:tcPr>
            <w:tcW w:w="1309" w:type="dxa"/>
            <w:noWrap/>
            <w:vAlign w:val="center"/>
            <w:hideMark/>
          </w:tcPr>
          <w:p w14:paraId="5EE5D947" w14:textId="7777777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t>35.0</w:t>
            </w:r>
          </w:p>
        </w:tc>
        <w:tc>
          <w:tcPr>
            <w:tcW w:w="3194" w:type="dxa"/>
            <w:vAlign w:val="center"/>
          </w:tcPr>
          <w:p w14:paraId="32CD6D4F" w14:textId="758062AD"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fldChar w:fldCharType="begin"/>
            </w:r>
            <w:r w:rsidR="00175D8C">
              <w:rPr>
                <w:rFonts w:eastAsia="Aptos"/>
                <w:i/>
                <w:iCs/>
                <w:color w:val="0E2841"/>
                <w:kern w:val="2"/>
                <w:sz w:val="18"/>
                <w:szCs w:val="18"/>
              </w:rPr>
              <w:instrText xml:space="preserve"> ADDIN ZOTERO_ITEM CSL_CITATION {"citationID":"92g3byEb","properties":{"formattedCitation":"(Carrara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iCs/>
                <w:color w:val="0E2841"/>
                <w:kern w:val="2"/>
                <w:sz w:val="18"/>
                <w:szCs w:val="18"/>
              </w:rPr>
              <w:fldChar w:fldCharType="separate"/>
            </w:r>
            <w:r w:rsidR="00175D8C">
              <w:rPr>
                <w:rFonts w:eastAsia="Aptos"/>
                <w:i/>
                <w:iCs/>
                <w:noProof/>
                <w:color w:val="0E2841"/>
                <w:kern w:val="2"/>
                <w:sz w:val="18"/>
                <w:szCs w:val="18"/>
              </w:rPr>
              <w:t>(Carrara et al., 2020)</w:t>
            </w:r>
            <w:r w:rsidRPr="00F73297">
              <w:rPr>
                <w:rFonts w:eastAsia="Aptos"/>
                <w:i/>
                <w:iCs/>
                <w:color w:val="0E2841"/>
                <w:kern w:val="2"/>
                <w:sz w:val="18"/>
                <w:szCs w:val="18"/>
              </w:rPr>
              <w:fldChar w:fldCharType="end"/>
            </w:r>
          </w:p>
        </w:tc>
      </w:tr>
      <w:tr w:rsidR="00250E9B" w:rsidRPr="00F73297" w14:paraId="2408F10E" w14:textId="77777777">
        <w:trPr>
          <w:trHeight w:val="20"/>
          <w:jc w:val="center"/>
        </w:trPr>
        <w:tc>
          <w:tcPr>
            <w:tcW w:w="1252" w:type="dxa"/>
            <w:vMerge/>
            <w:vAlign w:val="center"/>
            <w:hideMark/>
          </w:tcPr>
          <w:p w14:paraId="79D54924" w14:textId="77777777" w:rsidR="00250E9B" w:rsidRPr="00F73297" w:rsidRDefault="00250E9B">
            <w:pPr>
              <w:jc w:val="center"/>
              <w:rPr>
                <w:rFonts w:eastAsia="Aptos"/>
                <w:i/>
                <w:iCs/>
                <w:color w:val="0E2841"/>
                <w:kern w:val="2"/>
                <w:sz w:val="18"/>
                <w:szCs w:val="18"/>
              </w:rPr>
            </w:pPr>
          </w:p>
        </w:tc>
        <w:tc>
          <w:tcPr>
            <w:tcW w:w="1328" w:type="dxa"/>
            <w:vMerge/>
            <w:vAlign w:val="center"/>
            <w:hideMark/>
          </w:tcPr>
          <w:p w14:paraId="0663F0F4" w14:textId="77777777" w:rsidR="00250E9B" w:rsidRPr="00F73297" w:rsidRDefault="00250E9B">
            <w:pPr>
              <w:jc w:val="center"/>
              <w:rPr>
                <w:rFonts w:eastAsia="Aptos"/>
                <w:i/>
                <w:iCs/>
                <w:color w:val="0E2841"/>
                <w:kern w:val="2"/>
                <w:sz w:val="18"/>
                <w:szCs w:val="18"/>
              </w:rPr>
            </w:pPr>
          </w:p>
        </w:tc>
        <w:tc>
          <w:tcPr>
            <w:tcW w:w="1309" w:type="dxa"/>
            <w:noWrap/>
            <w:vAlign w:val="center"/>
            <w:hideMark/>
          </w:tcPr>
          <w:p w14:paraId="431F7251" w14:textId="7777777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t>95.0</w:t>
            </w:r>
          </w:p>
        </w:tc>
        <w:tc>
          <w:tcPr>
            <w:tcW w:w="3194" w:type="dxa"/>
            <w:vAlign w:val="center"/>
          </w:tcPr>
          <w:p w14:paraId="287177AD" w14:textId="2B8B7B2F"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fldChar w:fldCharType="begin"/>
            </w:r>
            <w:r w:rsidR="00175D8C">
              <w:rPr>
                <w:rFonts w:eastAsia="Aptos"/>
                <w:i/>
                <w:iCs/>
                <w:color w:val="0E2841"/>
                <w:kern w:val="2"/>
                <w:sz w:val="18"/>
                <w:szCs w:val="18"/>
              </w:rPr>
              <w:instrText xml:space="preserve"> ADDIN ZOTERO_ITEM CSL_CITATION {"citationID":"klmTymOn","properties":{"formattedCitation":"(Carrara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iCs/>
                <w:color w:val="0E2841"/>
                <w:kern w:val="2"/>
                <w:sz w:val="18"/>
                <w:szCs w:val="18"/>
              </w:rPr>
              <w:fldChar w:fldCharType="separate"/>
            </w:r>
            <w:r w:rsidR="00175D8C">
              <w:rPr>
                <w:rFonts w:eastAsia="Aptos"/>
                <w:i/>
                <w:iCs/>
                <w:noProof/>
                <w:color w:val="0E2841"/>
                <w:kern w:val="2"/>
                <w:sz w:val="18"/>
                <w:szCs w:val="18"/>
              </w:rPr>
              <w:t>(Carrara et al., 2020)</w:t>
            </w:r>
            <w:r w:rsidRPr="00F73297">
              <w:rPr>
                <w:rFonts w:eastAsia="Aptos"/>
                <w:i/>
                <w:iCs/>
                <w:color w:val="0E2841"/>
                <w:kern w:val="2"/>
                <w:sz w:val="18"/>
                <w:szCs w:val="18"/>
              </w:rPr>
              <w:fldChar w:fldCharType="end"/>
            </w:r>
          </w:p>
        </w:tc>
      </w:tr>
      <w:tr w:rsidR="00250E9B" w:rsidRPr="00F73297" w14:paraId="63E1BFB6" w14:textId="77777777">
        <w:trPr>
          <w:trHeight w:val="20"/>
          <w:jc w:val="center"/>
        </w:trPr>
        <w:tc>
          <w:tcPr>
            <w:tcW w:w="1252" w:type="dxa"/>
            <w:vMerge/>
            <w:vAlign w:val="center"/>
            <w:hideMark/>
          </w:tcPr>
          <w:p w14:paraId="06146B53" w14:textId="77777777" w:rsidR="00250E9B" w:rsidRPr="00F73297" w:rsidRDefault="00250E9B">
            <w:pPr>
              <w:jc w:val="center"/>
              <w:rPr>
                <w:rFonts w:eastAsia="Aptos"/>
                <w:i/>
                <w:iCs/>
                <w:color w:val="0E2841"/>
                <w:kern w:val="2"/>
                <w:sz w:val="18"/>
                <w:szCs w:val="18"/>
              </w:rPr>
            </w:pPr>
          </w:p>
        </w:tc>
        <w:tc>
          <w:tcPr>
            <w:tcW w:w="1328" w:type="dxa"/>
            <w:vMerge/>
            <w:vAlign w:val="center"/>
            <w:hideMark/>
          </w:tcPr>
          <w:p w14:paraId="5865FC55" w14:textId="77777777" w:rsidR="00250E9B" w:rsidRPr="00F73297" w:rsidRDefault="00250E9B">
            <w:pPr>
              <w:jc w:val="center"/>
              <w:rPr>
                <w:rFonts w:eastAsia="Aptos"/>
                <w:i/>
                <w:iCs/>
                <w:color w:val="0E2841"/>
                <w:kern w:val="2"/>
                <w:sz w:val="18"/>
                <w:szCs w:val="18"/>
              </w:rPr>
            </w:pPr>
          </w:p>
        </w:tc>
        <w:tc>
          <w:tcPr>
            <w:tcW w:w="1309" w:type="dxa"/>
            <w:noWrap/>
            <w:vAlign w:val="center"/>
            <w:hideMark/>
          </w:tcPr>
          <w:p w14:paraId="5B8E3706" w14:textId="7777777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t>52.0</w:t>
            </w:r>
          </w:p>
        </w:tc>
        <w:tc>
          <w:tcPr>
            <w:tcW w:w="3194" w:type="dxa"/>
            <w:vAlign w:val="center"/>
          </w:tcPr>
          <w:p w14:paraId="79E1BB77" w14:textId="77CF363A"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fldChar w:fldCharType="begin"/>
            </w:r>
            <w:r w:rsidR="00175D8C">
              <w:rPr>
                <w:rFonts w:eastAsia="Aptos"/>
                <w:i/>
                <w:iCs/>
                <w:color w:val="0E2841"/>
                <w:kern w:val="2"/>
                <w:sz w:val="18"/>
                <w:szCs w:val="18"/>
              </w:rPr>
              <w:instrText xml:space="preserve"> ADDIN ZOTERO_ITEM CSL_CITATION {"citationID":"ZkobU2Q3","properties":{"formattedCitation":"(Carrara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iCs/>
                <w:color w:val="0E2841"/>
                <w:kern w:val="2"/>
                <w:sz w:val="18"/>
                <w:szCs w:val="18"/>
              </w:rPr>
              <w:fldChar w:fldCharType="separate"/>
            </w:r>
            <w:r w:rsidR="00175D8C">
              <w:rPr>
                <w:rFonts w:eastAsia="Aptos"/>
                <w:i/>
                <w:iCs/>
                <w:noProof/>
                <w:color w:val="0E2841"/>
                <w:kern w:val="2"/>
                <w:sz w:val="18"/>
                <w:szCs w:val="18"/>
              </w:rPr>
              <w:t>(Carrara et al., 2020)</w:t>
            </w:r>
            <w:r w:rsidRPr="00F73297">
              <w:rPr>
                <w:rFonts w:eastAsia="Aptos"/>
                <w:i/>
                <w:iCs/>
                <w:color w:val="0E2841"/>
                <w:kern w:val="2"/>
                <w:sz w:val="18"/>
                <w:szCs w:val="18"/>
              </w:rPr>
              <w:fldChar w:fldCharType="end"/>
            </w:r>
          </w:p>
        </w:tc>
      </w:tr>
    </w:tbl>
    <w:p w14:paraId="66849024" w14:textId="77777777" w:rsidR="00250E9B" w:rsidRDefault="00250E9B" w:rsidP="00250E9B">
      <w:pPr>
        <w:rPr>
          <w:color w:val="0E2841"/>
          <w:sz w:val="18"/>
          <w:szCs w:val="18"/>
          <w:u w:val="single"/>
        </w:rPr>
      </w:pPr>
    </w:p>
    <w:p w14:paraId="069AABEB" w14:textId="77777777" w:rsidR="00250E9B" w:rsidRPr="00F73297" w:rsidRDefault="00250E9B" w:rsidP="00250E9B">
      <w:pPr>
        <w:rPr>
          <w:color w:val="0E2841"/>
          <w:sz w:val="18"/>
          <w:szCs w:val="18"/>
          <w:u w:val="single"/>
        </w:rPr>
      </w:pPr>
    </w:p>
    <w:p w14:paraId="76C20CFE" w14:textId="4EE45511" w:rsidR="00250E9B" w:rsidRPr="00F05D5B" w:rsidRDefault="00250E9B" w:rsidP="00250E9B">
      <w:pPr>
        <w:jc w:val="center"/>
        <w:rPr>
          <w:color w:val="0E2841"/>
          <w:sz w:val="18"/>
          <w:szCs w:val="18"/>
        </w:rPr>
      </w:pPr>
      <w:r w:rsidRPr="00F05D5B">
        <w:rPr>
          <w:b/>
          <w:color w:val="0E2841"/>
          <w:sz w:val="18"/>
          <w:szCs w:val="18"/>
        </w:rPr>
        <w:t>Table S</w:t>
      </w:r>
      <w:r>
        <w:rPr>
          <w:b/>
          <w:color w:val="0E2841"/>
          <w:sz w:val="18"/>
          <w:szCs w:val="18"/>
        </w:rPr>
        <w:t>1.</w:t>
      </w:r>
      <w:r w:rsidR="0029776D">
        <w:rPr>
          <w:b/>
          <w:color w:val="0E2841"/>
          <w:sz w:val="18"/>
          <w:szCs w:val="18"/>
        </w:rPr>
        <w:t>7</w:t>
      </w:r>
      <w:r w:rsidRPr="00F05D5B">
        <w:rPr>
          <w:b/>
          <w:color w:val="0E2841"/>
          <w:sz w:val="18"/>
          <w:szCs w:val="18"/>
        </w:rPr>
        <w:t>:</w:t>
      </w:r>
      <w:r w:rsidRPr="00F05D5B">
        <w:rPr>
          <w:color w:val="0E2841"/>
          <w:sz w:val="18"/>
          <w:szCs w:val="18"/>
        </w:rPr>
        <w:t xml:space="preserve"> Gallium, indium and selenium intensities (kg/MW) in the </w:t>
      </w:r>
      <w:proofErr w:type="gramStart"/>
      <w:r w:rsidRPr="00F05D5B">
        <w:rPr>
          <w:color w:val="0E2841"/>
          <w:sz w:val="18"/>
          <w:szCs w:val="18"/>
        </w:rPr>
        <w:t>CIGS  sub</w:t>
      </w:r>
      <w:proofErr w:type="gramEnd"/>
      <w:r w:rsidRPr="00F05D5B">
        <w:rPr>
          <w:color w:val="0E2841"/>
          <w:sz w:val="18"/>
          <w:szCs w:val="18"/>
        </w:rPr>
        <w:t>-technology, as reported in the literature published between 2018 and 2020.</w:t>
      </w:r>
    </w:p>
    <w:tbl>
      <w:tblPr>
        <w:tblW w:w="6799"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158"/>
        <w:gridCol w:w="1009"/>
        <w:gridCol w:w="959"/>
        <w:gridCol w:w="3673"/>
      </w:tblGrid>
      <w:tr w:rsidR="00250E9B" w:rsidRPr="00F73297" w14:paraId="797F7FF8" w14:textId="77777777">
        <w:trPr>
          <w:trHeight w:val="23"/>
          <w:jc w:val="center"/>
        </w:trPr>
        <w:tc>
          <w:tcPr>
            <w:tcW w:w="1158" w:type="dxa"/>
            <w:noWrap/>
            <w:vAlign w:val="center"/>
          </w:tcPr>
          <w:p w14:paraId="0D795613" w14:textId="77777777" w:rsidR="00250E9B" w:rsidRPr="00F73297" w:rsidRDefault="00250E9B">
            <w:pPr>
              <w:jc w:val="center"/>
              <w:rPr>
                <w:rFonts w:eastAsia="Aptos"/>
                <w:b/>
                <w:bCs/>
                <w:i/>
                <w:iCs/>
                <w:color w:val="0E2841"/>
                <w:kern w:val="2"/>
                <w:sz w:val="18"/>
                <w:szCs w:val="18"/>
              </w:rPr>
            </w:pPr>
            <w:r w:rsidRPr="00F73297">
              <w:rPr>
                <w:rFonts w:eastAsia="Aptos"/>
                <w:b/>
                <w:bCs/>
                <w:i/>
                <w:iCs/>
                <w:color w:val="0E2841"/>
                <w:kern w:val="2"/>
                <w:sz w:val="18"/>
                <w:szCs w:val="18"/>
              </w:rPr>
              <w:t>Sub-technology</w:t>
            </w:r>
          </w:p>
        </w:tc>
        <w:tc>
          <w:tcPr>
            <w:tcW w:w="1009" w:type="dxa"/>
            <w:noWrap/>
            <w:vAlign w:val="center"/>
          </w:tcPr>
          <w:p w14:paraId="02E7DCAA" w14:textId="77777777" w:rsidR="00250E9B" w:rsidRPr="00F73297" w:rsidRDefault="00250E9B">
            <w:pPr>
              <w:jc w:val="center"/>
              <w:rPr>
                <w:rFonts w:eastAsia="Aptos"/>
                <w:b/>
                <w:bCs/>
                <w:i/>
                <w:iCs/>
                <w:color w:val="0E2841"/>
                <w:kern w:val="2"/>
                <w:sz w:val="18"/>
                <w:szCs w:val="18"/>
              </w:rPr>
            </w:pPr>
            <w:r w:rsidRPr="00F73297">
              <w:rPr>
                <w:rFonts w:eastAsia="Aptos"/>
                <w:b/>
                <w:bCs/>
                <w:i/>
                <w:iCs/>
                <w:color w:val="0E2841"/>
                <w:kern w:val="2"/>
                <w:sz w:val="18"/>
                <w:szCs w:val="18"/>
              </w:rPr>
              <w:t>Material</w:t>
            </w:r>
          </w:p>
        </w:tc>
        <w:tc>
          <w:tcPr>
            <w:tcW w:w="959" w:type="dxa"/>
            <w:noWrap/>
            <w:vAlign w:val="center"/>
          </w:tcPr>
          <w:p w14:paraId="14091D5C" w14:textId="77777777" w:rsidR="00250E9B" w:rsidRPr="00F73297" w:rsidRDefault="00250E9B">
            <w:pPr>
              <w:jc w:val="center"/>
              <w:rPr>
                <w:rFonts w:eastAsia="Aptos"/>
                <w:b/>
                <w:bCs/>
                <w:i/>
                <w:iCs/>
                <w:color w:val="0E2841"/>
                <w:kern w:val="2"/>
                <w:sz w:val="18"/>
                <w:szCs w:val="18"/>
              </w:rPr>
            </w:pPr>
            <w:r w:rsidRPr="00F73297">
              <w:rPr>
                <w:rFonts w:eastAsia="Aptos"/>
                <w:b/>
                <w:bCs/>
                <w:i/>
                <w:iCs/>
                <w:color w:val="0E2841"/>
                <w:kern w:val="2"/>
                <w:sz w:val="18"/>
                <w:szCs w:val="18"/>
              </w:rPr>
              <w:t>Intensity (kg/MW)</w:t>
            </w:r>
          </w:p>
        </w:tc>
        <w:tc>
          <w:tcPr>
            <w:tcW w:w="3673" w:type="dxa"/>
            <w:vAlign w:val="center"/>
          </w:tcPr>
          <w:p w14:paraId="3CB7FD5C" w14:textId="77777777" w:rsidR="00250E9B" w:rsidRPr="00F73297" w:rsidRDefault="00250E9B">
            <w:pPr>
              <w:jc w:val="center"/>
              <w:rPr>
                <w:rFonts w:eastAsia="Aptos"/>
                <w:b/>
                <w:bCs/>
                <w:i/>
                <w:iCs/>
                <w:color w:val="0E2841"/>
                <w:kern w:val="2"/>
                <w:sz w:val="18"/>
                <w:szCs w:val="18"/>
              </w:rPr>
            </w:pPr>
            <w:r w:rsidRPr="00F73297">
              <w:rPr>
                <w:rFonts w:eastAsia="Aptos"/>
                <w:b/>
                <w:bCs/>
                <w:i/>
                <w:iCs/>
                <w:color w:val="0E2841"/>
                <w:kern w:val="2"/>
                <w:sz w:val="18"/>
                <w:szCs w:val="18"/>
              </w:rPr>
              <w:t>Source</w:t>
            </w:r>
          </w:p>
        </w:tc>
      </w:tr>
      <w:tr w:rsidR="00250E9B" w:rsidRPr="00F73297" w14:paraId="2206A012" w14:textId="77777777">
        <w:trPr>
          <w:trHeight w:val="23"/>
          <w:jc w:val="center"/>
        </w:trPr>
        <w:tc>
          <w:tcPr>
            <w:tcW w:w="1158" w:type="dxa"/>
            <w:vMerge w:val="restart"/>
            <w:noWrap/>
            <w:vAlign w:val="center"/>
            <w:hideMark/>
          </w:tcPr>
          <w:p w14:paraId="2B5D4D39" w14:textId="7777777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t>CIGS</w:t>
            </w:r>
          </w:p>
        </w:tc>
        <w:tc>
          <w:tcPr>
            <w:tcW w:w="1009" w:type="dxa"/>
            <w:vMerge w:val="restart"/>
            <w:noWrap/>
            <w:vAlign w:val="center"/>
            <w:hideMark/>
          </w:tcPr>
          <w:p w14:paraId="35684E90" w14:textId="77777777" w:rsidR="00250E9B" w:rsidRDefault="00250E9B">
            <w:pPr>
              <w:jc w:val="center"/>
              <w:rPr>
                <w:rFonts w:eastAsia="Aptos"/>
                <w:i/>
                <w:iCs/>
                <w:color w:val="0E2841"/>
                <w:kern w:val="2"/>
                <w:sz w:val="18"/>
                <w:szCs w:val="18"/>
              </w:rPr>
            </w:pPr>
            <w:r w:rsidRPr="00F73297">
              <w:rPr>
                <w:rFonts w:eastAsia="Aptos"/>
                <w:i/>
                <w:iCs/>
                <w:color w:val="0E2841"/>
                <w:kern w:val="2"/>
                <w:sz w:val="18"/>
                <w:szCs w:val="18"/>
              </w:rPr>
              <w:t>Gallium</w:t>
            </w:r>
          </w:p>
          <w:p w14:paraId="7D9AAF65" w14:textId="77777777" w:rsidR="00250E9B" w:rsidRPr="00F73297" w:rsidRDefault="00250E9B">
            <w:pPr>
              <w:jc w:val="center"/>
              <w:rPr>
                <w:rFonts w:eastAsia="Aptos"/>
                <w:i/>
                <w:iCs/>
                <w:color w:val="0E2841"/>
                <w:kern w:val="2"/>
                <w:sz w:val="18"/>
                <w:szCs w:val="18"/>
              </w:rPr>
            </w:pPr>
            <w:r>
              <w:rPr>
                <w:rFonts w:eastAsia="Aptos"/>
                <w:i/>
                <w:iCs/>
                <w:color w:val="0E2841"/>
                <w:kern w:val="2"/>
                <w:sz w:val="18"/>
                <w:szCs w:val="18"/>
              </w:rPr>
              <w:t>Ga</w:t>
            </w:r>
          </w:p>
        </w:tc>
        <w:tc>
          <w:tcPr>
            <w:tcW w:w="959" w:type="dxa"/>
            <w:noWrap/>
            <w:vAlign w:val="center"/>
            <w:hideMark/>
          </w:tcPr>
          <w:p w14:paraId="3247A1AA" w14:textId="7777777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t>4.0</w:t>
            </w:r>
          </w:p>
        </w:tc>
        <w:tc>
          <w:tcPr>
            <w:tcW w:w="3673" w:type="dxa"/>
            <w:vAlign w:val="center"/>
          </w:tcPr>
          <w:p w14:paraId="0111C6DC" w14:textId="6952837A" w:rsidR="00250E9B" w:rsidRPr="00F73297" w:rsidRDefault="00250E9B">
            <w:pPr>
              <w:jc w:val="center"/>
              <w:rPr>
                <w:rFonts w:eastAsia="Aptos"/>
                <w:i/>
                <w:iCs/>
                <w:noProof/>
                <w:color w:val="0E2841"/>
                <w:kern w:val="2"/>
                <w:sz w:val="18"/>
                <w:szCs w:val="18"/>
              </w:rPr>
            </w:pPr>
            <w:r w:rsidRPr="00F73297">
              <w:rPr>
                <w:rFonts w:eastAsia="Aptos"/>
                <w:i/>
                <w:iCs/>
                <w:noProof/>
                <w:color w:val="0E2841"/>
                <w:kern w:val="2"/>
                <w:sz w:val="18"/>
                <w:szCs w:val="18"/>
              </w:rPr>
              <w:fldChar w:fldCharType="begin"/>
            </w:r>
            <w:r w:rsidR="00175D8C">
              <w:rPr>
                <w:rFonts w:eastAsia="Aptos"/>
                <w:i/>
                <w:iCs/>
                <w:noProof/>
                <w:color w:val="0E2841"/>
                <w:kern w:val="2"/>
                <w:sz w:val="18"/>
                <w:szCs w:val="18"/>
              </w:rPr>
              <w:instrText xml:space="preserve"> ADDIN ZOTERO_ITEM CSL_CITATION {"citationID":"tW44W9hP","properties":{"formattedCitation":"(M\\uc0\\u229{}nberger &amp; Stenqvist, 2018)","plainCitation":"(Månberger &amp; Stenqvist, 2018)","noteIndex":0},"citationItems":[{"id":16607,"uris":["http://zotero.org/groups/5509458/items/ETUG7SXT"],"itemData":{"id":16607,"type":"article-journal","container-title":"Energy Policy","DOI":"10.1016/j.enpol.2018.04.056","ISSN":"03014215","journalAbbreviation":"Energy Policy","language":"en","page":"226-241","source":"DOI.org (Crossref)","title":"Global metal flows in the renewable energy transition: Exploring the effects of substitutes, technological mix and development","title-short":"Global metal flows in the renewable energy transition","volume":"119","author":[{"family":"Månberger","given":"André"},{"family":"Stenqvist","given":"Björn"}],"issued":{"date-parts":[["2018",8]]}}}],"schema":"https://github.com/citation-style-language/schema/raw/master/csl-citation.json"} </w:instrText>
            </w:r>
            <w:r w:rsidRPr="00F73297">
              <w:rPr>
                <w:rFonts w:eastAsia="Aptos"/>
                <w:i/>
                <w:iCs/>
                <w:noProof/>
                <w:color w:val="0E2841"/>
                <w:kern w:val="2"/>
                <w:sz w:val="18"/>
                <w:szCs w:val="18"/>
              </w:rPr>
              <w:fldChar w:fldCharType="separate"/>
            </w:r>
            <w:r w:rsidR="00105153" w:rsidRPr="00175D8C">
              <w:rPr>
                <w:color w:val="008080"/>
                <w:sz w:val="18"/>
                <w:szCs w:val="24"/>
                <w:lang w:val="en-GB" w:eastAsia="en-GB"/>
              </w:rPr>
              <w:t>(</w:t>
            </w:r>
            <w:proofErr w:type="spellStart"/>
            <w:r w:rsidR="00105153" w:rsidRPr="00175D8C">
              <w:rPr>
                <w:color w:val="008080"/>
                <w:sz w:val="18"/>
                <w:szCs w:val="24"/>
                <w:lang w:val="en-GB" w:eastAsia="en-GB"/>
              </w:rPr>
              <w:t>Månberger</w:t>
            </w:r>
            <w:proofErr w:type="spellEnd"/>
            <w:r w:rsidR="00105153" w:rsidRPr="00175D8C">
              <w:rPr>
                <w:color w:val="008080"/>
                <w:sz w:val="18"/>
                <w:szCs w:val="24"/>
                <w:lang w:val="en-GB" w:eastAsia="en-GB"/>
              </w:rPr>
              <w:t xml:space="preserve"> &amp; </w:t>
            </w:r>
            <w:proofErr w:type="spellStart"/>
            <w:r w:rsidR="00105153" w:rsidRPr="00175D8C">
              <w:rPr>
                <w:color w:val="008080"/>
                <w:sz w:val="18"/>
                <w:szCs w:val="24"/>
                <w:lang w:val="en-GB" w:eastAsia="en-GB"/>
              </w:rPr>
              <w:t>Stenqvist</w:t>
            </w:r>
            <w:proofErr w:type="spellEnd"/>
            <w:r w:rsidR="00105153" w:rsidRPr="00175D8C">
              <w:rPr>
                <w:color w:val="008080"/>
                <w:sz w:val="18"/>
                <w:szCs w:val="24"/>
                <w:lang w:val="en-GB" w:eastAsia="en-GB"/>
              </w:rPr>
              <w:t>, 2018)</w:t>
            </w:r>
            <w:r w:rsidRPr="00F73297">
              <w:rPr>
                <w:rFonts w:eastAsia="Aptos"/>
                <w:i/>
                <w:iCs/>
                <w:noProof/>
                <w:color w:val="0E2841"/>
                <w:kern w:val="2"/>
                <w:sz w:val="18"/>
                <w:szCs w:val="18"/>
              </w:rPr>
              <w:fldChar w:fldCharType="end"/>
            </w:r>
          </w:p>
        </w:tc>
      </w:tr>
      <w:tr w:rsidR="00250E9B" w:rsidRPr="00F73297" w14:paraId="7C656F2D" w14:textId="77777777">
        <w:trPr>
          <w:trHeight w:val="23"/>
          <w:jc w:val="center"/>
        </w:trPr>
        <w:tc>
          <w:tcPr>
            <w:tcW w:w="1158" w:type="dxa"/>
            <w:vMerge/>
            <w:vAlign w:val="center"/>
            <w:hideMark/>
          </w:tcPr>
          <w:p w14:paraId="73378437" w14:textId="77777777" w:rsidR="00250E9B" w:rsidRPr="00F73297" w:rsidRDefault="00250E9B">
            <w:pPr>
              <w:jc w:val="center"/>
              <w:rPr>
                <w:rFonts w:eastAsia="Aptos"/>
                <w:i/>
                <w:iCs/>
                <w:color w:val="0E2841"/>
                <w:kern w:val="2"/>
                <w:sz w:val="18"/>
                <w:szCs w:val="18"/>
              </w:rPr>
            </w:pPr>
          </w:p>
        </w:tc>
        <w:tc>
          <w:tcPr>
            <w:tcW w:w="1009" w:type="dxa"/>
            <w:vMerge/>
            <w:vAlign w:val="center"/>
            <w:hideMark/>
          </w:tcPr>
          <w:p w14:paraId="33D827BB" w14:textId="77777777" w:rsidR="00250E9B" w:rsidRPr="00F73297" w:rsidRDefault="00250E9B">
            <w:pPr>
              <w:jc w:val="center"/>
              <w:rPr>
                <w:rFonts w:eastAsia="Aptos"/>
                <w:i/>
                <w:iCs/>
                <w:color w:val="0E2841"/>
                <w:kern w:val="2"/>
                <w:sz w:val="18"/>
                <w:szCs w:val="18"/>
              </w:rPr>
            </w:pPr>
          </w:p>
        </w:tc>
        <w:tc>
          <w:tcPr>
            <w:tcW w:w="959" w:type="dxa"/>
            <w:noWrap/>
            <w:vAlign w:val="center"/>
            <w:hideMark/>
          </w:tcPr>
          <w:p w14:paraId="067908D4" w14:textId="7777777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t>7.5</w:t>
            </w:r>
          </w:p>
        </w:tc>
        <w:tc>
          <w:tcPr>
            <w:tcW w:w="3673" w:type="dxa"/>
            <w:vAlign w:val="center"/>
          </w:tcPr>
          <w:p w14:paraId="6C5462F6" w14:textId="16A1003C" w:rsidR="00250E9B" w:rsidRPr="00F73297" w:rsidRDefault="00250E9B">
            <w:pPr>
              <w:jc w:val="center"/>
              <w:rPr>
                <w:rFonts w:eastAsia="Aptos"/>
                <w:i/>
                <w:iCs/>
                <w:noProof/>
                <w:color w:val="0E2841"/>
                <w:kern w:val="2"/>
                <w:sz w:val="18"/>
                <w:szCs w:val="18"/>
              </w:rPr>
            </w:pPr>
            <w:r w:rsidRPr="00F73297">
              <w:rPr>
                <w:rFonts w:eastAsia="Aptos"/>
                <w:i/>
                <w:iCs/>
                <w:noProof/>
                <w:color w:val="0E2841"/>
                <w:kern w:val="2"/>
                <w:sz w:val="18"/>
                <w:szCs w:val="18"/>
              </w:rPr>
              <w:fldChar w:fldCharType="begin"/>
            </w:r>
            <w:r w:rsidR="00105153">
              <w:rPr>
                <w:rFonts w:eastAsia="Aptos"/>
                <w:i/>
                <w:iCs/>
                <w:noProof/>
                <w:color w:val="0E2841"/>
                <w:kern w:val="2"/>
                <w:sz w:val="18"/>
                <w:szCs w:val="18"/>
              </w:rPr>
              <w:instrText xml:space="preserve"> ADDIN ZOTERO_ITEM CSL_CITATION {"citationID":"gN6wcWPo","properties":{"formattedCitation":"(Elshkaki &amp; Shen, 2019)","plainCitation":"(Elshkaki &amp; Shen, 2019)","noteIndex":0},"citationItems":[{"id":16580,"uris":["http://zotero.org/groups/5509458/items/29GCVUC4"],"itemData":{"id":16580,"type":"article-journal","container-title":"Energy","DOI":"10.1016/j.energy.2019.05.156","ISSN":"03605442","journalAbbreviation":"Energy","language":"en","page":"903-917","source":"DOI.org (Crossref)","title":"Energy-material nexus: The impacts of national and international energy scenarios on critical metals use in China up to 2050 and their global implications","title-short":"Energy-material nexus","volume":"180","author":[{"family":"Elshkaki","given":"Ayman"},{"family":"Shen","given":"Lei"}],"issued":{"date-parts":[["2019",8]]}}}],"schema":"https://github.com/citation-style-language/schema/raw/master/csl-citation.json"} </w:instrText>
            </w:r>
            <w:r w:rsidRPr="00F73297">
              <w:rPr>
                <w:rFonts w:eastAsia="Aptos"/>
                <w:i/>
                <w:iCs/>
                <w:noProof/>
                <w:color w:val="0E2841"/>
                <w:kern w:val="2"/>
                <w:sz w:val="18"/>
                <w:szCs w:val="18"/>
              </w:rPr>
              <w:fldChar w:fldCharType="separate"/>
            </w:r>
            <w:r w:rsidR="00105153">
              <w:rPr>
                <w:rFonts w:eastAsia="Aptos"/>
                <w:i/>
                <w:iCs/>
                <w:noProof/>
                <w:color w:val="0E2841"/>
                <w:kern w:val="2"/>
                <w:sz w:val="18"/>
                <w:szCs w:val="18"/>
              </w:rPr>
              <w:t>(Elshkaki &amp; Shen, 2019)</w:t>
            </w:r>
            <w:r w:rsidRPr="00F73297">
              <w:rPr>
                <w:rFonts w:eastAsia="Aptos"/>
                <w:i/>
                <w:iCs/>
                <w:noProof/>
                <w:color w:val="0E2841"/>
                <w:kern w:val="2"/>
                <w:sz w:val="18"/>
                <w:szCs w:val="18"/>
              </w:rPr>
              <w:fldChar w:fldCharType="end"/>
            </w:r>
          </w:p>
        </w:tc>
      </w:tr>
      <w:tr w:rsidR="00250E9B" w:rsidRPr="00F73297" w14:paraId="3F86C14B" w14:textId="77777777">
        <w:trPr>
          <w:trHeight w:val="23"/>
          <w:jc w:val="center"/>
        </w:trPr>
        <w:tc>
          <w:tcPr>
            <w:tcW w:w="1158" w:type="dxa"/>
            <w:vMerge/>
            <w:vAlign w:val="center"/>
            <w:hideMark/>
          </w:tcPr>
          <w:p w14:paraId="5A66FC45" w14:textId="77777777" w:rsidR="00250E9B" w:rsidRPr="00F73297" w:rsidRDefault="00250E9B">
            <w:pPr>
              <w:jc w:val="center"/>
              <w:rPr>
                <w:rFonts w:eastAsia="Aptos"/>
                <w:i/>
                <w:iCs/>
                <w:color w:val="0E2841"/>
                <w:kern w:val="2"/>
                <w:sz w:val="18"/>
                <w:szCs w:val="18"/>
              </w:rPr>
            </w:pPr>
          </w:p>
        </w:tc>
        <w:tc>
          <w:tcPr>
            <w:tcW w:w="1009" w:type="dxa"/>
            <w:vMerge/>
            <w:vAlign w:val="center"/>
            <w:hideMark/>
          </w:tcPr>
          <w:p w14:paraId="3BE8C4B3" w14:textId="77777777" w:rsidR="00250E9B" w:rsidRPr="00F73297" w:rsidRDefault="00250E9B">
            <w:pPr>
              <w:jc w:val="center"/>
              <w:rPr>
                <w:rFonts w:eastAsia="Aptos"/>
                <w:i/>
                <w:iCs/>
                <w:color w:val="0E2841"/>
                <w:kern w:val="2"/>
                <w:sz w:val="18"/>
                <w:szCs w:val="18"/>
              </w:rPr>
            </w:pPr>
          </w:p>
        </w:tc>
        <w:tc>
          <w:tcPr>
            <w:tcW w:w="959" w:type="dxa"/>
            <w:noWrap/>
            <w:vAlign w:val="center"/>
            <w:hideMark/>
          </w:tcPr>
          <w:p w14:paraId="6BCED480" w14:textId="7777777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t>19.0</w:t>
            </w:r>
          </w:p>
        </w:tc>
        <w:tc>
          <w:tcPr>
            <w:tcW w:w="3673" w:type="dxa"/>
            <w:vAlign w:val="center"/>
          </w:tcPr>
          <w:p w14:paraId="78BB2BA8" w14:textId="1CA339A2" w:rsidR="00250E9B" w:rsidRPr="00F73297" w:rsidRDefault="00250E9B">
            <w:pPr>
              <w:jc w:val="center"/>
              <w:rPr>
                <w:rFonts w:eastAsia="Aptos"/>
                <w:i/>
                <w:iCs/>
                <w:noProof/>
                <w:color w:val="0E2841"/>
                <w:kern w:val="2"/>
                <w:sz w:val="18"/>
                <w:szCs w:val="18"/>
              </w:rPr>
            </w:pPr>
            <w:r w:rsidRPr="00F73297">
              <w:rPr>
                <w:rFonts w:eastAsia="Aptos"/>
                <w:i/>
                <w:iCs/>
                <w:noProof/>
                <w:color w:val="0E2841"/>
                <w:kern w:val="2"/>
                <w:sz w:val="18"/>
                <w:szCs w:val="18"/>
              </w:rPr>
              <w:fldChar w:fldCharType="begin"/>
            </w:r>
            <w:r w:rsidR="00105153">
              <w:rPr>
                <w:rFonts w:eastAsia="Aptos"/>
                <w:i/>
                <w:iCs/>
                <w:noProof/>
                <w:color w:val="0E2841"/>
                <w:kern w:val="2"/>
                <w:sz w:val="18"/>
                <w:szCs w:val="18"/>
              </w:rPr>
              <w:instrText xml:space="preserve"> ADDIN ZOTERO_ITEM CSL_CITATION {"citationID":"Sc8LSjcD","properties":{"formattedCitation":"(Watari et al., 2019)","plainCitation":"(Watari et al., 2019)","noteIndex":0},"citationItems":[{"id":16645,"uris":["http://zotero.org/groups/5509458/items/SSAPB4AV"],"itemData":{"id":16645,"type":"article-journal","container-title":"Resources, Conservation and Recycling","DOI":"10.1016/j.resconrec.2019.05.015","ISSN":"09213449","journalAbbreviation":"Resources, Conservation and Recycling","language":"en","page":"91-103","source":"DOI.org (Crossref)","title":"Total material requirement for the global energy transition to 2050: A focus on transport and electricity","title-short":"Total material requirement for the global energy transition to 2050","volume":"148","author":[{"family":"Watari","given":"Takuma"},{"family":"McLellan","given":"Benjamin C."},{"family":"Giurco","given":"Damien"},{"family":"Dominish","given":"Elsa"},{"family":"Yamasue","given":"Eiji"},{"family":"Nansai","given":"Keisuke"}],"issued":{"date-parts":[["2019",9]]}}}],"schema":"https://github.com/citation-style-language/schema/raw/master/csl-citation.json"} </w:instrText>
            </w:r>
            <w:r w:rsidRPr="00F73297">
              <w:rPr>
                <w:rFonts w:eastAsia="Aptos"/>
                <w:i/>
                <w:iCs/>
                <w:noProof/>
                <w:color w:val="0E2841"/>
                <w:kern w:val="2"/>
                <w:sz w:val="18"/>
                <w:szCs w:val="18"/>
              </w:rPr>
              <w:fldChar w:fldCharType="separate"/>
            </w:r>
            <w:r w:rsidR="00105153">
              <w:rPr>
                <w:rFonts w:eastAsia="Aptos"/>
                <w:i/>
                <w:iCs/>
                <w:noProof/>
                <w:color w:val="0E2841"/>
                <w:kern w:val="2"/>
                <w:sz w:val="18"/>
                <w:szCs w:val="18"/>
              </w:rPr>
              <w:t>(Watari et al., 2019)</w:t>
            </w:r>
            <w:r w:rsidRPr="00F73297">
              <w:rPr>
                <w:rFonts w:eastAsia="Aptos"/>
                <w:i/>
                <w:iCs/>
                <w:noProof/>
                <w:color w:val="0E2841"/>
                <w:kern w:val="2"/>
                <w:sz w:val="18"/>
                <w:szCs w:val="18"/>
              </w:rPr>
              <w:fldChar w:fldCharType="end"/>
            </w:r>
          </w:p>
        </w:tc>
      </w:tr>
      <w:tr w:rsidR="00250E9B" w:rsidRPr="00F73297" w14:paraId="7439C794" w14:textId="77777777">
        <w:trPr>
          <w:trHeight w:val="23"/>
          <w:jc w:val="center"/>
        </w:trPr>
        <w:tc>
          <w:tcPr>
            <w:tcW w:w="1158" w:type="dxa"/>
            <w:vMerge/>
            <w:vAlign w:val="center"/>
            <w:hideMark/>
          </w:tcPr>
          <w:p w14:paraId="2FB23E6D" w14:textId="77777777" w:rsidR="00250E9B" w:rsidRPr="00F73297" w:rsidRDefault="00250E9B">
            <w:pPr>
              <w:jc w:val="center"/>
              <w:rPr>
                <w:rFonts w:eastAsia="Aptos"/>
                <w:i/>
                <w:iCs/>
                <w:color w:val="0E2841"/>
                <w:kern w:val="2"/>
                <w:sz w:val="18"/>
                <w:szCs w:val="18"/>
              </w:rPr>
            </w:pPr>
          </w:p>
        </w:tc>
        <w:tc>
          <w:tcPr>
            <w:tcW w:w="1009" w:type="dxa"/>
            <w:vMerge/>
            <w:vAlign w:val="center"/>
            <w:hideMark/>
          </w:tcPr>
          <w:p w14:paraId="6411AFD1" w14:textId="77777777" w:rsidR="00250E9B" w:rsidRPr="00F73297" w:rsidRDefault="00250E9B">
            <w:pPr>
              <w:jc w:val="center"/>
              <w:rPr>
                <w:rFonts w:eastAsia="Aptos"/>
                <w:i/>
                <w:iCs/>
                <w:color w:val="0E2841"/>
                <w:kern w:val="2"/>
                <w:sz w:val="18"/>
                <w:szCs w:val="18"/>
              </w:rPr>
            </w:pPr>
          </w:p>
        </w:tc>
        <w:tc>
          <w:tcPr>
            <w:tcW w:w="959" w:type="dxa"/>
            <w:noWrap/>
            <w:vAlign w:val="center"/>
            <w:hideMark/>
          </w:tcPr>
          <w:p w14:paraId="1592C510" w14:textId="7777777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t>3.0</w:t>
            </w:r>
          </w:p>
        </w:tc>
        <w:tc>
          <w:tcPr>
            <w:tcW w:w="3673" w:type="dxa"/>
            <w:vAlign w:val="center"/>
          </w:tcPr>
          <w:p w14:paraId="3A9EAC03" w14:textId="6489FCB0" w:rsidR="00250E9B" w:rsidRPr="00F73297" w:rsidRDefault="00250E9B">
            <w:pPr>
              <w:jc w:val="center"/>
              <w:rPr>
                <w:rFonts w:eastAsia="Aptos"/>
                <w:i/>
                <w:iCs/>
                <w:noProof/>
                <w:color w:val="0E2841"/>
                <w:kern w:val="2"/>
                <w:sz w:val="18"/>
                <w:szCs w:val="18"/>
              </w:rPr>
            </w:pPr>
            <w:r w:rsidRPr="00F73297">
              <w:rPr>
                <w:rFonts w:eastAsia="Aptos"/>
                <w:i/>
                <w:iCs/>
                <w:noProof/>
                <w:color w:val="0E2841"/>
                <w:kern w:val="2"/>
                <w:sz w:val="18"/>
                <w:szCs w:val="18"/>
              </w:rPr>
              <w:fldChar w:fldCharType="begin"/>
            </w:r>
            <w:r w:rsidR="00105153">
              <w:rPr>
                <w:rFonts w:eastAsia="Aptos"/>
                <w:i/>
                <w:iCs/>
                <w:noProof/>
                <w:color w:val="0E2841"/>
                <w:kern w:val="2"/>
                <w:sz w:val="18"/>
                <w:szCs w:val="18"/>
              </w:rPr>
              <w:instrText xml:space="preserve"> ADDIN ZOTERO_ITEM CSL_CITATION {"citationID":"dJ0d34rc","properties":{"formattedCitation":"(Zhou et al., 2020)","plainCitation":"(Zhou et al., 2020)","noteIndex":0},"citationItems":[{"id":16690,"uris":["http://zotero.org/groups/5509458/items/HGS2XCRK"],"itemData":{"id":16690,"type":"article-journal","container-title":"Journal of Cleaner Production","DOI":"10.1016/j.jclepro.2020.121599","ISSN":"09596526","journalAbbreviation":"Journal of Cleaner Production","language":"en","page":"121599","source":"DOI.org (Crossref)","title":"Dynamic criticality of by-products used in thin-film photovoltaic technologies by 2050","volume":"263","author":[{"family":"Zhou","given":"Yanjing"},{"family":"Li","given":"Jianwu"},{"family":"Rechberger","given":"Helmut"},{"family":"Wang","given":"Gaoshang"},{"family":"Chen","given":"Shouyu"},{"family":"Xing","given":"Wanli"},{"family":"Li","given":"Pengyuan"}],"issued":{"date-parts":[["2020",8]]}}}],"schema":"https://github.com/citation-style-language/schema/raw/master/csl-citation.json"} </w:instrText>
            </w:r>
            <w:r w:rsidRPr="00F73297">
              <w:rPr>
                <w:rFonts w:eastAsia="Aptos"/>
                <w:i/>
                <w:iCs/>
                <w:noProof/>
                <w:color w:val="0E2841"/>
                <w:kern w:val="2"/>
                <w:sz w:val="18"/>
                <w:szCs w:val="18"/>
              </w:rPr>
              <w:fldChar w:fldCharType="separate"/>
            </w:r>
            <w:r w:rsidR="00105153">
              <w:rPr>
                <w:rFonts w:eastAsia="Aptos"/>
                <w:i/>
                <w:iCs/>
                <w:noProof/>
                <w:color w:val="0E2841"/>
                <w:kern w:val="2"/>
                <w:sz w:val="18"/>
                <w:szCs w:val="18"/>
              </w:rPr>
              <w:t>(Zhou et al., 2020)</w:t>
            </w:r>
            <w:r w:rsidRPr="00F73297">
              <w:rPr>
                <w:rFonts w:eastAsia="Aptos"/>
                <w:i/>
                <w:iCs/>
                <w:noProof/>
                <w:color w:val="0E2841"/>
                <w:kern w:val="2"/>
                <w:sz w:val="18"/>
                <w:szCs w:val="18"/>
              </w:rPr>
              <w:fldChar w:fldCharType="end"/>
            </w:r>
          </w:p>
        </w:tc>
      </w:tr>
      <w:tr w:rsidR="00250E9B" w:rsidRPr="00F73297" w14:paraId="4EFD0D06" w14:textId="77777777">
        <w:trPr>
          <w:trHeight w:val="23"/>
          <w:jc w:val="center"/>
        </w:trPr>
        <w:tc>
          <w:tcPr>
            <w:tcW w:w="1158" w:type="dxa"/>
            <w:vMerge/>
            <w:vAlign w:val="center"/>
            <w:hideMark/>
          </w:tcPr>
          <w:p w14:paraId="67AA6675" w14:textId="77777777" w:rsidR="00250E9B" w:rsidRPr="00F73297" w:rsidRDefault="00250E9B">
            <w:pPr>
              <w:jc w:val="center"/>
              <w:rPr>
                <w:rFonts w:eastAsia="Aptos"/>
                <w:i/>
                <w:iCs/>
                <w:color w:val="0E2841"/>
                <w:kern w:val="2"/>
                <w:sz w:val="18"/>
                <w:szCs w:val="18"/>
              </w:rPr>
            </w:pPr>
          </w:p>
        </w:tc>
        <w:tc>
          <w:tcPr>
            <w:tcW w:w="1009" w:type="dxa"/>
            <w:vMerge/>
            <w:vAlign w:val="center"/>
            <w:hideMark/>
          </w:tcPr>
          <w:p w14:paraId="0F2993B6" w14:textId="77777777" w:rsidR="00250E9B" w:rsidRPr="00F73297" w:rsidRDefault="00250E9B">
            <w:pPr>
              <w:jc w:val="center"/>
              <w:rPr>
                <w:rFonts w:eastAsia="Aptos"/>
                <w:i/>
                <w:iCs/>
                <w:color w:val="0E2841"/>
                <w:kern w:val="2"/>
                <w:sz w:val="18"/>
                <w:szCs w:val="18"/>
              </w:rPr>
            </w:pPr>
          </w:p>
        </w:tc>
        <w:tc>
          <w:tcPr>
            <w:tcW w:w="959" w:type="dxa"/>
            <w:noWrap/>
            <w:vAlign w:val="center"/>
            <w:hideMark/>
          </w:tcPr>
          <w:p w14:paraId="49147499" w14:textId="7777777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t>3.0</w:t>
            </w:r>
          </w:p>
        </w:tc>
        <w:tc>
          <w:tcPr>
            <w:tcW w:w="3673" w:type="dxa"/>
            <w:vAlign w:val="center"/>
          </w:tcPr>
          <w:p w14:paraId="30C9F65D" w14:textId="7C206B69" w:rsidR="00250E9B" w:rsidRPr="00F73297" w:rsidRDefault="00250E9B">
            <w:pPr>
              <w:jc w:val="center"/>
              <w:rPr>
                <w:rFonts w:eastAsia="Aptos"/>
                <w:i/>
                <w:iCs/>
                <w:noProof/>
                <w:color w:val="0E2841"/>
                <w:kern w:val="2"/>
                <w:sz w:val="18"/>
                <w:szCs w:val="18"/>
              </w:rPr>
            </w:pPr>
            <w:r w:rsidRPr="00F73297">
              <w:rPr>
                <w:rFonts w:eastAsia="Aptos"/>
                <w:i/>
                <w:iCs/>
                <w:noProof/>
                <w:color w:val="0E2841"/>
                <w:kern w:val="2"/>
                <w:sz w:val="18"/>
                <w:szCs w:val="18"/>
              </w:rPr>
              <w:fldChar w:fldCharType="begin"/>
            </w:r>
            <w:r w:rsidR="00105153">
              <w:rPr>
                <w:rFonts w:eastAsia="Aptos"/>
                <w:i/>
                <w:iCs/>
                <w:noProof/>
                <w:color w:val="0E2841"/>
                <w:kern w:val="2"/>
                <w:sz w:val="18"/>
                <w:szCs w:val="18"/>
              </w:rPr>
              <w:instrText xml:space="preserve"> ADDIN ZOTERO_ITEM CSL_CITATION {"citationID":"lW6nSE7A","properties":{"formattedCitation":"(Carrara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iCs/>
                <w:noProof/>
                <w:color w:val="0E2841"/>
                <w:kern w:val="2"/>
                <w:sz w:val="18"/>
                <w:szCs w:val="18"/>
              </w:rPr>
              <w:fldChar w:fldCharType="separate"/>
            </w:r>
            <w:r w:rsidR="00105153">
              <w:rPr>
                <w:rFonts w:eastAsia="Aptos"/>
                <w:i/>
                <w:iCs/>
                <w:noProof/>
                <w:color w:val="0E2841"/>
                <w:kern w:val="2"/>
                <w:sz w:val="18"/>
                <w:szCs w:val="18"/>
              </w:rPr>
              <w:t>(Carrara et al., 2020)</w:t>
            </w:r>
            <w:r w:rsidRPr="00F73297">
              <w:rPr>
                <w:rFonts w:eastAsia="Aptos"/>
                <w:i/>
                <w:iCs/>
                <w:noProof/>
                <w:color w:val="0E2841"/>
                <w:kern w:val="2"/>
                <w:sz w:val="18"/>
                <w:szCs w:val="18"/>
              </w:rPr>
              <w:fldChar w:fldCharType="end"/>
            </w:r>
          </w:p>
        </w:tc>
      </w:tr>
      <w:tr w:rsidR="00250E9B" w:rsidRPr="00F73297" w14:paraId="0FC45C59" w14:textId="77777777">
        <w:trPr>
          <w:trHeight w:val="23"/>
          <w:jc w:val="center"/>
        </w:trPr>
        <w:tc>
          <w:tcPr>
            <w:tcW w:w="1158" w:type="dxa"/>
            <w:vMerge/>
            <w:vAlign w:val="center"/>
            <w:hideMark/>
          </w:tcPr>
          <w:p w14:paraId="5CE984B5" w14:textId="77777777" w:rsidR="00250E9B" w:rsidRPr="00F73297" w:rsidRDefault="00250E9B">
            <w:pPr>
              <w:jc w:val="center"/>
              <w:rPr>
                <w:rFonts w:eastAsia="Aptos"/>
                <w:i/>
                <w:iCs/>
                <w:color w:val="0E2841"/>
                <w:kern w:val="2"/>
                <w:sz w:val="18"/>
                <w:szCs w:val="18"/>
              </w:rPr>
            </w:pPr>
          </w:p>
        </w:tc>
        <w:tc>
          <w:tcPr>
            <w:tcW w:w="1009" w:type="dxa"/>
            <w:vMerge/>
            <w:vAlign w:val="center"/>
            <w:hideMark/>
          </w:tcPr>
          <w:p w14:paraId="0594F251" w14:textId="77777777" w:rsidR="00250E9B" w:rsidRPr="00F73297" w:rsidRDefault="00250E9B">
            <w:pPr>
              <w:jc w:val="center"/>
              <w:rPr>
                <w:rFonts w:eastAsia="Aptos"/>
                <w:i/>
                <w:iCs/>
                <w:color w:val="0E2841"/>
                <w:kern w:val="2"/>
                <w:sz w:val="18"/>
                <w:szCs w:val="18"/>
              </w:rPr>
            </w:pPr>
          </w:p>
        </w:tc>
        <w:tc>
          <w:tcPr>
            <w:tcW w:w="959" w:type="dxa"/>
            <w:noWrap/>
            <w:vAlign w:val="center"/>
            <w:hideMark/>
          </w:tcPr>
          <w:p w14:paraId="3E20C9BE" w14:textId="7777777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t>4.0</w:t>
            </w:r>
          </w:p>
        </w:tc>
        <w:tc>
          <w:tcPr>
            <w:tcW w:w="3673" w:type="dxa"/>
            <w:vAlign w:val="center"/>
          </w:tcPr>
          <w:p w14:paraId="0AE86055" w14:textId="4DCEA43A" w:rsidR="00250E9B" w:rsidRPr="00F73297" w:rsidRDefault="00250E9B">
            <w:pPr>
              <w:jc w:val="center"/>
              <w:rPr>
                <w:rFonts w:eastAsia="Aptos"/>
                <w:i/>
                <w:iCs/>
                <w:noProof/>
                <w:color w:val="0E2841"/>
                <w:kern w:val="2"/>
                <w:sz w:val="18"/>
                <w:szCs w:val="18"/>
              </w:rPr>
            </w:pPr>
            <w:r w:rsidRPr="00F73297">
              <w:rPr>
                <w:rFonts w:eastAsia="Aptos"/>
                <w:i/>
                <w:iCs/>
                <w:noProof/>
                <w:color w:val="0E2841"/>
                <w:kern w:val="2"/>
                <w:sz w:val="18"/>
                <w:szCs w:val="18"/>
              </w:rPr>
              <w:fldChar w:fldCharType="begin"/>
            </w:r>
            <w:r w:rsidR="00105153">
              <w:rPr>
                <w:rFonts w:eastAsia="Aptos"/>
                <w:i/>
                <w:iCs/>
                <w:noProof/>
                <w:color w:val="0E2841"/>
                <w:kern w:val="2"/>
                <w:sz w:val="18"/>
                <w:szCs w:val="18"/>
              </w:rPr>
              <w:instrText xml:space="preserve"> ADDIN ZOTERO_ITEM CSL_CITATION {"citationID":"iX8oIYq7","properties":{"formattedCitation":"(Carrara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iCs/>
                <w:noProof/>
                <w:color w:val="0E2841"/>
                <w:kern w:val="2"/>
                <w:sz w:val="18"/>
                <w:szCs w:val="18"/>
              </w:rPr>
              <w:fldChar w:fldCharType="separate"/>
            </w:r>
            <w:r w:rsidR="00105153">
              <w:rPr>
                <w:rFonts w:eastAsia="Aptos"/>
                <w:i/>
                <w:iCs/>
                <w:noProof/>
                <w:color w:val="0E2841"/>
                <w:kern w:val="2"/>
                <w:sz w:val="18"/>
                <w:szCs w:val="18"/>
              </w:rPr>
              <w:t>(Carrara et al., 2020)</w:t>
            </w:r>
            <w:r w:rsidRPr="00F73297">
              <w:rPr>
                <w:rFonts w:eastAsia="Aptos"/>
                <w:i/>
                <w:iCs/>
                <w:noProof/>
                <w:color w:val="0E2841"/>
                <w:kern w:val="2"/>
                <w:sz w:val="18"/>
                <w:szCs w:val="18"/>
              </w:rPr>
              <w:fldChar w:fldCharType="end"/>
            </w:r>
          </w:p>
        </w:tc>
      </w:tr>
      <w:tr w:rsidR="00250E9B" w:rsidRPr="00F73297" w14:paraId="0827682D" w14:textId="77777777">
        <w:trPr>
          <w:trHeight w:val="23"/>
          <w:jc w:val="center"/>
        </w:trPr>
        <w:tc>
          <w:tcPr>
            <w:tcW w:w="1158" w:type="dxa"/>
            <w:vMerge/>
            <w:vAlign w:val="center"/>
            <w:hideMark/>
          </w:tcPr>
          <w:p w14:paraId="7B177009" w14:textId="77777777" w:rsidR="00250E9B" w:rsidRPr="00F73297" w:rsidRDefault="00250E9B">
            <w:pPr>
              <w:jc w:val="center"/>
              <w:rPr>
                <w:rFonts w:eastAsia="Aptos"/>
                <w:i/>
                <w:iCs/>
                <w:color w:val="0E2841"/>
                <w:kern w:val="2"/>
                <w:sz w:val="18"/>
                <w:szCs w:val="18"/>
              </w:rPr>
            </w:pPr>
          </w:p>
        </w:tc>
        <w:tc>
          <w:tcPr>
            <w:tcW w:w="1009" w:type="dxa"/>
            <w:vMerge/>
            <w:vAlign w:val="center"/>
            <w:hideMark/>
          </w:tcPr>
          <w:p w14:paraId="4D3201D4" w14:textId="77777777" w:rsidR="00250E9B" w:rsidRPr="00F73297" w:rsidRDefault="00250E9B">
            <w:pPr>
              <w:jc w:val="center"/>
              <w:rPr>
                <w:rFonts w:eastAsia="Aptos"/>
                <w:i/>
                <w:iCs/>
                <w:color w:val="0E2841"/>
                <w:kern w:val="2"/>
                <w:sz w:val="18"/>
                <w:szCs w:val="18"/>
              </w:rPr>
            </w:pPr>
          </w:p>
        </w:tc>
        <w:tc>
          <w:tcPr>
            <w:tcW w:w="959" w:type="dxa"/>
            <w:noWrap/>
            <w:vAlign w:val="center"/>
            <w:hideMark/>
          </w:tcPr>
          <w:p w14:paraId="127D05E6" w14:textId="7777777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t>7.0</w:t>
            </w:r>
          </w:p>
        </w:tc>
        <w:tc>
          <w:tcPr>
            <w:tcW w:w="3673" w:type="dxa"/>
            <w:vAlign w:val="center"/>
          </w:tcPr>
          <w:p w14:paraId="615800E6" w14:textId="779F9BB0" w:rsidR="00250E9B" w:rsidRPr="00F73297" w:rsidRDefault="00250E9B">
            <w:pPr>
              <w:jc w:val="center"/>
              <w:rPr>
                <w:rFonts w:eastAsia="Aptos"/>
                <w:i/>
                <w:iCs/>
                <w:noProof/>
                <w:color w:val="0E2841"/>
                <w:kern w:val="2"/>
                <w:sz w:val="18"/>
                <w:szCs w:val="18"/>
              </w:rPr>
            </w:pPr>
            <w:r w:rsidRPr="00F73297">
              <w:rPr>
                <w:rFonts w:eastAsia="Aptos"/>
                <w:i/>
                <w:iCs/>
                <w:noProof/>
                <w:color w:val="0E2841"/>
                <w:kern w:val="2"/>
                <w:sz w:val="18"/>
                <w:szCs w:val="18"/>
              </w:rPr>
              <w:fldChar w:fldCharType="begin"/>
            </w:r>
            <w:r w:rsidR="00105153">
              <w:rPr>
                <w:rFonts w:eastAsia="Aptos"/>
                <w:i/>
                <w:iCs/>
                <w:noProof/>
                <w:color w:val="0E2841"/>
                <w:kern w:val="2"/>
                <w:sz w:val="18"/>
                <w:szCs w:val="18"/>
              </w:rPr>
              <w:instrText xml:space="preserve"> ADDIN ZOTERO_ITEM CSL_CITATION {"citationID":"cPiQytII","properties":{"formattedCitation":"(Carrara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iCs/>
                <w:noProof/>
                <w:color w:val="0E2841"/>
                <w:kern w:val="2"/>
                <w:sz w:val="18"/>
                <w:szCs w:val="18"/>
              </w:rPr>
              <w:fldChar w:fldCharType="separate"/>
            </w:r>
            <w:r w:rsidR="00105153">
              <w:rPr>
                <w:rFonts w:eastAsia="Aptos"/>
                <w:i/>
                <w:iCs/>
                <w:noProof/>
                <w:color w:val="0E2841"/>
                <w:kern w:val="2"/>
                <w:sz w:val="18"/>
                <w:szCs w:val="18"/>
              </w:rPr>
              <w:t>(Carrara et al., 2020)</w:t>
            </w:r>
            <w:r w:rsidRPr="00F73297">
              <w:rPr>
                <w:rFonts w:eastAsia="Aptos"/>
                <w:i/>
                <w:iCs/>
                <w:noProof/>
                <w:color w:val="0E2841"/>
                <w:kern w:val="2"/>
                <w:sz w:val="18"/>
                <w:szCs w:val="18"/>
              </w:rPr>
              <w:fldChar w:fldCharType="end"/>
            </w:r>
          </w:p>
        </w:tc>
      </w:tr>
      <w:tr w:rsidR="00250E9B" w:rsidRPr="00F73297" w14:paraId="5B358A44" w14:textId="77777777">
        <w:trPr>
          <w:trHeight w:val="23"/>
          <w:jc w:val="center"/>
        </w:trPr>
        <w:tc>
          <w:tcPr>
            <w:tcW w:w="1158" w:type="dxa"/>
            <w:vMerge/>
            <w:vAlign w:val="center"/>
            <w:hideMark/>
          </w:tcPr>
          <w:p w14:paraId="6AD43A0C" w14:textId="77777777" w:rsidR="00250E9B" w:rsidRPr="00F73297" w:rsidRDefault="00250E9B">
            <w:pPr>
              <w:jc w:val="center"/>
              <w:rPr>
                <w:rFonts w:eastAsia="Aptos"/>
                <w:i/>
                <w:iCs/>
                <w:color w:val="0E2841"/>
                <w:kern w:val="2"/>
                <w:sz w:val="18"/>
                <w:szCs w:val="18"/>
              </w:rPr>
            </w:pPr>
          </w:p>
        </w:tc>
        <w:tc>
          <w:tcPr>
            <w:tcW w:w="1009" w:type="dxa"/>
            <w:vMerge w:val="restart"/>
            <w:noWrap/>
            <w:vAlign w:val="center"/>
            <w:hideMark/>
          </w:tcPr>
          <w:p w14:paraId="6AC3C4EF" w14:textId="77777777" w:rsidR="00250E9B" w:rsidRDefault="00250E9B">
            <w:pPr>
              <w:jc w:val="center"/>
              <w:rPr>
                <w:rFonts w:eastAsia="Aptos"/>
                <w:i/>
                <w:iCs/>
                <w:color w:val="0E2841"/>
                <w:kern w:val="2"/>
                <w:sz w:val="18"/>
                <w:szCs w:val="18"/>
              </w:rPr>
            </w:pPr>
            <w:r w:rsidRPr="00F73297">
              <w:rPr>
                <w:rFonts w:eastAsia="Aptos"/>
                <w:i/>
                <w:iCs/>
                <w:color w:val="0E2841"/>
                <w:kern w:val="2"/>
                <w:sz w:val="18"/>
                <w:szCs w:val="18"/>
              </w:rPr>
              <w:t>Indium</w:t>
            </w:r>
          </w:p>
          <w:p w14:paraId="7366F849" w14:textId="77777777" w:rsidR="00250E9B" w:rsidRPr="00F73297" w:rsidRDefault="00250E9B">
            <w:pPr>
              <w:jc w:val="center"/>
              <w:rPr>
                <w:rFonts w:eastAsia="Aptos"/>
                <w:i/>
                <w:iCs/>
                <w:color w:val="0E2841"/>
                <w:kern w:val="2"/>
                <w:sz w:val="18"/>
                <w:szCs w:val="18"/>
              </w:rPr>
            </w:pPr>
            <w:r>
              <w:rPr>
                <w:rFonts w:eastAsia="Aptos"/>
                <w:i/>
                <w:iCs/>
                <w:color w:val="0E2841"/>
                <w:kern w:val="2"/>
                <w:sz w:val="18"/>
                <w:szCs w:val="18"/>
              </w:rPr>
              <w:t>In</w:t>
            </w:r>
          </w:p>
        </w:tc>
        <w:tc>
          <w:tcPr>
            <w:tcW w:w="959" w:type="dxa"/>
            <w:noWrap/>
            <w:vAlign w:val="center"/>
            <w:hideMark/>
          </w:tcPr>
          <w:p w14:paraId="50500533" w14:textId="7777777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t>13.0</w:t>
            </w:r>
          </w:p>
        </w:tc>
        <w:tc>
          <w:tcPr>
            <w:tcW w:w="3673" w:type="dxa"/>
            <w:vAlign w:val="center"/>
          </w:tcPr>
          <w:p w14:paraId="28E458F5" w14:textId="5924C7E5" w:rsidR="00250E9B" w:rsidRPr="00F73297" w:rsidRDefault="00250E9B">
            <w:pPr>
              <w:jc w:val="center"/>
              <w:rPr>
                <w:rFonts w:eastAsia="Aptos"/>
                <w:i/>
                <w:iCs/>
                <w:noProof/>
                <w:color w:val="0E2841"/>
                <w:kern w:val="2"/>
                <w:sz w:val="18"/>
                <w:szCs w:val="18"/>
              </w:rPr>
            </w:pPr>
            <w:r w:rsidRPr="00F73297">
              <w:rPr>
                <w:rFonts w:eastAsia="Aptos"/>
                <w:i/>
                <w:iCs/>
                <w:noProof/>
                <w:color w:val="0E2841"/>
                <w:kern w:val="2"/>
                <w:sz w:val="18"/>
                <w:szCs w:val="18"/>
              </w:rPr>
              <w:fldChar w:fldCharType="begin"/>
            </w:r>
            <w:r w:rsidR="00105153">
              <w:rPr>
                <w:rFonts w:eastAsia="Aptos"/>
                <w:i/>
                <w:iCs/>
                <w:noProof/>
                <w:color w:val="0E2841"/>
                <w:kern w:val="2"/>
                <w:sz w:val="18"/>
                <w:szCs w:val="18"/>
              </w:rPr>
              <w:instrText xml:space="preserve"> ADDIN ZOTERO_ITEM CSL_CITATION {"citationID":"mErWCUg2","properties":{"formattedCitation":"(M\\uc0\\u229{}nberger &amp; Stenqvist, 2018)","plainCitation":"(Månberger &amp; Stenqvist, 2018)","noteIndex":0},"citationItems":[{"id":16607,"uris":["http://zotero.org/groups/5509458/items/ETUG7SXT"],"itemData":{"id":16607,"type":"article-journal","container-title":"Energy Policy","DOI":"10.1016/j.enpol.2018.04.056","ISSN":"03014215","journalAbbreviation":"Energy Policy","language":"en","page":"226-241","source":"DOI.org (Crossref)","title":"Global metal flows in the renewable energy transition: Exploring the effects of substitutes, technological mix and development","title-short":"Global metal flows in the renewable energy transition","volume":"119","author":[{"family":"Månberger","given":"André"},{"family":"Stenqvist","given":"Björn"}],"issued":{"date-parts":[["2018",8]]}}}],"schema":"https://github.com/citation-style-language/schema/raw/master/csl-citation.json"} </w:instrText>
            </w:r>
            <w:r w:rsidRPr="00F73297">
              <w:rPr>
                <w:rFonts w:eastAsia="Aptos"/>
                <w:i/>
                <w:iCs/>
                <w:noProof/>
                <w:color w:val="0E2841"/>
                <w:kern w:val="2"/>
                <w:sz w:val="18"/>
                <w:szCs w:val="18"/>
              </w:rPr>
              <w:fldChar w:fldCharType="separate"/>
            </w:r>
            <w:r w:rsidR="008836FB" w:rsidRPr="00105153">
              <w:rPr>
                <w:color w:val="008080"/>
                <w:sz w:val="18"/>
                <w:szCs w:val="24"/>
                <w:lang w:val="en-GB" w:eastAsia="en-GB"/>
              </w:rPr>
              <w:t>(</w:t>
            </w:r>
            <w:proofErr w:type="spellStart"/>
            <w:r w:rsidR="008836FB" w:rsidRPr="00105153">
              <w:rPr>
                <w:color w:val="008080"/>
                <w:sz w:val="18"/>
                <w:szCs w:val="24"/>
                <w:lang w:val="en-GB" w:eastAsia="en-GB"/>
              </w:rPr>
              <w:t>Månberger</w:t>
            </w:r>
            <w:proofErr w:type="spellEnd"/>
            <w:r w:rsidR="008836FB" w:rsidRPr="00105153">
              <w:rPr>
                <w:color w:val="008080"/>
                <w:sz w:val="18"/>
                <w:szCs w:val="24"/>
                <w:lang w:val="en-GB" w:eastAsia="en-GB"/>
              </w:rPr>
              <w:t xml:space="preserve"> &amp; </w:t>
            </w:r>
            <w:proofErr w:type="spellStart"/>
            <w:r w:rsidR="008836FB" w:rsidRPr="00105153">
              <w:rPr>
                <w:color w:val="008080"/>
                <w:sz w:val="18"/>
                <w:szCs w:val="24"/>
                <w:lang w:val="en-GB" w:eastAsia="en-GB"/>
              </w:rPr>
              <w:t>Stenqvist</w:t>
            </w:r>
            <w:proofErr w:type="spellEnd"/>
            <w:r w:rsidR="008836FB" w:rsidRPr="00105153">
              <w:rPr>
                <w:color w:val="008080"/>
                <w:sz w:val="18"/>
                <w:szCs w:val="24"/>
                <w:lang w:val="en-GB" w:eastAsia="en-GB"/>
              </w:rPr>
              <w:t>, 2018)</w:t>
            </w:r>
            <w:r w:rsidRPr="00F73297">
              <w:rPr>
                <w:rFonts w:eastAsia="Aptos"/>
                <w:i/>
                <w:iCs/>
                <w:noProof/>
                <w:color w:val="0E2841"/>
                <w:kern w:val="2"/>
                <w:sz w:val="18"/>
                <w:szCs w:val="18"/>
              </w:rPr>
              <w:fldChar w:fldCharType="end"/>
            </w:r>
          </w:p>
        </w:tc>
      </w:tr>
      <w:tr w:rsidR="00250E9B" w:rsidRPr="00F73297" w14:paraId="58D41C11" w14:textId="77777777">
        <w:trPr>
          <w:trHeight w:val="23"/>
          <w:jc w:val="center"/>
        </w:trPr>
        <w:tc>
          <w:tcPr>
            <w:tcW w:w="1158" w:type="dxa"/>
            <w:vMerge/>
            <w:vAlign w:val="center"/>
            <w:hideMark/>
          </w:tcPr>
          <w:p w14:paraId="300635AF" w14:textId="77777777" w:rsidR="00250E9B" w:rsidRPr="00F73297" w:rsidRDefault="00250E9B">
            <w:pPr>
              <w:jc w:val="center"/>
              <w:rPr>
                <w:rFonts w:eastAsia="Aptos"/>
                <w:i/>
                <w:iCs/>
                <w:color w:val="0E2841"/>
                <w:kern w:val="2"/>
                <w:sz w:val="18"/>
                <w:szCs w:val="18"/>
              </w:rPr>
            </w:pPr>
          </w:p>
        </w:tc>
        <w:tc>
          <w:tcPr>
            <w:tcW w:w="1009" w:type="dxa"/>
            <w:vMerge/>
            <w:vAlign w:val="center"/>
            <w:hideMark/>
          </w:tcPr>
          <w:p w14:paraId="79465263" w14:textId="77777777" w:rsidR="00250E9B" w:rsidRPr="00F73297" w:rsidRDefault="00250E9B">
            <w:pPr>
              <w:jc w:val="center"/>
              <w:rPr>
                <w:rFonts w:eastAsia="Aptos"/>
                <w:i/>
                <w:iCs/>
                <w:color w:val="0E2841"/>
                <w:kern w:val="2"/>
                <w:sz w:val="18"/>
                <w:szCs w:val="18"/>
              </w:rPr>
            </w:pPr>
          </w:p>
        </w:tc>
        <w:tc>
          <w:tcPr>
            <w:tcW w:w="959" w:type="dxa"/>
            <w:noWrap/>
            <w:vAlign w:val="center"/>
            <w:hideMark/>
          </w:tcPr>
          <w:p w14:paraId="19D39BAD" w14:textId="7777777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t>13.0</w:t>
            </w:r>
          </w:p>
        </w:tc>
        <w:tc>
          <w:tcPr>
            <w:tcW w:w="3673" w:type="dxa"/>
            <w:vAlign w:val="center"/>
          </w:tcPr>
          <w:p w14:paraId="6607EB20" w14:textId="2BF461CB"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fldChar w:fldCharType="begin"/>
            </w:r>
            <w:r w:rsidR="008836FB">
              <w:rPr>
                <w:rFonts w:eastAsia="Aptos"/>
                <w:i/>
                <w:iCs/>
                <w:color w:val="0E2841"/>
                <w:kern w:val="2"/>
                <w:sz w:val="18"/>
                <w:szCs w:val="18"/>
              </w:rPr>
              <w:instrText xml:space="preserve"> ADDIN ZOTERO_ITEM CSL_CITATION {"citationID":"yJGYlQpU","properties":{"formattedCitation":"(Wang et al., 2019)","plainCitation":"(Wang et al., 2019)","noteIndex":0},"citationItems":[{"id":15687,"uris":["http://zotero.org/groups/5033565/items/VP4S8W9B"],"itemData":{"id":15687,"type":"article-journal","container-title":"Applied Energy","DOI":"10.1016/j.apenergy.2019.113612","ISSN":"03062619","journalAbbreviation":"Applied Energy","language":"en","page":"113612","source":"DOI.org (Crossref)","title":"Incorporating critical material cycles into metal-energy nexus of China’s 2050 renewable transition","volume":"253","author":[{"family":"Wang","given":"Peng"},{"family":"Chen","given":"Li-Yang"},{"family":"Ge","given":"Jian-Ping"},{"family":"Cai","given":"Wenjia"},{"family":"Chen","given":"Wei-Qiang"}],"issued":{"date-parts":[["2019",11]]}}}],"schema":"https://github.com/citation-style-language/schema/raw/master/csl-citation.json"} </w:instrText>
            </w:r>
            <w:r w:rsidRPr="00F73297">
              <w:rPr>
                <w:rFonts w:eastAsia="Aptos"/>
                <w:i/>
                <w:iCs/>
                <w:color w:val="0E2841"/>
                <w:kern w:val="2"/>
                <w:sz w:val="18"/>
                <w:szCs w:val="18"/>
              </w:rPr>
              <w:fldChar w:fldCharType="separate"/>
            </w:r>
            <w:r w:rsidR="008836FB">
              <w:rPr>
                <w:rFonts w:eastAsia="Aptos"/>
                <w:i/>
                <w:iCs/>
                <w:noProof/>
                <w:color w:val="0E2841"/>
                <w:kern w:val="2"/>
                <w:sz w:val="18"/>
                <w:szCs w:val="18"/>
              </w:rPr>
              <w:t>(Wang et al., 2019)</w:t>
            </w:r>
            <w:r w:rsidRPr="00F73297">
              <w:rPr>
                <w:rFonts w:eastAsia="Aptos"/>
                <w:i/>
                <w:iCs/>
                <w:color w:val="0E2841"/>
                <w:kern w:val="2"/>
                <w:sz w:val="18"/>
                <w:szCs w:val="18"/>
              </w:rPr>
              <w:fldChar w:fldCharType="end"/>
            </w:r>
          </w:p>
        </w:tc>
      </w:tr>
      <w:tr w:rsidR="00250E9B" w:rsidRPr="00F73297" w14:paraId="22A4AE93" w14:textId="77777777">
        <w:trPr>
          <w:trHeight w:val="23"/>
          <w:jc w:val="center"/>
        </w:trPr>
        <w:tc>
          <w:tcPr>
            <w:tcW w:w="1158" w:type="dxa"/>
            <w:vMerge/>
            <w:vAlign w:val="center"/>
            <w:hideMark/>
          </w:tcPr>
          <w:p w14:paraId="5C45922A" w14:textId="77777777" w:rsidR="00250E9B" w:rsidRPr="00F73297" w:rsidRDefault="00250E9B">
            <w:pPr>
              <w:jc w:val="center"/>
              <w:rPr>
                <w:rFonts w:eastAsia="Aptos"/>
                <w:i/>
                <w:iCs/>
                <w:color w:val="0E2841"/>
                <w:kern w:val="2"/>
                <w:sz w:val="18"/>
                <w:szCs w:val="18"/>
              </w:rPr>
            </w:pPr>
          </w:p>
        </w:tc>
        <w:tc>
          <w:tcPr>
            <w:tcW w:w="1009" w:type="dxa"/>
            <w:vMerge/>
            <w:vAlign w:val="center"/>
            <w:hideMark/>
          </w:tcPr>
          <w:p w14:paraId="740534DD" w14:textId="77777777" w:rsidR="00250E9B" w:rsidRPr="00F73297" w:rsidRDefault="00250E9B">
            <w:pPr>
              <w:jc w:val="center"/>
              <w:rPr>
                <w:rFonts w:eastAsia="Aptos"/>
                <w:i/>
                <w:iCs/>
                <w:color w:val="0E2841"/>
                <w:kern w:val="2"/>
                <w:sz w:val="18"/>
                <w:szCs w:val="18"/>
              </w:rPr>
            </w:pPr>
          </w:p>
        </w:tc>
        <w:tc>
          <w:tcPr>
            <w:tcW w:w="959" w:type="dxa"/>
            <w:noWrap/>
            <w:vAlign w:val="center"/>
            <w:hideMark/>
          </w:tcPr>
          <w:p w14:paraId="06C9F9CD" w14:textId="7777777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t>23.0</w:t>
            </w:r>
          </w:p>
        </w:tc>
        <w:tc>
          <w:tcPr>
            <w:tcW w:w="3673" w:type="dxa"/>
            <w:vAlign w:val="center"/>
          </w:tcPr>
          <w:p w14:paraId="0D80D62A" w14:textId="009213D6"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fldChar w:fldCharType="begin"/>
            </w:r>
            <w:r w:rsidR="008836FB">
              <w:rPr>
                <w:rFonts w:eastAsia="Aptos"/>
                <w:i/>
                <w:iCs/>
                <w:color w:val="0E2841"/>
                <w:kern w:val="2"/>
                <w:sz w:val="18"/>
                <w:szCs w:val="18"/>
              </w:rPr>
              <w:instrText xml:space="preserve"> ADDIN ZOTERO_ITEM CSL_CITATION {"citationID":"5ZcLJAS0","properties":{"formattedCitation":"(Elshkaki &amp; Shen, 2019)","plainCitation":"(Elshkaki &amp; Shen, 2019)","noteIndex":0},"citationItems":[{"id":16580,"uris":["http://zotero.org/groups/5509458/items/29GCVUC4"],"itemData":{"id":16580,"type":"article-journal","container-title":"Energy","DOI":"10.1016/j.energy.2019.05.156","ISSN":"03605442","journalAbbreviation":"Energy","language":"en","page":"903-917","source":"DOI.org (Crossref)","title":"Energy-material nexus: The impacts of national and international energy scenarios on critical metals use in China up to 2050 and their global implications","title-short":"Energy-material nexus","volume":"180","author":[{"family":"Elshkaki","given":"Ayman"},{"family":"Shen","given":"Lei"}],"issued":{"date-parts":[["2019",8]]}}}],"schema":"https://github.com/citation-style-language/schema/raw/master/csl-citation.json"} </w:instrText>
            </w:r>
            <w:r w:rsidRPr="00F73297">
              <w:rPr>
                <w:rFonts w:eastAsia="Aptos"/>
                <w:i/>
                <w:iCs/>
                <w:color w:val="0E2841"/>
                <w:kern w:val="2"/>
                <w:sz w:val="18"/>
                <w:szCs w:val="18"/>
              </w:rPr>
              <w:fldChar w:fldCharType="separate"/>
            </w:r>
            <w:r w:rsidR="008836FB">
              <w:rPr>
                <w:rFonts w:eastAsia="Aptos"/>
                <w:i/>
                <w:iCs/>
                <w:noProof/>
                <w:color w:val="0E2841"/>
                <w:kern w:val="2"/>
                <w:sz w:val="18"/>
                <w:szCs w:val="18"/>
              </w:rPr>
              <w:t>(Elshkaki &amp; Shen, 2019)</w:t>
            </w:r>
            <w:r w:rsidRPr="00F73297">
              <w:rPr>
                <w:rFonts w:eastAsia="Aptos"/>
                <w:i/>
                <w:iCs/>
                <w:color w:val="0E2841"/>
                <w:kern w:val="2"/>
                <w:sz w:val="18"/>
                <w:szCs w:val="18"/>
              </w:rPr>
              <w:fldChar w:fldCharType="end"/>
            </w:r>
          </w:p>
        </w:tc>
      </w:tr>
      <w:tr w:rsidR="00250E9B" w:rsidRPr="00F73297" w14:paraId="7AC159BB" w14:textId="77777777">
        <w:trPr>
          <w:trHeight w:val="23"/>
          <w:jc w:val="center"/>
        </w:trPr>
        <w:tc>
          <w:tcPr>
            <w:tcW w:w="1158" w:type="dxa"/>
            <w:vMerge/>
            <w:vAlign w:val="center"/>
            <w:hideMark/>
          </w:tcPr>
          <w:p w14:paraId="22CA026A" w14:textId="77777777" w:rsidR="00250E9B" w:rsidRPr="00F73297" w:rsidRDefault="00250E9B">
            <w:pPr>
              <w:jc w:val="center"/>
              <w:rPr>
                <w:rFonts w:eastAsia="Aptos"/>
                <w:i/>
                <w:iCs/>
                <w:color w:val="0E2841"/>
                <w:kern w:val="2"/>
                <w:sz w:val="18"/>
                <w:szCs w:val="18"/>
              </w:rPr>
            </w:pPr>
          </w:p>
        </w:tc>
        <w:tc>
          <w:tcPr>
            <w:tcW w:w="1009" w:type="dxa"/>
            <w:vMerge/>
            <w:vAlign w:val="center"/>
            <w:hideMark/>
          </w:tcPr>
          <w:p w14:paraId="3ACB5B26" w14:textId="77777777" w:rsidR="00250E9B" w:rsidRPr="00F73297" w:rsidRDefault="00250E9B">
            <w:pPr>
              <w:jc w:val="center"/>
              <w:rPr>
                <w:rFonts w:eastAsia="Aptos"/>
                <w:i/>
                <w:iCs/>
                <w:color w:val="0E2841"/>
                <w:kern w:val="2"/>
                <w:sz w:val="18"/>
                <w:szCs w:val="18"/>
              </w:rPr>
            </w:pPr>
          </w:p>
        </w:tc>
        <w:tc>
          <w:tcPr>
            <w:tcW w:w="959" w:type="dxa"/>
            <w:noWrap/>
            <w:vAlign w:val="center"/>
            <w:hideMark/>
          </w:tcPr>
          <w:p w14:paraId="267494F3" w14:textId="7777777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t>31.0</w:t>
            </w:r>
          </w:p>
        </w:tc>
        <w:tc>
          <w:tcPr>
            <w:tcW w:w="3673" w:type="dxa"/>
            <w:vAlign w:val="center"/>
          </w:tcPr>
          <w:p w14:paraId="61830771" w14:textId="4D5D3FFC"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fldChar w:fldCharType="begin"/>
            </w:r>
            <w:r w:rsidR="008836FB">
              <w:rPr>
                <w:rFonts w:eastAsia="Aptos"/>
                <w:i/>
                <w:iCs/>
                <w:color w:val="0E2841"/>
                <w:kern w:val="2"/>
                <w:sz w:val="18"/>
                <w:szCs w:val="18"/>
              </w:rPr>
              <w:instrText xml:space="preserve"> ADDIN ZOTERO_ITEM CSL_CITATION {"citationID":"UhUO5ZI5","properties":{"formattedCitation":"(Watari et al., 2019)","plainCitation":"(Watari et al., 2019)","noteIndex":0},"citationItems":[{"id":16645,"uris":["http://zotero.org/groups/5509458/items/SSAPB4AV"],"itemData":{"id":16645,"type":"article-journal","container-title":"Resources, Conservation and Recycling","DOI":"10.1016/j.resconrec.2019.05.015","ISSN":"09213449","journalAbbreviation":"Resources, Conservation and Recycling","language":"en","page":"91-103","source":"DOI.org (Crossref)","title":"Total material requirement for the global energy transition to 2050: A focus on transport and electricity","title-short":"Total material requirement for the global energy transition to 2050","volume":"148","author":[{"family":"Watari","given":"Takuma"},{"family":"McLellan","given":"Benjamin C."},{"family":"Giurco","given":"Damien"},{"family":"Dominish","given":"Elsa"},{"family":"Yamasue","given":"Eiji"},{"family":"Nansai","given":"Keisuke"}],"issued":{"date-parts":[["2019",9]]}}}],"schema":"https://github.com/citation-style-language/schema/raw/master/csl-citation.json"} </w:instrText>
            </w:r>
            <w:r w:rsidRPr="00F73297">
              <w:rPr>
                <w:rFonts w:eastAsia="Aptos"/>
                <w:i/>
                <w:iCs/>
                <w:color w:val="0E2841"/>
                <w:kern w:val="2"/>
                <w:sz w:val="18"/>
                <w:szCs w:val="18"/>
              </w:rPr>
              <w:fldChar w:fldCharType="separate"/>
            </w:r>
            <w:r w:rsidR="008836FB">
              <w:rPr>
                <w:rFonts w:eastAsia="Aptos"/>
                <w:i/>
                <w:iCs/>
                <w:noProof/>
                <w:color w:val="0E2841"/>
                <w:kern w:val="2"/>
                <w:sz w:val="18"/>
                <w:szCs w:val="18"/>
              </w:rPr>
              <w:t>(Watari et al., 2019)</w:t>
            </w:r>
            <w:r w:rsidRPr="00F73297">
              <w:rPr>
                <w:rFonts w:eastAsia="Aptos"/>
                <w:i/>
                <w:iCs/>
                <w:color w:val="0E2841"/>
                <w:kern w:val="2"/>
                <w:sz w:val="18"/>
                <w:szCs w:val="18"/>
              </w:rPr>
              <w:fldChar w:fldCharType="end"/>
            </w:r>
          </w:p>
        </w:tc>
      </w:tr>
      <w:tr w:rsidR="00250E9B" w:rsidRPr="00F73297" w14:paraId="741271C8" w14:textId="77777777">
        <w:trPr>
          <w:trHeight w:val="23"/>
          <w:jc w:val="center"/>
        </w:trPr>
        <w:tc>
          <w:tcPr>
            <w:tcW w:w="1158" w:type="dxa"/>
            <w:vMerge/>
            <w:vAlign w:val="center"/>
            <w:hideMark/>
          </w:tcPr>
          <w:p w14:paraId="669C5969" w14:textId="77777777" w:rsidR="00250E9B" w:rsidRPr="00F73297" w:rsidRDefault="00250E9B">
            <w:pPr>
              <w:jc w:val="center"/>
              <w:rPr>
                <w:rFonts w:eastAsia="Aptos"/>
                <w:i/>
                <w:iCs/>
                <w:color w:val="0E2841"/>
                <w:kern w:val="2"/>
                <w:sz w:val="18"/>
                <w:szCs w:val="18"/>
              </w:rPr>
            </w:pPr>
          </w:p>
        </w:tc>
        <w:tc>
          <w:tcPr>
            <w:tcW w:w="1009" w:type="dxa"/>
            <w:vMerge/>
            <w:vAlign w:val="center"/>
            <w:hideMark/>
          </w:tcPr>
          <w:p w14:paraId="171F025D" w14:textId="77777777" w:rsidR="00250E9B" w:rsidRPr="00F73297" w:rsidRDefault="00250E9B">
            <w:pPr>
              <w:jc w:val="center"/>
              <w:rPr>
                <w:rFonts w:eastAsia="Aptos"/>
                <w:i/>
                <w:iCs/>
                <w:color w:val="0E2841"/>
                <w:kern w:val="2"/>
                <w:sz w:val="18"/>
                <w:szCs w:val="18"/>
              </w:rPr>
            </w:pPr>
          </w:p>
        </w:tc>
        <w:tc>
          <w:tcPr>
            <w:tcW w:w="959" w:type="dxa"/>
            <w:noWrap/>
            <w:vAlign w:val="center"/>
            <w:hideMark/>
          </w:tcPr>
          <w:p w14:paraId="1BAA6EDF" w14:textId="7777777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t>12.0</w:t>
            </w:r>
          </w:p>
        </w:tc>
        <w:tc>
          <w:tcPr>
            <w:tcW w:w="3673" w:type="dxa"/>
            <w:vAlign w:val="center"/>
          </w:tcPr>
          <w:p w14:paraId="746C269E" w14:textId="75830EE2"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fldChar w:fldCharType="begin"/>
            </w:r>
            <w:r w:rsidR="008836FB">
              <w:rPr>
                <w:rFonts w:eastAsia="Aptos"/>
                <w:i/>
                <w:iCs/>
                <w:color w:val="0E2841"/>
                <w:kern w:val="2"/>
                <w:sz w:val="18"/>
                <w:szCs w:val="18"/>
              </w:rPr>
              <w:instrText xml:space="preserve"> ADDIN ZOTERO_ITEM CSL_CITATION {"citationID":"JnEglG6k","properties":{"formattedCitation":"(Zhou et al., 2020)","plainCitation":"(Zhou et al., 2020)","noteIndex":0},"citationItems":[{"id":16690,"uris":["http://zotero.org/groups/5509458/items/HGS2XCRK"],"itemData":{"id":16690,"type":"article-journal","container-title":"Journal of Cleaner Production","DOI":"10.1016/j.jclepro.2020.121599","ISSN":"09596526","journalAbbreviation":"Journal of Cleaner Production","language":"en","page":"121599","source":"DOI.org (Crossref)","title":"Dynamic criticality of by-products used in thin-film photovoltaic technologies by 2050","volume":"263","author":[{"family":"Zhou","given":"Yanjing"},{"family":"Li","given":"Jianwu"},{"family":"Rechberger","given":"Helmut"},{"family":"Wang","given":"Gaoshang"},{"family":"Chen","given":"Shouyu"},{"family":"Xing","given":"Wanli"},{"family":"Li","given":"Pengyuan"}],"issued":{"date-parts":[["2020",8]]}}}],"schema":"https://github.com/citation-style-language/schema/raw/master/csl-citation.json"} </w:instrText>
            </w:r>
            <w:r w:rsidRPr="00F73297">
              <w:rPr>
                <w:rFonts w:eastAsia="Aptos"/>
                <w:i/>
                <w:iCs/>
                <w:color w:val="0E2841"/>
                <w:kern w:val="2"/>
                <w:sz w:val="18"/>
                <w:szCs w:val="18"/>
              </w:rPr>
              <w:fldChar w:fldCharType="separate"/>
            </w:r>
            <w:r w:rsidR="008836FB">
              <w:rPr>
                <w:rFonts w:eastAsia="Aptos"/>
                <w:i/>
                <w:iCs/>
                <w:noProof/>
                <w:color w:val="0E2841"/>
                <w:kern w:val="2"/>
                <w:sz w:val="18"/>
                <w:szCs w:val="18"/>
              </w:rPr>
              <w:t>(Zhou et al., 2020)</w:t>
            </w:r>
            <w:r w:rsidRPr="00F73297">
              <w:rPr>
                <w:rFonts w:eastAsia="Aptos"/>
                <w:i/>
                <w:iCs/>
                <w:color w:val="0E2841"/>
                <w:kern w:val="2"/>
                <w:sz w:val="18"/>
                <w:szCs w:val="18"/>
              </w:rPr>
              <w:fldChar w:fldCharType="end"/>
            </w:r>
          </w:p>
        </w:tc>
      </w:tr>
      <w:tr w:rsidR="00250E9B" w:rsidRPr="00F73297" w14:paraId="7C540654" w14:textId="77777777">
        <w:trPr>
          <w:trHeight w:val="23"/>
          <w:jc w:val="center"/>
        </w:trPr>
        <w:tc>
          <w:tcPr>
            <w:tcW w:w="1158" w:type="dxa"/>
            <w:vMerge/>
            <w:vAlign w:val="center"/>
            <w:hideMark/>
          </w:tcPr>
          <w:p w14:paraId="02A40590" w14:textId="77777777" w:rsidR="00250E9B" w:rsidRPr="00F73297" w:rsidRDefault="00250E9B">
            <w:pPr>
              <w:jc w:val="center"/>
              <w:rPr>
                <w:rFonts w:eastAsia="Aptos"/>
                <w:i/>
                <w:iCs/>
                <w:color w:val="0E2841"/>
                <w:kern w:val="2"/>
                <w:sz w:val="18"/>
                <w:szCs w:val="18"/>
              </w:rPr>
            </w:pPr>
          </w:p>
        </w:tc>
        <w:tc>
          <w:tcPr>
            <w:tcW w:w="1009" w:type="dxa"/>
            <w:vMerge/>
            <w:vAlign w:val="center"/>
            <w:hideMark/>
          </w:tcPr>
          <w:p w14:paraId="69761B2F" w14:textId="77777777" w:rsidR="00250E9B" w:rsidRPr="00F73297" w:rsidRDefault="00250E9B">
            <w:pPr>
              <w:jc w:val="center"/>
              <w:rPr>
                <w:rFonts w:eastAsia="Aptos"/>
                <w:i/>
                <w:iCs/>
                <w:color w:val="0E2841"/>
                <w:kern w:val="2"/>
                <w:sz w:val="18"/>
                <w:szCs w:val="18"/>
              </w:rPr>
            </w:pPr>
          </w:p>
        </w:tc>
        <w:tc>
          <w:tcPr>
            <w:tcW w:w="959" w:type="dxa"/>
            <w:noWrap/>
            <w:vAlign w:val="center"/>
            <w:hideMark/>
          </w:tcPr>
          <w:p w14:paraId="72FDCAEA" w14:textId="7777777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t>10.0</w:t>
            </w:r>
          </w:p>
        </w:tc>
        <w:tc>
          <w:tcPr>
            <w:tcW w:w="3673" w:type="dxa"/>
            <w:vAlign w:val="center"/>
          </w:tcPr>
          <w:p w14:paraId="0D5E78FC" w14:textId="35AA2E5A"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fldChar w:fldCharType="begin"/>
            </w:r>
            <w:r w:rsidR="008836FB">
              <w:rPr>
                <w:rFonts w:eastAsia="Aptos"/>
                <w:i/>
                <w:iCs/>
                <w:color w:val="0E2841"/>
                <w:kern w:val="2"/>
                <w:sz w:val="18"/>
                <w:szCs w:val="18"/>
              </w:rPr>
              <w:instrText xml:space="preserve"> ADDIN ZOTERO_ITEM CSL_CITATION {"citationID":"Bev9dAzm","properties":{"formattedCitation":"(Carrara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iCs/>
                <w:color w:val="0E2841"/>
                <w:kern w:val="2"/>
                <w:sz w:val="18"/>
                <w:szCs w:val="18"/>
              </w:rPr>
              <w:fldChar w:fldCharType="separate"/>
            </w:r>
            <w:r w:rsidR="008836FB">
              <w:rPr>
                <w:rFonts w:eastAsia="Aptos"/>
                <w:i/>
                <w:iCs/>
                <w:noProof/>
                <w:color w:val="0E2841"/>
                <w:kern w:val="2"/>
                <w:sz w:val="18"/>
                <w:szCs w:val="18"/>
              </w:rPr>
              <w:t>(Carrara et al., 2020)</w:t>
            </w:r>
            <w:r w:rsidRPr="00F73297">
              <w:rPr>
                <w:rFonts w:eastAsia="Aptos"/>
                <w:i/>
                <w:iCs/>
                <w:color w:val="0E2841"/>
                <w:kern w:val="2"/>
                <w:sz w:val="18"/>
                <w:szCs w:val="18"/>
              </w:rPr>
              <w:fldChar w:fldCharType="end"/>
            </w:r>
          </w:p>
        </w:tc>
      </w:tr>
      <w:tr w:rsidR="00250E9B" w:rsidRPr="00F73297" w14:paraId="268C94D2" w14:textId="77777777">
        <w:trPr>
          <w:trHeight w:val="23"/>
          <w:jc w:val="center"/>
        </w:trPr>
        <w:tc>
          <w:tcPr>
            <w:tcW w:w="1158" w:type="dxa"/>
            <w:vMerge/>
            <w:vAlign w:val="center"/>
            <w:hideMark/>
          </w:tcPr>
          <w:p w14:paraId="3E83B9DB" w14:textId="77777777" w:rsidR="00250E9B" w:rsidRPr="00F73297" w:rsidRDefault="00250E9B">
            <w:pPr>
              <w:jc w:val="center"/>
              <w:rPr>
                <w:rFonts w:eastAsia="Aptos"/>
                <w:i/>
                <w:iCs/>
                <w:color w:val="0E2841"/>
                <w:kern w:val="2"/>
                <w:sz w:val="18"/>
                <w:szCs w:val="18"/>
              </w:rPr>
            </w:pPr>
          </w:p>
        </w:tc>
        <w:tc>
          <w:tcPr>
            <w:tcW w:w="1009" w:type="dxa"/>
            <w:vMerge/>
            <w:vAlign w:val="center"/>
            <w:hideMark/>
          </w:tcPr>
          <w:p w14:paraId="5E7DCB6B" w14:textId="77777777" w:rsidR="00250E9B" w:rsidRPr="00F73297" w:rsidRDefault="00250E9B">
            <w:pPr>
              <w:jc w:val="center"/>
              <w:rPr>
                <w:rFonts w:eastAsia="Aptos"/>
                <w:i/>
                <w:iCs/>
                <w:color w:val="0E2841"/>
                <w:kern w:val="2"/>
                <w:sz w:val="18"/>
                <w:szCs w:val="18"/>
              </w:rPr>
            </w:pPr>
          </w:p>
        </w:tc>
        <w:tc>
          <w:tcPr>
            <w:tcW w:w="959" w:type="dxa"/>
            <w:noWrap/>
            <w:vAlign w:val="center"/>
            <w:hideMark/>
          </w:tcPr>
          <w:p w14:paraId="1AF19EF1" w14:textId="7777777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t>15.0</w:t>
            </w:r>
          </w:p>
        </w:tc>
        <w:tc>
          <w:tcPr>
            <w:tcW w:w="3673" w:type="dxa"/>
            <w:vAlign w:val="center"/>
          </w:tcPr>
          <w:p w14:paraId="426B3993" w14:textId="20D532F5"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fldChar w:fldCharType="begin"/>
            </w:r>
            <w:r w:rsidR="008836FB">
              <w:rPr>
                <w:rFonts w:eastAsia="Aptos"/>
                <w:i/>
                <w:iCs/>
                <w:color w:val="0E2841"/>
                <w:kern w:val="2"/>
                <w:sz w:val="18"/>
                <w:szCs w:val="18"/>
              </w:rPr>
              <w:instrText xml:space="preserve"> ADDIN ZOTERO_ITEM CSL_CITATION {"citationID":"XrqfcE4S","properties":{"formattedCitation":"(Carrara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iCs/>
                <w:color w:val="0E2841"/>
                <w:kern w:val="2"/>
                <w:sz w:val="18"/>
                <w:szCs w:val="18"/>
              </w:rPr>
              <w:fldChar w:fldCharType="separate"/>
            </w:r>
            <w:r w:rsidR="008836FB">
              <w:rPr>
                <w:rFonts w:eastAsia="Aptos"/>
                <w:i/>
                <w:iCs/>
                <w:noProof/>
                <w:color w:val="0E2841"/>
                <w:kern w:val="2"/>
                <w:sz w:val="18"/>
                <w:szCs w:val="18"/>
              </w:rPr>
              <w:t>(Carrara et al., 2020)</w:t>
            </w:r>
            <w:r w:rsidRPr="00F73297">
              <w:rPr>
                <w:rFonts w:eastAsia="Aptos"/>
                <w:i/>
                <w:iCs/>
                <w:color w:val="0E2841"/>
                <w:kern w:val="2"/>
                <w:sz w:val="18"/>
                <w:szCs w:val="18"/>
              </w:rPr>
              <w:fldChar w:fldCharType="end"/>
            </w:r>
          </w:p>
        </w:tc>
      </w:tr>
      <w:tr w:rsidR="00250E9B" w:rsidRPr="00F73297" w14:paraId="24F270F7" w14:textId="77777777">
        <w:trPr>
          <w:trHeight w:val="23"/>
          <w:jc w:val="center"/>
        </w:trPr>
        <w:tc>
          <w:tcPr>
            <w:tcW w:w="1158" w:type="dxa"/>
            <w:vMerge/>
            <w:vAlign w:val="center"/>
            <w:hideMark/>
          </w:tcPr>
          <w:p w14:paraId="7A35FCA6" w14:textId="77777777" w:rsidR="00250E9B" w:rsidRPr="00F73297" w:rsidRDefault="00250E9B">
            <w:pPr>
              <w:jc w:val="center"/>
              <w:rPr>
                <w:rFonts w:eastAsia="Aptos"/>
                <w:i/>
                <w:iCs/>
                <w:color w:val="0E2841"/>
                <w:kern w:val="2"/>
                <w:sz w:val="18"/>
                <w:szCs w:val="18"/>
              </w:rPr>
            </w:pPr>
          </w:p>
        </w:tc>
        <w:tc>
          <w:tcPr>
            <w:tcW w:w="1009" w:type="dxa"/>
            <w:vMerge/>
            <w:vAlign w:val="center"/>
            <w:hideMark/>
          </w:tcPr>
          <w:p w14:paraId="042A6DA3" w14:textId="77777777" w:rsidR="00250E9B" w:rsidRPr="00F73297" w:rsidRDefault="00250E9B">
            <w:pPr>
              <w:jc w:val="center"/>
              <w:rPr>
                <w:rFonts w:eastAsia="Aptos"/>
                <w:i/>
                <w:iCs/>
                <w:color w:val="0E2841"/>
                <w:kern w:val="2"/>
                <w:sz w:val="18"/>
                <w:szCs w:val="18"/>
              </w:rPr>
            </w:pPr>
          </w:p>
        </w:tc>
        <w:tc>
          <w:tcPr>
            <w:tcW w:w="959" w:type="dxa"/>
            <w:noWrap/>
            <w:vAlign w:val="center"/>
            <w:hideMark/>
          </w:tcPr>
          <w:p w14:paraId="6ABCA71B" w14:textId="7777777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t>27.0</w:t>
            </w:r>
          </w:p>
        </w:tc>
        <w:tc>
          <w:tcPr>
            <w:tcW w:w="3673" w:type="dxa"/>
            <w:vAlign w:val="center"/>
          </w:tcPr>
          <w:p w14:paraId="6263AD0B" w14:textId="6290F1D2"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fldChar w:fldCharType="begin"/>
            </w:r>
            <w:r w:rsidR="008836FB">
              <w:rPr>
                <w:rFonts w:eastAsia="Aptos"/>
                <w:i/>
                <w:iCs/>
                <w:color w:val="0E2841"/>
                <w:kern w:val="2"/>
                <w:sz w:val="18"/>
                <w:szCs w:val="18"/>
              </w:rPr>
              <w:instrText xml:space="preserve"> ADDIN ZOTERO_ITEM CSL_CITATION {"citationID":"WOWtMLIu","properties":{"formattedCitation":"(Carrara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iCs/>
                <w:color w:val="0E2841"/>
                <w:kern w:val="2"/>
                <w:sz w:val="18"/>
                <w:szCs w:val="18"/>
              </w:rPr>
              <w:fldChar w:fldCharType="separate"/>
            </w:r>
            <w:r w:rsidR="008836FB">
              <w:rPr>
                <w:rFonts w:eastAsia="Aptos"/>
                <w:i/>
                <w:iCs/>
                <w:noProof/>
                <w:color w:val="0E2841"/>
                <w:kern w:val="2"/>
                <w:sz w:val="18"/>
                <w:szCs w:val="18"/>
              </w:rPr>
              <w:t>(Carrara et al., 2020)</w:t>
            </w:r>
            <w:r w:rsidRPr="00F73297">
              <w:rPr>
                <w:rFonts w:eastAsia="Aptos"/>
                <w:i/>
                <w:iCs/>
                <w:color w:val="0E2841"/>
                <w:kern w:val="2"/>
                <w:sz w:val="18"/>
                <w:szCs w:val="18"/>
              </w:rPr>
              <w:fldChar w:fldCharType="end"/>
            </w:r>
          </w:p>
        </w:tc>
      </w:tr>
      <w:tr w:rsidR="00250E9B" w:rsidRPr="00F73297" w14:paraId="0B801AAA" w14:textId="77777777">
        <w:trPr>
          <w:trHeight w:val="23"/>
          <w:jc w:val="center"/>
        </w:trPr>
        <w:tc>
          <w:tcPr>
            <w:tcW w:w="1158" w:type="dxa"/>
            <w:vMerge/>
            <w:vAlign w:val="center"/>
            <w:hideMark/>
          </w:tcPr>
          <w:p w14:paraId="03E471C6" w14:textId="77777777" w:rsidR="00250E9B" w:rsidRPr="00F73297" w:rsidRDefault="00250E9B">
            <w:pPr>
              <w:jc w:val="center"/>
              <w:rPr>
                <w:rFonts w:eastAsia="Aptos"/>
                <w:i/>
                <w:iCs/>
                <w:color w:val="0E2841"/>
                <w:kern w:val="2"/>
                <w:sz w:val="18"/>
                <w:szCs w:val="18"/>
              </w:rPr>
            </w:pPr>
          </w:p>
        </w:tc>
        <w:tc>
          <w:tcPr>
            <w:tcW w:w="1009" w:type="dxa"/>
            <w:vMerge w:val="restart"/>
            <w:noWrap/>
            <w:vAlign w:val="center"/>
            <w:hideMark/>
          </w:tcPr>
          <w:p w14:paraId="6DED7BB0" w14:textId="77777777" w:rsidR="00250E9B" w:rsidRDefault="00250E9B">
            <w:pPr>
              <w:jc w:val="center"/>
              <w:rPr>
                <w:rFonts w:eastAsia="Aptos"/>
                <w:i/>
                <w:iCs/>
                <w:color w:val="0E2841"/>
                <w:kern w:val="2"/>
                <w:sz w:val="18"/>
                <w:szCs w:val="18"/>
              </w:rPr>
            </w:pPr>
            <w:r w:rsidRPr="00F73297">
              <w:rPr>
                <w:rFonts w:eastAsia="Aptos"/>
                <w:i/>
                <w:iCs/>
                <w:color w:val="0E2841"/>
                <w:kern w:val="2"/>
                <w:sz w:val="18"/>
                <w:szCs w:val="18"/>
              </w:rPr>
              <w:t>Selenium</w:t>
            </w:r>
          </w:p>
          <w:p w14:paraId="4AAF0912" w14:textId="77777777" w:rsidR="00250E9B" w:rsidRPr="00F73297" w:rsidRDefault="00250E9B">
            <w:pPr>
              <w:jc w:val="center"/>
              <w:rPr>
                <w:rFonts w:eastAsia="Aptos"/>
                <w:i/>
                <w:iCs/>
                <w:color w:val="0E2841"/>
                <w:kern w:val="2"/>
                <w:sz w:val="18"/>
                <w:szCs w:val="18"/>
              </w:rPr>
            </w:pPr>
            <w:r>
              <w:rPr>
                <w:rFonts w:eastAsia="Aptos"/>
                <w:i/>
                <w:iCs/>
                <w:color w:val="0E2841"/>
                <w:kern w:val="2"/>
                <w:sz w:val="18"/>
                <w:szCs w:val="18"/>
              </w:rPr>
              <w:t>Se</w:t>
            </w:r>
          </w:p>
        </w:tc>
        <w:tc>
          <w:tcPr>
            <w:tcW w:w="959" w:type="dxa"/>
            <w:noWrap/>
            <w:vAlign w:val="center"/>
            <w:hideMark/>
          </w:tcPr>
          <w:p w14:paraId="37FBD460" w14:textId="7777777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t>45.0</w:t>
            </w:r>
          </w:p>
        </w:tc>
        <w:tc>
          <w:tcPr>
            <w:tcW w:w="3673" w:type="dxa"/>
            <w:vAlign w:val="center"/>
          </w:tcPr>
          <w:p w14:paraId="530F42BC" w14:textId="31BD917E"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fldChar w:fldCharType="begin"/>
            </w:r>
            <w:r w:rsidR="008836FB">
              <w:rPr>
                <w:rFonts w:eastAsia="Aptos"/>
                <w:i/>
                <w:iCs/>
                <w:color w:val="0E2841"/>
                <w:kern w:val="2"/>
                <w:sz w:val="18"/>
                <w:szCs w:val="18"/>
              </w:rPr>
              <w:instrText xml:space="preserve"> ADDIN ZOTERO_ITEM CSL_CITATION {"citationID":"ERHwetGg","properties":{"formattedCitation":"(Elshkaki &amp; Shen, 2019)","plainCitation":"(Elshkaki &amp; Shen, 2019)","noteIndex":0},"citationItems":[{"id":16580,"uris":["http://zotero.org/groups/5509458/items/29GCVUC4"],"itemData":{"id":16580,"type":"article-journal","container-title":"Energy","DOI":"10.1016/j.energy.2019.05.156","ISSN":"03605442","journalAbbreviation":"Energy","language":"en","page":"903-917","source":"DOI.org (Crossref)","title":"Energy-material nexus: The impacts of national and international energy scenarios on critical metals use in China up to 2050 and their global implications","title-short":"Energy-material nexus","volume":"180","author":[{"family":"Elshkaki","given":"Ayman"},{"family":"Shen","given":"Lei"}],"issued":{"date-parts":[["2019",8]]}}}],"schema":"https://github.com/citation-style-language/schema/raw/master/csl-citation.json"} </w:instrText>
            </w:r>
            <w:r w:rsidRPr="00F73297">
              <w:rPr>
                <w:rFonts w:eastAsia="Aptos"/>
                <w:i/>
                <w:iCs/>
                <w:color w:val="0E2841"/>
                <w:kern w:val="2"/>
                <w:sz w:val="18"/>
                <w:szCs w:val="18"/>
              </w:rPr>
              <w:fldChar w:fldCharType="separate"/>
            </w:r>
            <w:r w:rsidR="008836FB">
              <w:rPr>
                <w:rFonts w:eastAsia="Aptos"/>
                <w:i/>
                <w:iCs/>
                <w:noProof/>
                <w:color w:val="0E2841"/>
                <w:kern w:val="2"/>
                <w:sz w:val="18"/>
                <w:szCs w:val="18"/>
              </w:rPr>
              <w:t>(Elshkaki &amp; Shen, 2019)</w:t>
            </w:r>
            <w:r w:rsidRPr="00F73297">
              <w:rPr>
                <w:rFonts w:eastAsia="Aptos"/>
                <w:i/>
                <w:iCs/>
                <w:color w:val="0E2841"/>
                <w:kern w:val="2"/>
                <w:sz w:val="18"/>
                <w:szCs w:val="18"/>
              </w:rPr>
              <w:fldChar w:fldCharType="end"/>
            </w:r>
          </w:p>
        </w:tc>
      </w:tr>
      <w:tr w:rsidR="00250E9B" w:rsidRPr="00F73297" w14:paraId="1B284E4A" w14:textId="77777777">
        <w:trPr>
          <w:trHeight w:val="23"/>
          <w:jc w:val="center"/>
        </w:trPr>
        <w:tc>
          <w:tcPr>
            <w:tcW w:w="1158" w:type="dxa"/>
            <w:vMerge/>
            <w:vAlign w:val="center"/>
            <w:hideMark/>
          </w:tcPr>
          <w:p w14:paraId="4C8BA29B" w14:textId="77777777" w:rsidR="00250E9B" w:rsidRPr="00F73297" w:rsidRDefault="00250E9B">
            <w:pPr>
              <w:jc w:val="center"/>
              <w:rPr>
                <w:rFonts w:eastAsia="Aptos"/>
                <w:i/>
                <w:iCs/>
                <w:color w:val="0E2841"/>
                <w:kern w:val="2"/>
                <w:sz w:val="18"/>
                <w:szCs w:val="18"/>
              </w:rPr>
            </w:pPr>
          </w:p>
        </w:tc>
        <w:tc>
          <w:tcPr>
            <w:tcW w:w="1009" w:type="dxa"/>
            <w:vMerge/>
            <w:vAlign w:val="center"/>
            <w:hideMark/>
          </w:tcPr>
          <w:p w14:paraId="23E9ECA7" w14:textId="77777777" w:rsidR="00250E9B" w:rsidRPr="00F73297" w:rsidRDefault="00250E9B">
            <w:pPr>
              <w:jc w:val="center"/>
              <w:rPr>
                <w:rFonts w:eastAsia="Aptos"/>
                <w:i/>
                <w:iCs/>
                <w:color w:val="0E2841"/>
                <w:kern w:val="2"/>
                <w:sz w:val="18"/>
                <w:szCs w:val="18"/>
              </w:rPr>
            </w:pPr>
          </w:p>
        </w:tc>
        <w:tc>
          <w:tcPr>
            <w:tcW w:w="959" w:type="dxa"/>
            <w:noWrap/>
            <w:vAlign w:val="center"/>
            <w:hideMark/>
          </w:tcPr>
          <w:p w14:paraId="60287C10" w14:textId="7777777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t>61.0</w:t>
            </w:r>
          </w:p>
        </w:tc>
        <w:tc>
          <w:tcPr>
            <w:tcW w:w="3673" w:type="dxa"/>
            <w:vAlign w:val="center"/>
          </w:tcPr>
          <w:p w14:paraId="0C2C50E6" w14:textId="11BAE5CB"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fldChar w:fldCharType="begin"/>
            </w:r>
            <w:r w:rsidR="008836FB">
              <w:rPr>
                <w:rFonts w:eastAsia="Aptos"/>
                <w:i/>
                <w:iCs/>
                <w:color w:val="0E2841"/>
                <w:kern w:val="2"/>
                <w:sz w:val="18"/>
                <w:szCs w:val="18"/>
              </w:rPr>
              <w:instrText xml:space="preserve"> ADDIN ZOTERO_ITEM CSL_CITATION {"citationID":"BvoozcPc","properties":{"formattedCitation":"(Watari et al., 2019)","plainCitation":"(Watari et al., 2019)","noteIndex":0},"citationItems":[{"id":16645,"uris":["http://zotero.org/groups/5509458/items/SSAPB4AV"],"itemData":{"id":16645,"type":"article-journal","container-title":"Resources, Conservation and Recycling","DOI":"10.1016/j.resconrec.2019.05.015","ISSN":"09213449","journalAbbreviation":"Resources, Conservation and Recycling","language":"en","page":"91-103","source":"DOI.org (Crossref)","title":"Total material requirement for the global energy transition to 2050: A focus on transport and electricity","title-short":"Total material requirement for the global energy transition to 2050","volume":"148","author":[{"family":"Watari","given":"Takuma"},{"family":"McLellan","given":"Benjamin C."},{"family":"Giurco","given":"Damien"},{"family":"Dominish","given":"Elsa"},{"family":"Yamasue","given":"Eiji"},{"family":"Nansai","given":"Keisuke"}],"issued":{"date-parts":[["2019",9]]}}}],"schema":"https://github.com/citation-style-language/schema/raw/master/csl-citation.json"} </w:instrText>
            </w:r>
            <w:r w:rsidRPr="00F73297">
              <w:rPr>
                <w:rFonts w:eastAsia="Aptos"/>
                <w:i/>
                <w:iCs/>
                <w:color w:val="0E2841"/>
                <w:kern w:val="2"/>
                <w:sz w:val="18"/>
                <w:szCs w:val="18"/>
              </w:rPr>
              <w:fldChar w:fldCharType="separate"/>
            </w:r>
            <w:r w:rsidR="008836FB">
              <w:rPr>
                <w:rFonts w:eastAsia="Aptos"/>
                <w:i/>
                <w:iCs/>
                <w:noProof/>
                <w:color w:val="0E2841"/>
                <w:kern w:val="2"/>
                <w:sz w:val="18"/>
                <w:szCs w:val="18"/>
              </w:rPr>
              <w:t>(Watari et al., 2019)</w:t>
            </w:r>
            <w:r w:rsidRPr="00F73297">
              <w:rPr>
                <w:rFonts w:eastAsia="Aptos"/>
                <w:i/>
                <w:iCs/>
                <w:color w:val="0E2841"/>
                <w:kern w:val="2"/>
                <w:sz w:val="18"/>
                <w:szCs w:val="18"/>
              </w:rPr>
              <w:fldChar w:fldCharType="end"/>
            </w:r>
          </w:p>
        </w:tc>
      </w:tr>
      <w:tr w:rsidR="00250E9B" w:rsidRPr="00F73297" w14:paraId="3F9A7A26" w14:textId="77777777">
        <w:trPr>
          <w:trHeight w:val="23"/>
          <w:jc w:val="center"/>
        </w:trPr>
        <w:tc>
          <w:tcPr>
            <w:tcW w:w="1158" w:type="dxa"/>
            <w:vMerge/>
            <w:vAlign w:val="center"/>
            <w:hideMark/>
          </w:tcPr>
          <w:p w14:paraId="74503257" w14:textId="77777777" w:rsidR="00250E9B" w:rsidRPr="00F73297" w:rsidRDefault="00250E9B">
            <w:pPr>
              <w:jc w:val="center"/>
              <w:rPr>
                <w:rFonts w:eastAsia="Aptos"/>
                <w:i/>
                <w:iCs/>
                <w:color w:val="0E2841"/>
                <w:kern w:val="2"/>
                <w:sz w:val="18"/>
                <w:szCs w:val="18"/>
              </w:rPr>
            </w:pPr>
          </w:p>
        </w:tc>
        <w:tc>
          <w:tcPr>
            <w:tcW w:w="1009" w:type="dxa"/>
            <w:vMerge/>
            <w:vAlign w:val="center"/>
            <w:hideMark/>
          </w:tcPr>
          <w:p w14:paraId="43A81C0E" w14:textId="77777777" w:rsidR="00250E9B" w:rsidRPr="00F73297" w:rsidRDefault="00250E9B">
            <w:pPr>
              <w:jc w:val="center"/>
              <w:rPr>
                <w:rFonts w:eastAsia="Aptos"/>
                <w:i/>
                <w:iCs/>
                <w:color w:val="0E2841"/>
                <w:kern w:val="2"/>
                <w:sz w:val="18"/>
                <w:szCs w:val="18"/>
              </w:rPr>
            </w:pPr>
          </w:p>
        </w:tc>
        <w:tc>
          <w:tcPr>
            <w:tcW w:w="959" w:type="dxa"/>
            <w:noWrap/>
            <w:vAlign w:val="center"/>
            <w:hideMark/>
          </w:tcPr>
          <w:p w14:paraId="23492705" w14:textId="7777777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t>26.0</w:t>
            </w:r>
          </w:p>
        </w:tc>
        <w:tc>
          <w:tcPr>
            <w:tcW w:w="3673" w:type="dxa"/>
            <w:vAlign w:val="center"/>
          </w:tcPr>
          <w:p w14:paraId="486AADCD" w14:textId="6FFFF059"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fldChar w:fldCharType="begin"/>
            </w:r>
            <w:r w:rsidR="008836FB">
              <w:rPr>
                <w:rFonts w:eastAsia="Aptos"/>
                <w:i/>
                <w:iCs/>
                <w:color w:val="0E2841"/>
                <w:kern w:val="2"/>
                <w:sz w:val="18"/>
                <w:szCs w:val="18"/>
              </w:rPr>
              <w:instrText xml:space="preserve"> ADDIN ZOTERO_ITEM CSL_CITATION {"citationID":"CYsCg9Cm","properties":{"formattedCitation":"(Zhou et al., 2020)","plainCitation":"(Zhou et al., 2020)","noteIndex":0},"citationItems":[{"id":16690,"uris":["http://zotero.org/groups/5509458/items/HGS2XCRK"],"itemData":{"id":16690,"type":"article-journal","container-title":"Journal of Cleaner Production","DOI":"10.1016/j.jclepro.2020.121599","ISSN":"09596526","journalAbbreviation":"Journal of Cleaner Production","language":"en","page":"121599","source":"DOI.org (Crossref)","title":"Dynamic criticality of by-products used in thin-film photovoltaic technologies by 2050","volume":"263","author":[{"family":"Zhou","given":"Yanjing"},{"family":"Li","given":"Jianwu"},{"family":"Rechberger","given":"Helmut"},{"family":"Wang","given":"Gaoshang"},{"family":"Chen","given":"Shouyu"},{"family":"Xing","given":"Wanli"},{"family":"Li","given":"Pengyuan"}],"issued":{"date-parts":[["2020",8]]}}}],"schema":"https://github.com/citation-style-language/schema/raw/master/csl-citation.json"} </w:instrText>
            </w:r>
            <w:r w:rsidRPr="00F73297">
              <w:rPr>
                <w:rFonts w:eastAsia="Aptos"/>
                <w:i/>
                <w:iCs/>
                <w:color w:val="0E2841"/>
                <w:kern w:val="2"/>
                <w:sz w:val="18"/>
                <w:szCs w:val="18"/>
              </w:rPr>
              <w:fldChar w:fldCharType="separate"/>
            </w:r>
            <w:r w:rsidR="008836FB">
              <w:rPr>
                <w:rFonts w:eastAsia="Aptos"/>
                <w:i/>
                <w:iCs/>
                <w:noProof/>
                <w:color w:val="0E2841"/>
                <w:kern w:val="2"/>
                <w:sz w:val="18"/>
                <w:szCs w:val="18"/>
              </w:rPr>
              <w:t>(Zhou et al., 2020)</w:t>
            </w:r>
            <w:r w:rsidRPr="00F73297">
              <w:rPr>
                <w:rFonts w:eastAsia="Aptos"/>
                <w:i/>
                <w:iCs/>
                <w:color w:val="0E2841"/>
                <w:kern w:val="2"/>
                <w:sz w:val="18"/>
                <w:szCs w:val="18"/>
              </w:rPr>
              <w:fldChar w:fldCharType="end"/>
            </w:r>
          </w:p>
        </w:tc>
      </w:tr>
      <w:tr w:rsidR="00250E9B" w:rsidRPr="00F73297" w14:paraId="6597CD9E" w14:textId="77777777">
        <w:trPr>
          <w:trHeight w:val="23"/>
          <w:jc w:val="center"/>
        </w:trPr>
        <w:tc>
          <w:tcPr>
            <w:tcW w:w="1158" w:type="dxa"/>
            <w:vMerge/>
            <w:vAlign w:val="center"/>
            <w:hideMark/>
          </w:tcPr>
          <w:p w14:paraId="244CD421" w14:textId="77777777" w:rsidR="00250E9B" w:rsidRPr="00F73297" w:rsidRDefault="00250E9B">
            <w:pPr>
              <w:jc w:val="center"/>
              <w:rPr>
                <w:rFonts w:eastAsia="Aptos"/>
                <w:i/>
                <w:iCs/>
                <w:color w:val="0E2841"/>
                <w:kern w:val="2"/>
                <w:sz w:val="18"/>
                <w:szCs w:val="18"/>
              </w:rPr>
            </w:pPr>
          </w:p>
        </w:tc>
        <w:tc>
          <w:tcPr>
            <w:tcW w:w="1009" w:type="dxa"/>
            <w:vMerge/>
            <w:vAlign w:val="center"/>
            <w:hideMark/>
          </w:tcPr>
          <w:p w14:paraId="3272C50A" w14:textId="77777777" w:rsidR="00250E9B" w:rsidRPr="00F73297" w:rsidRDefault="00250E9B">
            <w:pPr>
              <w:jc w:val="center"/>
              <w:rPr>
                <w:rFonts w:eastAsia="Aptos"/>
                <w:i/>
                <w:iCs/>
                <w:color w:val="0E2841"/>
                <w:kern w:val="2"/>
                <w:sz w:val="18"/>
                <w:szCs w:val="18"/>
              </w:rPr>
            </w:pPr>
          </w:p>
        </w:tc>
        <w:tc>
          <w:tcPr>
            <w:tcW w:w="959" w:type="dxa"/>
            <w:noWrap/>
            <w:vAlign w:val="center"/>
            <w:hideMark/>
          </w:tcPr>
          <w:p w14:paraId="77FDDC4F" w14:textId="7777777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t>22.0</w:t>
            </w:r>
          </w:p>
        </w:tc>
        <w:tc>
          <w:tcPr>
            <w:tcW w:w="3673" w:type="dxa"/>
            <w:vAlign w:val="center"/>
          </w:tcPr>
          <w:p w14:paraId="60F9AE12" w14:textId="4566672A"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fldChar w:fldCharType="begin"/>
            </w:r>
            <w:r w:rsidR="008836FB">
              <w:rPr>
                <w:rFonts w:eastAsia="Aptos"/>
                <w:i/>
                <w:iCs/>
                <w:color w:val="0E2841"/>
                <w:kern w:val="2"/>
                <w:sz w:val="18"/>
                <w:szCs w:val="18"/>
              </w:rPr>
              <w:instrText xml:space="preserve"> ADDIN ZOTERO_ITEM CSL_CITATION {"citationID":"vUXWQFVO","properties":{"formattedCitation":"(Carrara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iCs/>
                <w:color w:val="0E2841"/>
                <w:kern w:val="2"/>
                <w:sz w:val="18"/>
                <w:szCs w:val="18"/>
              </w:rPr>
              <w:fldChar w:fldCharType="separate"/>
            </w:r>
            <w:r w:rsidR="008836FB">
              <w:rPr>
                <w:rFonts w:eastAsia="Aptos"/>
                <w:i/>
                <w:iCs/>
                <w:noProof/>
                <w:color w:val="0E2841"/>
                <w:kern w:val="2"/>
                <w:sz w:val="18"/>
                <w:szCs w:val="18"/>
              </w:rPr>
              <w:t>(Carrara et al., 2020)</w:t>
            </w:r>
            <w:r w:rsidRPr="00F73297">
              <w:rPr>
                <w:rFonts w:eastAsia="Aptos"/>
                <w:i/>
                <w:iCs/>
                <w:color w:val="0E2841"/>
                <w:kern w:val="2"/>
                <w:sz w:val="18"/>
                <w:szCs w:val="18"/>
              </w:rPr>
              <w:fldChar w:fldCharType="end"/>
            </w:r>
          </w:p>
        </w:tc>
      </w:tr>
      <w:tr w:rsidR="00250E9B" w:rsidRPr="00F73297" w14:paraId="087358C6" w14:textId="77777777">
        <w:trPr>
          <w:trHeight w:val="23"/>
          <w:jc w:val="center"/>
        </w:trPr>
        <w:tc>
          <w:tcPr>
            <w:tcW w:w="1158" w:type="dxa"/>
            <w:vMerge/>
            <w:vAlign w:val="center"/>
            <w:hideMark/>
          </w:tcPr>
          <w:p w14:paraId="0BB80184" w14:textId="77777777" w:rsidR="00250E9B" w:rsidRPr="00F73297" w:rsidRDefault="00250E9B">
            <w:pPr>
              <w:jc w:val="center"/>
              <w:rPr>
                <w:rFonts w:eastAsia="Aptos"/>
                <w:i/>
                <w:iCs/>
                <w:color w:val="0E2841"/>
                <w:kern w:val="2"/>
                <w:sz w:val="18"/>
                <w:szCs w:val="18"/>
              </w:rPr>
            </w:pPr>
          </w:p>
        </w:tc>
        <w:tc>
          <w:tcPr>
            <w:tcW w:w="1009" w:type="dxa"/>
            <w:vMerge/>
            <w:vAlign w:val="center"/>
            <w:hideMark/>
          </w:tcPr>
          <w:p w14:paraId="2D1ED3A3" w14:textId="77777777" w:rsidR="00250E9B" w:rsidRPr="00F73297" w:rsidRDefault="00250E9B">
            <w:pPr>
              <w:jc w:val="center"/>
              <w:rPr>
                <w:rFonts w:eastAsia="Aptos"/>
                <w:i/>
                <w:iCs/>
                <w:color w:val="0E2841"/>
                <w:kern w:val="2"/>
                <w:sz w:val="18"/>
                <w:szCs w:val="18"/>
              </w:rPr>
            </w:pPr>
          </w:p>
        </w:tc>
        <w:tc>
          <w:tcPr>
            <w:tcW w:w="959" w:type="dxa"/>
            <w:noWrap/>
            <w:vAlign w:val="center"/>
            <w:hideMark/>
          </w:tcPr>
          <w:p w14:paraId="12A9CDEA" w14:textId="7777777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t>35.0</w:t>
            </w:r>
          </w:p>
        </w:tc>
        <w:tc>
          <w:tcPr>
            <w:tcW w:w="3673" w:type="dxa"/>
            <w:vAlign w:val="center"/>
          </w:tcPr>
          <w:p w14:paraId="174D383E" w14:textId="7BDDFEB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fldChar w:fldCharType="begin"/>
            </w:r>
            <w:r w:rsidR="008836FB">
              <w:rPr>
                <w:rFonts w:eastAsia="Aptos"/>
                <w:i/>
                <w:iCs/>
                <w:color w:val="0E2841"/>
                <w:kern w:val="2"/>
                <w:sz w:val="18"/>
                <w:szCs w:val="18"/>
              </w:rPr>
              <w:instrText xml:space="preserve"> ADDIN ZOTERO_ITEM CSL_CITATION {"citationID":"8tn3ibHR","properties":{"formattedCitation":"(Carrara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iCs/>
                <w:color w:val="0E2841"/>
                <w:kern w:val="2"/>
                <w:sz w:val="18"/>
                <w:szCs w:val="18"/>
              </w:rPr>
              <w:fldChar w:fldCharType="separate"/>
            </w:r>
            <w:r w:rsidR="008836FB">
              <w:rPr>
                <w:rFonts w:eastAsia="Aptos"/>
                <w:i/>
                <w:iCs/>
                <w:noProof/>
                <w:color w:val="0E2841"/>
                <w:kern w:val="2"/>
                <w:sz w:val="18"/>
                <w:szCs w:val="18"/>
              </w:rPr>
              <w:t>(Carrara et al., 2020)</w:t>
            </w:r>
            <w:r w:rsidRPr="00F73297">
              <w:rPr>
                <w:rFonts w:eastAsia="Aptos"/>
                <w:i/>
                <w:iCs/>
                <w:color w:val="0E2841"/>
                <w:kern w:val="2"/>
                <w:sz w:val="18"/>
                <w:szCs w:val="18"/>
              </w:rPr>
              <w:fldChar w:fldCharType="end"/>
            </w:r>
          </w:p>
        </w:tc>
      </w:tr>
      <w:tr w:rsidR="00250E9B" w:rsidRPr="00F73297" w14:paraId="4E123E8B" w14:textId="77777777">
        <w:trPr>
          <w:trHeight w:val="23"/>
          <w:jc w:val="center"/>
        </w:trPr>
        <w:tc>
          <w:tcPr>
            <w:tcW w:w="1158" w:type="dxa"/>
            <w:vMerge/>
            <w:vAlign w:val="center"/>
            <w:hideMark/>
          </w:tcPr>
          <w:p w14:paraId="4C216AE3" w14:textId="77777777" w:rsidR="00250E9B" w:rsidRPr="00F73297" w:rsidRDefault="00250E9B">
            <w:pPr>
              <w:jc w:val="center"/>
              <w:rPr>
                <w:rFonts w:eastAsia="Aptos"/>
                <w:i/>
                <w:iCs/>
                <w:color w:val="0E2841"/>
                <w:kern w:val="2"/>
                <w:sz w:val="18"/>
                <w:szCs w:val="18"/>
              </w:rPr>
            </w:pPr>
          </w:p>
        </w:tc>
        <w:tc>
          <w:tcPr>
            <w:tcW w:w="1009" w:type="dxa"/>
            <w:vMerge/>
            <w:vAlign w:val="center"/>
            <w:hideMark/>
          </w:tcPr>
          <w:p w14:paraId="390E60D4" w14:textId="77777777" w:rsidR="00250E9B" w:rsidRPr="00F73297" w:rsidRDefault="00250E9B">
            <w:pPr>
              <w:jc w:val="center"/>
              <w:rPr>
                <w:rFonts w:eastAsia="Aptos"/>
                <w:i/>
                <w:iCs/>
                <w:color w:val="0E2841"/>
                <w:kern w:val="2"/>
                <w:sz w:val="18"/>
                <w:szCs w:val="18"/>
              </w:rPr>
            </w:pPr>
          </w:p>
        </w:tc>
        <w:tc>
          <w:tcPr>
            <w:tcW w:w="959" w:type="dxa"/>
            <w:noWrap/>
            <w:vAlign w:val="center"/>
            <w:hideMark/>
          </w:tcPr>
          <w:p w14:paraId="77A58119" w14:textId="77777777"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t>60.0</w:t>
            </w:r>
          </w:p>
        </w:tc>
        <w:tc>
          <w:tcPr>
            <w:tcW w:w="3673" w:type="dxa"/>
            <w:vAlign w:val="center"/>
          </w:tcPr>
          <w:p w14:paraId="2356A55A" w14:textId="6894231E" w:rsidR="00250E9B" w:rsidRPr="00F73297" w:rsidRDefault="00250E9B">
            <w:pPr>
              <w:jc w:val="center"/>
              <w:rPr>
                <w:rFonts w:eastAsia="Aptos"/>
                <w:i/>
                <w:iCs/>
                <w:color w:val="0E2841"/>
                <w:kern w:val="2"/>
                <w:sz w:val="18"/>
                <w:szCs w:val="18"/>
              </w:rPr>
            </w:pPr>
            <w:r w:rsidRPr="00F73297">
              <w:rPr>
                <w:rFonts w:eastAsia="Aptos"/>
                <w:i/>
                <w:iCs/>
                <w:color w:val="0E2841"/>
                <w:kern w:val="2"/>
                <w:sz w:val="18"/>
                <w:szCs w:val="18"/>
              </w:rPr>
              <w:fldChar w:fldCharType="begin"/>
            </w:r>
            <w:r w:rsidR="008836FB">
              <w:rPr>
                <w:rFonts w:eastAsia="Aptos"/>
                <w:i/>
                <w:iCs/>
                <w:color w:val="0E2841"/>
                <w:kern w:val="2"/>
                <w:sz w:val="18"/>
                <w:szCs w:val="18"/>
              </w:rPr>
              <w:instrText xml:space="preserve"> ADDIN ZOTERO_ITEM CSL_CITATION {"citationID":"W0gn9yYY","properties":{"formattedCitation":"(Carrara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iCs/>
                <w:color w:val="0E2841"/>
                <w:kern w:val="2"/>
                <w:sz w:val="18"/>
                <w:szCs w:val="18"/>
              </w:rPr>
              <w:fldChar w:fldCharType="separate"/>
            </w:r>
            <w:r w:rsidR="008836FB">
              <w:rPr>
                <w:rFonts w:eastAsia="Aptos"/>
                <w:i/>
                <w:iCs/>
                <w:noProof/>
                <w:color w:val="0E2841"/>
                <w:kern w:val="2"/>
                <w:sz w:val="18"/>
                <w:szCs w:val="18"/>
              </w:rPr>
              <w:t>(Carrara et al., 2020)</w:t>
            </w:r>
            <w:r w:rsidRPr="00F73297">
              <w:rPr>
                <w:rFonts w:eastAsia="Aptos"/>
                <w:i/>
                <w:iCs/>
                <w:color w:val="0E2841"/>
                <w:kern w:val="2"/>
                <w:sz w:val="18"/>
                <w:szCs w:val="18"/>
              </w:rPr>
              <w:fldChar w:fldCharType="end"/>
            </w:r>
          </w:p>
        </w:tc>
      </w:tr>
    </w:tbl>
    <w:p w14:paraId="2CF633F6" w14:textId="77777777" w:rsidR="00250E9B" w:rsidRDefault="00250E9B" w:rsidP="00250E9B">
      <w:pPr>
        <w:rPr>
          <w:i/>
          <w:color w:val="0E2841"/>
          <w:sz w:val="18"/>
          <w:szCs w:val="18"/>
        </w:rPr>
      </w:pPr>
    </w:p>
    <w:p w14:paraId="7C34398F" w14:textId="77777777" w:rsidR="00250E9B" w:rsidRPr="00F73297" w:rsidRDefault="00250E9B" w:rsidP="00250E9B">
      <w:pPr>
        <w:jc w:val="center"/>
        <w:rPr>
          <w:i/>
          <w:color w:val="0E2841"/>
          <w:sz w:val="18"/>
          <w:szCs w:val="18"/>
        </w:rPr>
      </w:pPr>
    </w:p>
    <w:p w14:paraId="7A9110F1" w14:textId="28A042BF" w:rsidR="00250E9B" w:rsidRPr="00F05D5B" w:rsidRDefault="00250E9B" w:rsidP="00250E9B">
      <w:pPr>
        <w:jc w:val="center"/>
        <w:rPr>
          <w:color w:val="0E2841"/>
          <w:sz w:val="18"/>
          <w:szCs w:val="18"/>
          <w:u w:val="single"/>
        </w:rPr>
      </w:pPr>
      <w:r w:rsidRPr="00F05D5B">
        <w:rPr>
          <w:b/>
          <w:color w:val="0E2841"/>
          <w:sz w:val="18"/>
          <w:szCs w:val="18"/>
        </w:rPr>
        <w:t>Table S</w:t>
      </w:r>
      <w:r>
        <w:rPr>
          <w:b/>
          <w:color w:val="0E2841"/>
          <w:sz w:val="18"/>
          <w:szCs w:val="18"/>
        </w:rPr>
        <w:t>1.</w:t>
      </w:r>
      <w:r w:rsidR="0029776D">
        <w:rPr>
          <w:b/>
          <w:color w:val="0E2841"/>
          <w:sz w:val="18"/>
          <w:szCs w:val="18"/>
        </w:rPr>
        <w:t>8</w:t>
      </w:r>
      <w:r w:rsidRPr="00F05D5B">
        <w:rPr>
          <w:b/>
          <w:color w:val="0E2841"/>
          <w:sz w:val="18"/>
          <w:szCs w:val="18"/>
        </w:rPr>
        <w:t>:</w:t>
      </w:r>
      <w:r w:rsidRPr="00F05D5B">
        <w:rPr>
          <w:color w:val="0E2841"/>
          <w:sz w:val="18"/>
          <w:szCs w:val="18"/>
        </w:rPr>
        <w:t xml:space="preserve"> </w:t>
      </w:r>
      <w:r w:rsidRPr="00861EEC">
        <w:rPr>
          <w:color w:val="0E2841"/>
          <w:sz w:val="18"/>
          <w:szCs w:val="18"/>
        </w:rPr>
        <w:t>Silver intensities (kg/MW) in the c-</w:t>
      </w:r>
      <w:proofErr w:type="gramStart"/>
      <w:r w:rsidRPr="00861EEC">
        <w:rPr>
          <w:color w:val="0E2841"/>
          <w:sz w:val="18"/>
          <w:szCs w:val="18"/>
        </w:rPr>
        <w:t>Si  sub</w:t>
      </w:r>
      <w:proofErr w:type="gramEnd"/>
      <w:r w:rsidRPr="00861EEC">
        <w:rPr>
          <w:color w:val="0E2841"/>
          <w:sz w:val="18"/>
          <w:szCs w:val="18"/>
        </w:rPr>
        <w:t xml:space="preserve">-technology, as reported in </w:t>
      </w:r>
      <w:proofErr w:type="gramStart"/>
      <w:r w:rsidRPr="00861EEC">
        <w:rPr>
          <w:color w:val="0E2841"/>
          <w:sz w:val="18"/>
          <w:szCs w:val="18"/>
        </w:rPr>
        <w:t>the  literature</w:t>
      </w:r>
      <w:proofErr w:type="gramEnd"/>
      <w:r w:rsidRPr="00861EEC">
        <w:rPr>
          <w:color w:val="0E2841"/>
          <w:sz w:val="18"/>
          <w:szCs w:val="18"/>
        </w:rPr>
        <w:t xml:space="preserve"> published between 2018 and 2020</w:t>
      </w:r>
      <w:r>
        <w:rPr>
          <w:color w:val="0E2841"/>
          <w:sz w:val="18"/>
          <w:szCs w:val="18"/>
        </w:rPr>
        <w:t xml:space="preserve"> </w:t>
      </w:r>
      <w:r w:rsidRPr="00F05D5B">
        <w:rPr>
          <w:color w:val="0E2841"/>
          <w:sz w:val="18"/>
          <w:szCs w:val="18"/>
        </w:rPr>
        <w:t>reporting on data for the years 2030 and 2050.</w:t>
      </w:r>
    </w:p>
    <w:tbl>
      <w:tblPr>
        <w:tblW w:w="6799"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158"/>
        <w:gridCol w:w="1227"/>
        <w:gridCol w:w="987"/>
        <w:gridCol w:w="987"/>
        <w:gridCol w:w="2440"/>
      </w:tblGrid>
      <w:tr w:rsidR="00250E9B" w:rsidRPr="00F73297" w14:paraId="19C098E5" w14:textId="77777777">
        <w:trPr>
          <w:trHeight w:val="23"/>
          <w:jc w:val="center"/>
        </w:trPr>
        <w:tc>
          <w:tcPr>
            <w:tcW w:w="1158" w:type="dxa"/>
            <w:noWrap/>
            <w:vAlign w:val="center"/>
            <w:hideMark/>
          </w:tcPr>
          <w:p w14:paraId="2A43E045" w14:textId="77777777" w:rsidR="00250E9B" w:rsidRPr="00F73297" w:rsidRDefault="00250E9B">
            <w:pPr>
              <w:jc w:val="center"/>
              <w:rPr>
                <w:rFonts w:eastAsia="Aptos"/>
                <w:b/>
                <w:i/>
                <w:color w:val="0E2841"/>
                <w:kern w:val="2"/>
                <w:sz w:val="18"/>
                <w:szCs w:val="18"/>
              </w:rPr>
            </w:pPr>
            <w:r w:rsidRPr="00F73297">
              <w:rPr>
                <w:rFonts w:eastAsia="Aptos"/>
                <w:b/>
                <w:i/>
                <w:color w:val="0E2841"/>
                <w:kern w:val="2"/>
                <w:sz w:val="18"/>
                <w:szCs w:val="18"/>
              </w:rPr>
              <w:t>Sub-technology</w:t>
            </w:r>
          </w:p>
        </w:tc>
        <w:tc>
          <w:tcPr>
            <w:tcW w:w="1227" w:type="dxa"/>
            <w:noWrap/>
            <w:vAlign w:val="center"/>
            <w:hideMark/>
          </w:tcPr>
          <w:p w14:paraId="08FF6E24" w14:textId="77777777" w:rsidR="00250E9B" w:rsidRPr="00F73297" w:rsidRDefault="00250E9B">
            <w:pPr>
              <w:jc w:val="center"/>
              <w:rPr>
                <w:rFonts w:eastAsia="Aptos"/>
                <w:b/>
                <w:i/>
                <w:color w:val="0E2841"/>
                <w:kern w:val="2"/>
                <w:sz w:val="18"/>
                <w:szCs w:val="18"/>
              </w:rPr>
            </w:pPr>
            <w:r w:rsidRPr="00F73297">
              <w:rPr>
                <w:rFonts w:eastAsia="Aptos"/>
                <w:b/>
                <w:i/>
                <w:color w:val="0E2841"/>
                <w:kern w:val="2"/>
                <w:sz w:val="18"/>
                <w:szCs w:val="18"/>
              </w:rPr>
              <w:t>Material</w:t>
            </w:r>
          </w:p>
        </w:tc>
        <w:tc>
          <w:tcPr>
            <w:tcW w:w="987" w:type="dxa"/>
            <w:noWrap/>
            <w:vAlign w:val="center"/>
            <w:hideMark/>
          </w:tcPr>
          <w:p w14:paraId="4A3121F6" w14:textId="77777777" w:rsidR="00250E9B" w:rsidRPr="00F73297" w:rsidRDefault="00250E9B">
            <w:pPr>
              <w:jc w:val="center"/>
              <w:rPr>
                <w:rFonts w:eastAsia="Aptos"/>
                <w:b/>
                <w:i/>
                <w:color w:val="0E2841"/>
                <w:kern w:val="2"/>
                <w:sz w:val="18"/>
                <w:szCs w:val="18"/>
              </w:rPr>
            </w:pPr>
            <w:r w:rsidRPr="00F73297">
              <w:rPr>
                <w:rFonts w:eastAsia="Aptos"/>
                <w:b/>
                <w:i/>
                <w:color w:val="0E2841"/>
                <w:kern w:val="2"/>
                <w:sz w:val="18"/>
                <w:szCs w:val="18"/>
              </w:rPr>
              <w:t>2030 Intensity (tons/GW)</w:t>
            </w:r>
          </w:p>
        </w:tc>
        <w:tc>
          <w:tcPr>
            <w:tcW w:w="987" w:type="dxa"/>
            <w:noWrap/>
            <w:vAlign w:val="center"/>
            <w:hideMark/>
          </w:tcPr>
          <w:p w14:paraId="59F0ADC3" w14:textId="77777777" w:rsidR="00250E9B" w:rsidRPr="00F73297" w:rsidRDefault="00250E9B">
            <w:pPr>
              <w:jc w:val="center"/>
              <w:rPr>
                <w:rFonts w:eastAsia="Aptos"/>
                <w:b/>
                <w:i/>
                <w:color w:val="0E2841"/>
                <w:kern w:val="2"/>
                <w:sz w:val="18"/>
                <w:szCs w:val="18"/>
              </w:rPr>
            </w:pPr>
            <w:r w:rsidRPr="00F73297">
              <w:rPr>
                <w:rFonts w:eastAsia="Aptos"/>
                <w:b/>
                <w:i/>
                <w:color w:val="0E2841"/>
                <w:kern w:val="2"/>
                <w:sz w:val="18"/>
                <w:szCs w:val="18"/>
              </w:rPr>
              <w:t>2050 Intensity (tons/GW)</w:t>
            </w:r>
          </w:p>
        </w:tc>
        <w:tc>
          <w:tcPr>
            <w:tcW w:w="2440" w:type="dxa"/>
            <w:vAlign w:val="center"/>
          </w:tcPr>
          <w:p w14:paraId="0146F20D" w14:textId="77777777" w:rsidR="00250E9B" w:rsidRPr="00F73297" w:rsidRDefault="00250E9B">
            <w:pPr>
              <w:jc w:val="center"/>
              <w:rPr>
                <w:rFonts w:eastAsia="Aptos"/>
                <w:b/>
                <w:i/>
                <w:color w:val="0E2841"/>
                <w:kern w:val="2"/>
                <w:sz w:val="18"/>
                <w:szCs w:val="18"/>
              </w:rPr>
            </w:pPr>
            <w:r w:rsidRPr="00F73297">
              <w:rPr>
                <w:rFonts w:eastAsia="Aptos"/>
                <w:b/>
                <w:i/>
                <w:color w:val="0E2841"/>
                <w:kern w:val="2"/>
                <w:sz w:val="18"/>
                <w:szCs w:val="18"/>
              </w:rPr>
              <w:t>Source</w:t>
            </w:r>
          </w:p>
        </w:tc>
      </w:tr>
      <w:tr w:rsidR="00250E9B" w:rsidRPr="00F73297" w14:paraId="52810FB5" w14:textId="77777777">
        <w:trPr>
          <w:trHeight w:val="23"/>
          <w:jc w:val="center"/>
        </w:trPr>
        <w:tc>
          <w:tcPr>
            <w:tcW w:w="1158" w:type="dxa"/>
            <w:vMerge w:val="restart"/>
            <w:noWrap/>
            <w:vAlign w:val="center"/>
            <w:hideMark/>
          </w:tcPr>
          <w:p w14:paraId="0CB63734"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c-Si</w:t>
            </w:r>
          </w:p>
        </w:tc>
        <w:tc>
          <w:tcPr>
            <w:tcW w:w="1227" w:type="dxa"/>
            <w:vMerge w:val="restart"/>
            <w:noWrap/>
            <w:vAlign w:val="center"/>
            <w:hideMark/>
          </w:tcPr>
          <w:p w14:paraId="457072BC" w14:textId="77777777" w:rsidR="00250E9B" w:rsidRDefault="00250E9B">
            <w:pPr>
              <w:jc w:val="center"/>
              <w:rPr>
                <w:rFonts w:eastAsia="Aptos"/>
                <w:i/>
                <w:color w:val="0E2841"/>
                <w:kern w:val="2"/>
                <w:sz w:val="18"/>
                <w:szCs w:val="18"/>
              </w:rPr>
            </w:pPr>
            <w:r w:rsidRPr="00F73297">
              <w:rPr>
                <w:rFonts w:eastAsia="Aptos"/>
                <w:i/>
                <w:color w:val="0E2841"/>
                <w:kern w:val="2"/>
                <w:sz w:val="18"/>
                <w:szCs w:val="18"/>
              </w:rPr>
              <w:t>Silver</w:t>
            </w:r>
          </w:p>
          <w:p w14:paraId="05EE7845" w14:textId="77777777" w:rsidR="00250E9B" w:rsidRPr="00F73297" w:rsidRDefault="00250E9B">
            <w:pPr>
              <w:jc w:val="center"/>
              <w:rPr>
                <w:rFonts w:eastAsia="Aptos"/>
                <w:i/>
                <w:color w:val="0E2841"/>
                <w:kern w:val="2"/>
                <w:sz w:val="18"/>
                <w:szCs w:val="18"/>
              </w:rPr>
            </w:pPr>
            <w:r>
              <w:rPr>
                <w:rFonts w:eastAsia="Aptos"/>
                <w:i/>
                <w:color w:val="0E2841"/>
                <w:kern w:val="2"/>
                <w:sz w:val="18"/>
                <w:szCs w:val="18"/>
              </w:rPr>
              <w:t>Ag</w:t>
            </w:r>
          </w:p>
        </w:tc>
        <w:tc>
          <w:tcPr>
            <w:tcW w:w="987" w:type="dxa"/>
            <w:noWrap/>
            <w:vAlign w:val="center"/>
            <w:hideMark/>
          </w:tcPr>
          <w:p w14:paraId="2888A252"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10</w:t>
            </w:r>
          </w:p>
        </w:tc>
        <w:tc>
          <w:tcPr>
            <w:tcW w:w="987" w:type="dxa"/>
            <w:noWrap/>
            <w:vAlign w:val="center"/>
            <w:hideMark/>
          </w:tcPr>
          <w:p w14:paraId="1CC7E08F"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w:t>
            </w:r>
          </w:p>
        </w:tc>
        <w:tc>
          <w:tcPr>
            <w:tcW w:w="2440" w:type="dxa"/>
            <w:vAlign w:val="center"/>
          </w:tcPr>
          <w:p w14:paraId="3AFE8D57" w14:textId="5FCDEB6B"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{"citationID":"vBuMuTnG","properties":{"formattedCitation":"(Elshkaki &amp; Shen, 2019)","plainCitation":"(Elshkaki &amp; Shen, 2019)","noteIndex":0},"citationItems":[{"id":16580,"uris":["http://zotero.org/groups/5509458/items/29GCVUC4"],"itemData":{"id":16580,"type":"article-journal","container-title":"Energy","DOI":"10.1016/j.energy.2019.05.156","ISSN":"03605442","journalAbbreviation":"Energy","language":"en","page":"903-917","source":"DOI.org (Crossref)","title":"Energy-material nexus: The impacts of national and international energy scenarios on critical metals use in China up to 2050 and their global implications","title-short":"Energy-material nexus","volume":"180","author":[{"family":"Elshkaki","given":"Ayman"},{"family":"Shen","given":"Lei"}],"issued":{"date-parts":[["2019",8]]}}}],"schema":"https://github.com/citation-style-language/schema/raw/master/csl-citation.json"}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w:t>
            </w:r>
            <w:proofErr w:type="spellStart"/>
            <w:r w:rsidR="008836FB">
              <w:rPr>
                <w:rFonts w:eastAsia="Aptos"/>
                <w:i/>
                <w:color w:val="0E2841"/>
                <w:kern w:val="2"/>
                <w:sz w:val="18"/>
                <w:szCs w:val="18"/>
              </w:rPr>
              <w:t>Elshkaki</w:t>
            </w:r>
            <w:proofErr w:type="spellEnd"/>
            <w:r w:rsidR="008836FB">
              <w:rPr>
                <w:rFonts w:eastAsia="Aptos"/>
                <w:i/>
                <w:color w:val="0E2841"/>
                <w:kern w:val="2"/>
                <w:sz w:val="18"/>
                <w:szCs w:val="18"/>
              </w:rPr>
              <w:t xml:space="preserve"> &amp; Shen, 2019)</w:t>
            </w:r>
            <w:r w:rsidRPr="00F73297">
              <w:rPr>
                <w:rFonts w:eastAsia="Aptos"/>
                <w:color w:val="0E2841"/>
                <w:kern w:val="2"/>
                <w:sz w:val="18"/>
                <w:szCs w:val="18"/>
              </w:rPr>
              <w:fldChar w:fldCharType="end"/>
            </w:r>
          </w:p>
        </w:tc>
      </w:tr>
      <w:tr w:rsidR="00250E9B" w:rsidRPr="00F73297" w14:paraId="04FDD520" w14:textId="77777777">
        <w:trPr>
          <w:trHeight w:val="23"/>
          <w:jc w:val="center"/>
        </w:trPr>
        <w:tc>
          <w:tcPr>
            <w:tcW w:w="1158" w:type="dxa"/>
            <w:vMerge/>
            <w:vAlign w:val="center"/>
            <w:hideMark/>
          </w:tcPr>
          <w:p w14:paraId="3C446912" w14:textId="77777777" w:rsidR="00250E9B" w:rsidRPr="00F73297" w:rsidRDefault="00250E9B">
            <w:pPr>
              <w:jc w:val="center"/>
              <w:rPr>
                <w:rFonts w:eastAsia="Aptos"/>
                <w:i/>
                <w:color w:val="0E2841"/>
                <w:kern w:val="2"/>
                <w:sz w:val="18"/>
                <w:szCs w:val="18"/>
              </w:rPr>
            </w:pPr>
          </w:p>
        </w:tc>
        <w:tc>
          <w:tcPr>
            <w:tcW w:w="1227" w:type="dxa"/>
            <w:vMerge/>
            <w:vAlign w:val="center"/>
            <w:hideMark/>
          </w:tcPr>
          <w:p w14:paraId="277FBAF9" w14:textId="77777777" w:rsidR="00250E9B" w:rsidRPr="00F73297" w:rsidRDefault="00250E9B">
            <w:pPr>
              <w:jc w:val="center"/>
              <w:rPr>
                <w:rFonts w:eastAsia="Aptos"/>
                <w:i/>
                <w:color w:val="0E2841"/>
                <w:kern w:val="2"/>
                <w:sz w:val="18"/>
                <w:szCs w:val="18"/>
              </w:rPr>
            </w:pPr>
          </w:p>
        </w:tc>
        <w:tc>
          <w:tcPr>
            <w:tcW w:w="987" w:type="dxa"/>
            <w:noWrap/>
            <w:vAlign w:val="center"/>
            <w:hideMark/>
          </w:tcPr>
          <w:p w14:paraId="6A34975B"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4</w:t>
            </w:r>
          </w:p>
        </w:tc>
        <w:tc>
          <w:tcPr>
            <w:tcW w:w="987" w:type="dxa"/>
            <w:noWrap/>
            <w:vAlign w:val="center"/>
            <w:hideMark/>
          </w:tcPr>
          <w:p w14:paraId="7E9F6109"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w:t>
            </w:r>
          </w:p>
        </w:tc>
        <w:tc>
          <w:tcPr>
            <w:tcW w:w="2440" w:type="dxa"/>
            <w:vAlign w:val="center"/>
          </w:tcPr>
          <w:p w14:paraId="435A9473" w14:textId="779F462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{"citationID":"Q9Mi1J5C","properties":{"formattedCitation":"(Carrara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(Carrara et al., 2020)</w:t>
            </w:r>
            <w:r w:rsidRPr="00F73297">
              <w:rPr>
                <w:rFonts w:eastAsia="Aptos"/>
                <w:color w:val="0E2841"/>
                <w:kern w:val="2"/>
                <w:sz w:val="18"/>
                <w:szCs w:val="18"/>
              </w:rPr>
              <w:fldChar w:fldCharType="end"/>
            </w:r>
          </w:p>
        </w:tc>
      </w:tr>
      <w:tr w:rsidR="00250E9B" w:rsidRPr="00F73297" w14:paraId="07A69F69" w14:textId="77777777">
        <w:trPr>
          <w:trHeight w:val="23"/>
          <w:jc w:val="center"/>
        </w:trPr>
        <w:tc>
          <w:tcPr>
            <w:tcW w:w="1158" w:type="dxa"/>
            <w:vMerge/>
            <w:vAlign w:val="center"/>
            <w:hideMark/>
          </w:tcPr>
          <w:p w14:paraId="18E5DBD5" w14:textId="77777777" w:rsidR="00250E9B" w:rsidRPr="00F73297" w:rsidRDefault="00250E9B">
            <w:pPr>
              <w:jc w:val="center"/>
              <w:rPr>
                <w:rFonts w:eastAsia="Aptos"/>
                <w:i/>
                <w:color w:val="0E2841"/>
                <w:kern w:val="2"/>
                <w:sz w:val="18"/>
                <w:szCs w:val="18"/>
              </w:rPr>
            </w:pPr>
          </w:p>
        </w:tc>
        <w:tc>
          <w:tcPr>
            <w:tcW w:w="1227" w:type="dxa"/>
            <w:vMerge/>
            <w:vAlign w:val="center"/>
            <w:hideMark/>
          </w:tcPr>
          <w:p w14:paraId="452F3E7D" w14:textId="77777777" w:rsidR="00250E9B" w:rsidRPr="00F73297" w:rsidRDefault="00250E9B">
            <w:pPr>
              <w:jc w:val="center"/>
              <w:rPr>
                <w:rFonts w:eastAsia="Aptos"/>
                <w:i/>
                <w:color w:val="0E2841"/>
                <w:kern w:val="2"/>
                <w:sz w:val="18"/>
                <w:szCs w:val="18"/>
              </w:rPr>
            </w:pPr>
          </w:p>
        </w:tc>
        <w:tc>
          <w:tcPr>
            <w:tcW w:w="987" w:type="dxa"/>
            <w:noWrap/>
            <w:vAlign w:val="center"/>
            <w:hideMark/>
          </w:tcPr>
          <w:p w14:paraId="407D1F85"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6</w:t>
            </w:r>
          </w:p>
        </w:tc>
        <w:tc>
          <w:tcPr>
            <w:tcW w:w="987" w:type="dxa"/>
            <w:noWrap/>
            <w:vAlign w:val="center"/>
            <w:hideMark/>
          </w:tcPr>
          <w:p w14:paraId="1B2F108E"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2</w:t>
            </w:r>
          </w:p>
        </w:tc>
        <w:tc>
          <w:tcPr>
            <w:tcW w:w="2440" w:type="dxa"/>
            <w:vAlign w:val="center"/>
          </w:tcPr>
          <w:p w14:paraId="779AC5E3" w14:textId="6E9D77EB"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{"citationID":"0Bdx1vRF","properties":{"formattedCitation":"(Carrara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(Carrara et al., 2020)</w:t>
            </w:r>
            <w:r w:rsidRPr="00F73297">
              <w:rPr>
                <w:rFonts w:eastAsia="Aptos"/>
                <w:color w:val="0E2841"/>
                <w:kern w:val="2"/>
                <w:sz w:val="18"/>
                <w:szCs w:val="18"/>
              </w:rPr>
              <w:fldChar w:fldCharType="end"/>
            </w:r>
          </w:p>
        </w:tc>
      </w:tr>
      <w:tr w:rsidR="00250E9B" w:rsidRPr="00F73297" w14:paraId="13796CEF" w14:textId="77777777">
        <w:trPr>
          <w:trHeight w:val="23"/>
          <w:jc w:val="center"/>
        </w:trPr>
        <w:tc>
          <w:tcPr>
            <w:tcW w:w="1158" w:type="dxa"/>
            <w:vMerge/>
            <w:vAlign w:val="center"/>
            <w:hideMark/>
          </w:tcPr>
          <w:p w14:paraId="1E3E420F" w14:textId="77777777" w:rsidR="00250E9B" w:rsidRPr="00F73297" w:rsidRDefault="00250E9B">
            <w:pPr>
              <w:jc w:val="center"/>
              <w:rPr>
                <w:rFonts w:eastAsia="Aptos"/>
                <w:i/>
                <w:color w:val="0E2841"/>
                <w:kern w:val="2"/>
                <w:sz w:val="18"/>
                <w:szCs w:val="18"/>
              </w:rPr>
            </w:pPr>
          </w:p>
        </w:tc>
        <w:tc>
          <w:tcPr>
            <w:tcW w:w="1227" w:type="dxa"/>
            <w:vMerge/>
            <w:vAlign w:val="center"/>
            <w:hideMark/>
          </w:tcPr>
          <w:p w14:paraId="5578F4CB" w14:textId="77777777" w:rsidR="00250E9B" w:rsidRPr="00F73297" w:rsidRDefault="00250E9B">
            <w:pPr>
              <w:jc w:val="center"/>
              <w:rPr>
                <w:rFonts w:eastAsia="Aptos"/>
                <w:i/>
                <w:color w:val="0E2841"/>
                <w:kern w:val="2"/>
                <w:sz w:val="18"/>
                <w:szCs w:val="18"/>
              </w:rPr>
            </w:pPr>
          </w:p>
        </w:tc>
        <w:tc>
          <w:tcPr>
            <w:tcW w:w="987" w:type="dxa"/>
            <w:noWrap/>
            <w:vAlign w:val="center"/>
            <w:hideMark/>
          </w:tcPr>
          <w:p w14:paraId="1C53E431"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11</w:t>
            </w:r>
          </w:p>
        </w:tc>
        <w:tc>
          <w:tcPr>
            <w:tcW w:w="987" w:type="dxa"/>
            <w:noWrap/>
            <w:vAlign w:val="center"/>
            <w:hideMark/>
          </w:tcPr>
          <w:p w14:paraId="5965FA79"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5</w:t>
            </w:r>
          </w:p>
        </w:tc>
        <w:tc>
          <w:tcPr>
            <w:tcW w:w="2440" w:type="dxa"/>
            <w:vAlign w:val="center"/>
          </w:tcPr>
          <w:p w14:paraId="3846E985" w14:textId="77683B5E"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{"citationID":"mMVTVXNZ","properties":{"formattedCitation":"(Carrara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(Carrara et al., 2020)</w:t>
            </w:r>
            <w:r w:rsidRPr="00F73297">
              <w:rPr>
                <w:rFonts w:eastAsia="Aptos"/>
                <w:color w:val="0E2841"/>
                <w:kern w:val="2"/>
                <w:sz w:val="18"/>
                <w:szCs w:val="18"/>
              </w:rPr>
              <w:fldChar w:fldCharType="end"/>
            </w:r>
          </w:p>
        </w:tc>
      </w:tr>
    </w:tbl>
    <w:p w14:paraId="3454C998" w14:textId="77777777" w:rsidR="00250E9B" w:rsidRDefault="00250E9B" w:rsidP="00250E9B">
      <w:pPr>
        <w:jc w:val="center"/>
        <w:rPr>
          <w:b/>
          <w:color w:val="0E2841"/>
          <w:sz w:val="18"/>
          <w:szCs w:val="18"/>
        </w:rPr>
      </w:pPr>
    </w:p>
    <w:p w14:paraId="33C68B9C" w14:textId="77777777" w:rsidR="00250E9B" w:rsidRDefault="00250E9B" w:rsidP="00250E9B">
      <w:pPr>
        <w:jc w:val="center"/>
        <w:rPr>
          <w:b/>
          <w:color w:val="0E2841"/>
          <w:sz w:val="18"/>
          <w:szCs w:val="18"/>
        </w:rPr>
      </w:pPr>
    </w:p>
    <w:p w14:paraId="62E6ACC5" w14:textId="36F13968" w:rsidR="00250E9B" w:rsidRPr="00861EEC" w:rsidRDefault="00250E9B" w:rsidP="00250E9B">
      <w:pPr>
        <w:jc w:val="center"/>
        <w:rPr>
          <w:color w:val="0E2841"/>
          <w:sz w:val="18"/>
          <w:szCs w:val="18"/>
          <w:u w:val="single"/>
        </w:rPr>
      </w:pPr>
      <w:r w:rsidRPr="00F05D5B">
        <w:rPr>
          <w:b/>
          <w:color w:val="0E2841"/>
          <w:sz w:val="18"/>
          <w:szCs w:val="18"/>
        </w:rPr>
        <w:lastRenderedPageBreak/>
        <w:t>Table S</w:t>
      </w:r>
      <w:r>
        <w:rPr>
          <w:b/>
          <w:color w:val="0E2841"/>
          <w:sz w:val="18"/>
          <w:szCs w:val="18"/>
        </w:rPr>
        <w:t>1.</w:t>
      </w:r>
      <w:r w:rsidR="0029776D">
        <w:rPr>
          <w:b/>
          <w:color w:val="0E2841"/>
          <w:sz w:val="18"/>
          <w:szCs w:val="18"/>
        </w:rPr>
        <w:t>9</w:t>
      </w:r>
      <w:r w:rsidRPr="00F05D5B">
        <w:rPr>
          <w:b/>
          <w:color w:val="0E2841"/>
          <w:sz w:val="18"/>
          <w:szCs w:val="18"/>
        </w:rPr>
        <w:t>:</w:t>
      </w:r>
      <w:r w:rsidRPr="00F05D5B">
        <w:rPr>
          <w:color w:val="0E2841"/>
          <w:sz w:val="18"/>
          <w:szCs w:val="18"/>
        </w:rPr>
        <w:t xml:space="preserve"> Germanium intensities (kg/MW) in the a-Si sub-technology, as reported in the literature published between 2018 and 2020</w:t>
      </w:r>
      <w:r>
        <w:rPr>
          <w:color w:val="0E2841"/>
          <w:sz w:val="18"/>
          <w:szCs w:val="18"/>
        </w:rPr>
        <w:t xml:space="preserve"> </w:t>
      </w:r>
      <w:r w:rsidRPr="00F05D5B">
        <w:rPr>
          <w:color w:val="0E2841"/>
          <w:sz w:val="18"/>
          <w:szCs w:val="18"/>
        </w:rPr>
        <w:t>reporting on data for the years 2030 and 2050.</w:t>
      </w:r>
    </w:p>
    <w:tbl>
      <w:tblPr>
        <w:tblW w:w="6799"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158"/>
        <w:gridCol w:w="1227"/>
        <w:gridCol w:w="987"/>
        <w:gridCol w:w="987"/>
        <w:gridCol w:w="2440"/>
      </w:tblGrid>
      <w:tr w:rsidR="00250E9B" w:rsidRPr="00F73297" w14:paraId="545CFBC8" w14:textId="77777777">
        <w:trPr>
          <w:trHeight w:val="23"/>
          <w:jc w:val="center"/>
        </w:trPr>
        <w:tc>
          <w:tcPr>
            <w:tcW w:w="1158" w:type="dxa"/>
            <w:noWrap/>
            <w:vAlign w:val="center"/>
          </w:tcPr>
          <w:p w14:paraId="467EFE3F"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Sub-technology</w:t>
            </w:r>
          </w:p>
        </w:tc>
        <w:tc>
          <w:tcPr>
            <w:tcW w:w="1227" w:type="dxa"/>
            <w:noWrap/>
            <w:vAlign w:val="center"/>
          </w:tcPr>
          <w:p w14:paraId="10EC9A52"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Material</w:t>
            </w:r>
          </w:p>
        </w:tc>
        <w:tc>
          <w:tcPr>
            <w:tcW w:w="987" w:type="dxa"/>
            <w:noWrap/>
            <w:vAlign w:val="center"/>
          </w:tcPr>
          <w:p w14:paraId="5FE8F0B0"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2030 Intensity (tons/GW)</w:t>
            </w:r>
          </w:p>
        </w:tc>
        <w:tc>
          <w:tcPr>
            <w:tcW w:w="987" w:type="dxa"/>
            <w:noWrap/>
            <w:vAlign w:val="center"/>
          </w:tcPr>
          <w:p w14:paraId="066672EC"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2050 Intensity (tons/GW)</w:t>
            </w:r>
          </w:p>
        </w:tc>
        <w:tc>
          <w:tcPr>
            <w:tcW w:w="2440" w:type="dxa"/>
            <w:vAlign w:val="center"/>
          </w:tcPr>
          <w:p w14:paraId="23537930"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Source</w:t>
            </w:r>
          </w:p>
        </w:tc>
      </w:tr>
      <w:tr w:rsidR="00250E9B" w:rsidRPr="00F73297" w14:paraId="51C0FEBC" w14:textId="77777777">
        <w:trPr>
          <w:trHeight w:val="23"/>
          <w:jc w:val="center"/>
        </w:trPr>
        <w:tc>
          <w:tcPr>
            <w:tcW w:w="1158" w:type="dxa"/>
            <w:vMerge w:val="restart"/>
            <w:noWrap/>
            <w:vAlign w:val="center"/>
            <w:hideMark/>
          </w:tcPr>
          <w:p w14:paraId="0E33FD3A"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a-Si</w:t>
            </w:r>
          </w:p>
        </w:tc>
        <w:tc>
          <w:tcPr>
            <w:tcW w:w="1227" w:type="dxa"/>
            <w:vMerge w:val="restart"/>
            <w:noWrap/>
            <w:vAlign w:val="center"/>
            <w:hideMark/>
          </w:tcPr>
          <w:p w14:paraId="7B865E2D" w14:textId="77777777" w:rsidR="00250E9B" w:rsidRDefault="00250E9B">
            <w:pPr>
              <w:jc w:val="center"/>
              <w:rPr>
                <w:rFonts w:eastAsia="Aptos"/>
                <w:i/>
                <w:color w:val="0E2841"/>
                <w:kern w:val="2"/>
                <w:sz w:val="18"/>
                <w:szCs w:val="18"/>
              </w:rPr>
            </w:pPr>
            <w:r w:rsidRPr="00F73297">
              <w:rPr>
                <w:rFonts w:eastAsia="Aptos"/>
                <w:i/>
                <w:color w:val="0E2841"/>
                <w:kern w:val="2"/>
                <w:sz w:val="18"/>
                <w:szCs w:val="18"/>
              </w:rPr>
              <w:t>Germanium</w:t>
            </w:r>
          </w:p>
          <w:p w14:paraId="6CD7E8D2" w14:textId="77777777" w:rsidR="00250E9B" w:rsidRPr="00F73297" w:rsidRDefault="00250E9B">
            <w:pPr>
              <w:jc w:val="center"/>
              <w:rPr>
                <w:rFonts w:eastAsia="Aptos"/>
                <w:i/>
                <w:color w:val="0E2841"/>
                <w:kern w:val="2"/>
                <w:sz w:val="18"/>
                <w:szCs w:val="18"/>
              </w:rPr>
            </w:pPr>
            <w:r>
              <w:rPr>
                <w:rFonts w:eastAsia="Aptos"/>
                <w:i/>
                <w:color w:val="0E2841"/>
                <w:kern w:val="2"/>
                <w:sz w:val="18"/>
                <w:szCs w:val="18"/>
              </w:rPr>
              <w:t>Ge</w:t>
            </w:r>
          </w:p>
        </w:tc>
        <w:tc>
          <w:tcPr>
            <w:tcW w:w="987" w:type="dxa"/>
            <w:noWrap/>
            <w:vAlign w:val="center"/>
            <w:hideMark/>
          </w:tcPr>
          <w:p w14:paraId="320B9F86"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35</w:t>
            </w:r>
          </w:p>
        </w:tc>
        <w:tc>
          <w:tcPr>
            <w:tcW w:w="987" w:type="dxa"/>
            <w:noWrap/>
            <w:vAlign w:val="center"/>
            <w:hideMark/>
          </w:tcPr>
          <w:p w14:paraId="02F3AC6D"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14</w:t>
            </w:r>
          </w:p>
        </w:tc>
        <w:tc>
          <w:tcPr>
            <w:tcW w:w="2440" w:type="dxa"/>
            <w:vAlign w:val="center"/>
          </w:tcPr>
          <w:p w14:paraId="592A95C8" w14:textId="634AF0C6"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{"citationID":"ZBcRzM3n","properties":{"formattedCitation":"(Elshkaki &amp; Shen, 2019)","plainCitation":"(Elshkaki &amp; Shen, 2019)","noteIndex":0},"citationItems":[{"id":16580,"uris":["http://zotero.org/groups/5509458/items/29GCVUC4"],"itemData":{"id":16580,"type":"article-journal","container-title":"Energy","DOI":"10.1016/j.energy.2019.05.156","ISSN":"03605442","journalAbbreviation":"Energy","language":"en","page":"903-917","source":"DOI.org (Crossref)","title":"Energy-material nexus: The impacts of national and international energy scenarios on critical metals use in China up to 2050 and their global implications","title-short":"Energy-material nexus","volume":"180","author":[{"family":"Elshkaki","given":"Ayman"},{"family":"Shen","given":"Lei"}],"issued":{"date-parts":[["2019",8]]}}}],"schema":"https://github.com/citation-style-language/schema/raw/master/csl-citation.json"}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w:t>
            </w:r>
            <w:proofErr w:type="spellStart"/>
            <w:r w:rsidR="008836FB">
              <w:rPr>
                <w:rFonts w:eastAsia="Aptos"/>
                <w:i/>
                <w:color w:val="0E2841"/>
                <w:kern w:val="2"/>
                <w:sz w:val="18"/>
                <w:szCs w:val="18"/>
              </w:rPr>
              <w:t>Elshkaki</w:t>
            </w:r>
            <w:proofErr w:type="spellEnd"/>
            <w:r w:rsidR="008836FB">
              <w:rPr>
                <w:rFonts w:eastAsia="Aptos"/>
                <w:i/>
                <w:color w:val="0E2841"/>
                <w:kern w:val="2"/>
                <w:sz w:val="18"/>
                <w:szCs w:val="18"/>
              </w:rPr>
              <w:t xml:space="preserve"> &amp; Shen, 2019)</w:t>
            </w:r>
            <w:r w:rsidRPr="00F73297">
              <w:rPr>
                <w:rFonts w:eastAsia="Aptos"/>
                <w:color w:val="0E2841"/>
                <w:kern w:val="2"/>
                <w:sz w:val="18"/>
                <w:szCs w:val="18"/>
              </w:rPr>
              <w:fldChar w:fldCharType="end"/>
            </w:r>
          </w:p>
        </w:tc>
      </w:tr>
      <w:tr w:rsidR="00250E9B" w:rsidRPr="00F73297" w14:paraId="19E0815D" w14:textId="77777777">
        <w:trPr>
          <w:trHeight w:val="23"/>
          <w:jc w:val="center"/>
        </w:trPr>
        <w:tc>
          <w:tcPr>
            <w:tcW w:w="1158" w:type="dxa"/>
            <w:vMerge/>
            <w:vAlign w:val="center"/>
            <w:hideMark/>
          </w:tcPr>
          <w:p w14:paraId="73F96469" w14:textId="77777777" w:rsidR="00250E9B" w:rsidRPr="00F73297" w:rsidRDefault="00250E9B">
            <w:pPr>
              <w:jc w:val="center"/>
              <w:rPr>
                <w:rFonts w:eastAsia="Aptos"/>
                <w:i/>
                <w:color w:val="0E2841"/>
                <w:kern w:val="2"/>
                <w:sz w:val="18"/>
                <w:szCs w:val="18"/>
              </w:rPr>
            </w:pPr>
          </w:p>
        </w:tc>
        <w:tc>
          <w:tcPr>
            <w:tcW w:w="1227" w:type="dxa"/>
            <w:vMerge/>
            <w:vAlign w:val="center"/>
            <w:hideMark/>
          </w:tcPr>
          <w:p w14:paraId="418E027C" w14:textId="77777777" w:rsidR="00250E9B" w:rsidRPr="00F73297" w:rsidRDefault="00250E9B">
            <w:pPr>
              <w:jc w:val="center"/>
              <w:rPr>
                <w:rFonts w:eastAsia="Aptos"/>
                <w:i/>
                <w:color w:val="0E2841"/>
                <w:kern w:val="2"/>
                <w:sz w:val="18"/>
                <w:szCs w:val="18"/>
              </w:rPr>
            </w:pPr>
          </w:p>
        </w:tc>
        <w:tc>
          <w:tcPr>
            <w:tcW w:w="987" w:type="dxa"/>
            <w:noWrap/>
            <w:vAlign w:val="center"/>
            <w:hideMark/>
          </w:tcPr>
          <w:p w14:paraId="00023015"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22</w:t>
            </w:r>
          </w:p>
        </w:tc>
        <w:tc>
          <w:tcPr>
            <w:tcW w:w="987" w:type="dxa"/>
            <w:noWrap/>
            <w:vAlign w:val="center"/>
            <w:hideMark/>
          </w:tcPr>
          <w:p w14:paraId="6EFB51B8"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10</w:t>
            </w:r>
          </w:p>
        </w:tc>
        <w:tc>
          <w:tcPr>
            <w:tcW w:w="2440" w:type="dxa"/>
            <w:vAlign w:val="center"/>
          </w:tcPr>
          <w:p w14:paraId="3A7AF39C" w14:textId="5923377C"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{"citationID":"tdGVvpX9","properties":{"formattedCitation":"(Carrara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(Carrara et al., 2020)</w:t>
            </w:r>
            <w:r w:rsidRPr="00F73297">
              <w:rPr>
                <w:rFonts w:eastAsia="Aptos"/>
                <w:color w:val="0E2841"/>
                <w:kern w:val="2"/>
                <w:sz w:val="18"/>
                <w:szCs w:val="18"/>
              </w:rPr>
              <w:fldChar w:fldCharType="end"/>
            </w:r>
          </w:p>
        </w:tc>
      </w:tr>
      <w:tr w:rsidR="00250E9B" w:rsidRPr="00F73297" w14:paraId="52DF9DBB" w14:textId="77777777">
        <w:trPr>
          <w:trHeight w:val="23"/>
          <w:jc w:val="center"/>
        </w:trPr>
        <w:tc>
          <w:tcPr>
            <w:tcW w:w="1158" w:type="dxa"/>
            <w:vMerge/>
            <w:vAlign w:val="center"/>
            <w:hideMark/>
          </w:tcPr>
          <w:p w14:paraId="54CF9085" w14:textId="77777777" w:rsidR="00250E9B" w:rsidRPr="00F73297" w:rsidRDefault="00250E9B">
            <w:pPr>
              <w:jc w:val="center"/>
              <w:rPr>
                <w:rFonts w:eastAsia="Aptos"/>
                <w:i/>
                <w:color w:val="0E2841"/>
                <w:kern w:val="2"/>
                <w:sz w:val="18"/>
                <w:szCs w:val="18"/>
              </w:rPr>
            </w:pPr>
          </w:p>
        </w:tc>
        <w:tc>
          <w:tcPr>
            <w:tcW w:w="1227" w:type="dxa"/>
            <w:vMerge/>
            <w:vAlign w:val="center"/>
            <w:hideMark/>
          </w:tcPr>
          <w:p w14:paraId="39E81FF3" w14:textId="77777777" w:rsidR="00250E9B" w:rsidRPr="00F73297" w:rsidRDefault="00250E9B">
            <w:pPr>
              <w:jc w:val="center"/>
              <w:rPr>
                <w:rFonts w:eastAsia="Aptos"/>
                <w:i/>
                <w:color w:val="0E2841"/>
                <w:kern w:val="2"/>
                <w:sz w:val="18"/>
                <w:szCs w:val="18"/>
              </w:rPr>
            </w:pPr>
          </w:p>
        </w:tc>
        <w:tc>
          <w:tcPr>
            <w:tcW w:w="987" w:type="dxa"/>
            <w:noWrap/>
            <w:vAlign w:val="center"/>
            <w:hideMark/>
          </w:tcPr>
          <w:p w14:paraId="191E7AC2"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27</w:t>
            </w:r>
          </w:p>
        </w:tc>
        <w:tc>
          <w:tcPr>
            <w:tcW w:w="987" w:type="dxa"/>
            <w:noWrap/>
            <w:vAlign w:val="center"/>
            <w:hideMark/>
          </w:tcPr>
          <w:p w14:paraId="415810E9"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15</w:t>
            </w:r>
          </w:p>
        </w:tc>
        <w:tc>
          <w:tcPr>
            <w:tcW w:w="2440" w:type="dxa"/>
            <w:vAlign w:val="center"/>
          </w:tcPr>
          <w:p w14:paraId="6A8D8978" w14:textId="33E75F24"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{"citationID":"sdpghZWz","properties":{"formattedCitation":"(Carrara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(Carrara et al., 2020)</w:t>
            </w:r>
            <w:r w:rsidRPr="00F73297">
              <w:rPr>
                <w:rFonts w:eastAsia="Aptos"/>
                <w:color w:val="0E2841"/>
                <w:kern w:val="2"/>
                <w:sz w:val="18"/>
                <w:szCs w:val="18"/>
              </w:rPr>
              <w:fldChar w:fldCharType="end"/>
            </w:r>
          </w:p>
        </w:tc>
      </w:tr>
      <w:tr w:rsidR="00250E9B" w:rsidRPr="00F73297" w14:paraId="485F53E2" w14:textId="77777777">
        <w:trPr>
          <w:trHeight w:val="23"/>
          <w:jc w:val="center"/>
        </w:trPr>
        <w:tc>
          <w:tcPr>
            <w:tcW w:w="1158" w:type="dxa"/>
            <w:vMerge/>
            <w:vAlign w:val="center"/>
            <w:hideMark/>
          </w:tcPr>
          <w:p w14:paraId="67B2E04E" w14:textId="77777777" w:rsidR="00250E9B" w:rsidRPr="00F73297" w:rsidRDefault="00250E9B">
            <w:pPr>
              <w:jc w:val="center"/>
              <w:rPr>
                <w:rFonts w:eastAsia="Aptos"/>
                <w:i/>
                <w:color w:val="0E2841"/>
                <w:kern w:val="2"/>
                <w:sz w:val="18"/>
                <w:szCs w:val="18"/>
              </w:rPr>
            </w:pPr>
          </w:p>
        </w:tc>
        <w:tc>
          <w:tcPr>
            <w:tcW w:w="1227" w:type="dxa"/>
            <w:vMerge/>
            <w:vAlign w:val="center"/>
            <w:hideMark/>
          </w:tcPr>
          <w:p w14:paraId="5453F437" w14:textId="77777777" w:rsidR="00250E9B" w:rsidRPr="00F73297" w:rsidRDefault="00250E9B">
            <w:pPr>
              <w:jc w:val="center"/>
              <w:rPr>
                <w:rFonts w:eastAsia="Aptos"/>
                <w:i/>
                <w:color w:val="0E2841"/>
                <w:kern w:val="2"/>
                <w:sz w:val="18"/>
                <w:szCs w:val="18"/>
              </w:rPr>
            </w:pPr>
          </w:p>
        </w:tc>
        <w:tc>
          <w:tcPr>
            <w:tcW w:w="987" w:type="dxa"/>
            <w:noWrap/>
            <w:vAlign w:val="center"/>
            <w:hideMark/>
          </w:tcPr>
          <w:p w14:paraId="33CCC0B1"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32</w:t>
            </w:r>
          </w:p>
        </w:tc>
        <w:tc>
          <w:tcPr>
            <w:tcW w:w="987" w:type="dxa"/>
            <w:noWrap/>
            <w:vAlign w:val="center"/>
            <w:hideMark/>
          </w:tcPr>
          <w:p w14:paraId="5109108E"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20</w:t>
            </w:r>
          </w:p>
        </w:tc>
        <w:tc>
          <w:tcPr>
            <w:tcW w:w="2440" w:type="dxa"/>
            <w:vAlign w:val="center"/>
          </w:tcPr>
          <w:p w14:paraId="63CCF1A6" w14:textId="1A1F5E0B"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{"citationID":"Kn7c7DWR","properties":{"formattedCitation":"(Carrara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(Carrara et al., 2020)</w:t>
            </w:r>
            <w:r w:rsidRPr="00F73297">
              <w:rPr>
                <w:rFonts w:eastAsia="Aptos"/>
                <w:color w:val="0E2841"/>
                <w:kern w:val="2"/>
                <w:sz w:val="18"/>
                <w:szCs w:val="18"/>
              </w:rPr>
              <w:fldChar w:fldCharType="end"/>
            </w:r>
          </w:p>
        </w:tc>
      </w:tr>
    </w:tbl>
    <w:p w14:paraId="0C21D222" w14:textId="77777777" w:rsidR="00250E9B" w:rsidRDefault="00250E9B" w:rsidP="00250E9B">
      <w:pPr>
        <w:jc w:val="center"/>
        <w:rPr>
          <w:b/>
          <w:color w:val="0E2841"/>
          <w:sz w:val="18"/>
          <w:szCs w:val="18"/>
        </w:rPr>
      </w:pPr>
    </w:p>
    <w:p w14:paraId="08870B57" w14:textId="77777777" w:rsidR="00250E9B" w:rsidRDefault="00250E9B" w:rsidP="00250E9B">
      <w:pPr>
        <w:jc w:val="center"/>
        <w:rPr>
          <w:b/>
          <w:color w:val="0E2841"/>
          <w:sz w:val="18"/>
          <w:szCs w:val="18"/>
        </w:rPr>
      </w:pPr>
    </w:p>
    <w:p w14:paraId="3FCAC9CB" w14:textId="1268AF40" w:rsidR="00250E9B" w:rsidRDefault="00250E9B" w:rsidP="00250E9B">
      <w:pPr>
        <w:jc w:val="center"/>
        <w:rPr>
          <w:color w:val="0E2841"/>
          <w:sz w:val="18"/>
          <w:szCs w:val="18"/>
          <w:u w:val="single"/>
        </w:rPr>
      </w:pPr>
      <w:r w:rsidRPr="00F05D5B">
        <w:rPr>
          <w:b/>
          <w:color w:val="0E2841"/>
          <w:sz w:val="18"/>
          <w:szCs w:val="18"/>
        </w:rPr>
        <w:t>Table S</w:t>
      </w:r>
      <w:r>
        <w:rPr>
          <w:b/>
          <w:color w:val="0E2841"/>
          <w:sz w:val="18"/>
          <w:szCs w:val="18"/>
        </w:rPr>
        <w:t>1.</w:t>
      </w:r>
      <w:r w:rsidR="0029776D">
        <w:rPr>
          <w:b/>
          <w:color w:val="0E2841"/>
          <w:sz w:val="18"/>
          <w:szCs w:val="18"/>
        </w:rPr>
        <w:t>10</w:t>
      </w:r>
      <w:r w:rsidRPr="00F05D5B">
        <w:rPr>
          <w:b/>
          <w:color w:val="0E2841"/>
          <w:sz w:val="18"/>
          <w:szCs w:val="18"/>
        </w:rPr>
        <w:t>:</w:t>
      </w:r>
      <w:r w:rsidRPr="00F05D5B">
        <w:rPr>
          <w:color w:val="0E2841"/>
          <w:sz w:val="18"/>
          <w:szCs w:val="18"/>
        </w:rPr>
        <w:t xml:space="preserve"> </w:t>
      </w:r>
      <w:r w:rsidRPr="00861EEC">
        <w:rPr>
          <w:color w:val="0E2841"/>
          <w:sz w:val="18"/>
          <w:szCs w:val="18"/>
        </w:rPr>
        <w:t xml:space="preserve">Cadmium and tellurium intensities (kg/MW) in the </w:t>
      </w:r>
      <w:proofErr w:type="spellStart"/>
      <w:proofErr w:type="gramStart"/>
      <w:r w:rsidRPr="00861EEC">
        <w:rPr>
          <w:color w:val="0E2841"/>
          <w:sz w:val="18"/>
          <w:szCs w:val="18"/>
        </w:rPr>
        <w:t>CdTe</w:t>
      </w:r>
      <w:proofErr w:type="spellEnd"/>
      <w:r w:rsidRPr="00861EEC">
        <w:rPr>
          <w:color w:val="0E2841"/>
          <w:sz w:val="18"/>
          <w:szCs w:val="18"/>
        </w:rPr>
        <w:t xml:space="preserve">  sub</w:t>
      </w:r>
      <w:proofErr w:type="gramEnd"/>
      <w:r w:rsidRPr="00861EEC">
        <w:rPr>
          <w:color w:val="0E2841"/>
          <w:sz w:val="18"/>
          <w:szCs w:val="18"/>
        </w:rPr>
        <w:t>-technology, as reported in the literature published between 2018 and 2020</w:t>
      </w:r>
      <w:r>
        <w:rPr>
          <w:color w:val="0E2841"/>
          <w:sz w:val="18"/>
          <w:szCs w:val="18"/>
        </w:rPr>
        <w:t xml:space="preserve"> </w:t>
      </w:r>
      <w:r w:rsidRPr="00F05D5B">
        <w:rPr>
          <w:color w:val="0E2841"/>
          <w:sz w:val="18"/>
          <w:szCs w:val="18"/>
        </w:rPr>
        <w:t>reporting on data for the years 2030 and 2050.</w:t>
      </w:r>
    </w:p>
    <w:tbl>
      <w:tblPr>
        <w:tblW w:w="6799"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158"/>
        <w:gridCol w:w="1227"/>
        <w:gridCol w:w="987"/>
        <w:gridCol w:w="987"/>
        <w:gridCol w:w="2440"/>
      </w:tblGrid>
      <w:tr w:rsidR="00250E9B" w:rsidRPr="00F73297" w14:paraId="0E2ED291" w14:textId="77777777">
        <w:trPr>
          <w:trHeight w:val="23"/>
          <w:jc w:val="center"/>
        </w:trPr>
        <w:tc>
          <w:tcPr>
            <w:tcW w:w="1158" w:type="dxa"/>
            <w:noWrap/>
            <w:vAlign w:val="center"/>
          </w:tcPr>
          <w:p w14:paraId="61AC4BA2"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Sub-technology</w:t>
            </w:r>
          </w:p>
        </w:tc>
        <w:tc>
          <w:tcPr>
            <w:tcW w:w="1227" w:type="dxa"/>
            <w:noWrap/>
            <w:vAlign w:val="center"/>
          </w:tcPr>
          <w:p w14:paraId="29DE6C5B"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Material</w:t>
            </w:r>
          </w:p>
        </w:tc>
        <w:tc>
          <w:tcPr>
            <w:tcW w:w="987" w:type="dxa"/>
            <w:noWrap/>
            <w:vAlign w:val="center"/>
          </w:tcPr>
          <w:p w14:paraId="54EFA51E"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2030 Intensity (tons/GW)</w:t>
            </w:r>
          </w:p>
        </w:tc>
        <w:tc>
          <w:tcPr>
            <w:tcW w:w="987" w:type="dxa"/>
            <w:noWrap/>
            <w:vAlign w:val="center"/>
          </w:tcPr>
          <w:p w14:paraId="089E435F"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2050 Intensity (tons/GW)</w:t>
            </w:r>
          </w:p>
        </w:tc>
        <w:tc>
          <w:tcPr>
            <w:tcW w:w="2440" w:type="dxa"/>
            <w:vAlign w:val="center"/>
          </w:tcPr>
          <w:p w14:paraId="3A8B5453"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Source</w:t>
            </w:r>
          </w:p>
        </w:tc>
      </w:tr>
      <w:tr w:rsidR="00250E9B" w:rsidRPr="00F73297" w14:paraId="0860F9C2" w14:textId="77777777">
        <w:trPr>
          <w:trHeight w:val="23"/>
          <w:jc w:val="center"/>
        </w:trPr>
        <w:tc>
          <w:tcPr>
            <w:tcW w:w="1158" w:type="dxa"/>
            <w:vMerge w:val="restart"/>
            <w:noWrap/>
            <w:vAlign w:val="center"/>
            <w:hideMark/>
          </w:tcPr>
          <w:p w14:paraId="3550B30F" w14:textId="77777777" w:rsidR="00250E9B" w:rsidRPr="00F73297" w:rsidRDefault="00250E9B">
            <w:pPr>
              <w:jc w:val="center"/>
              <w:rPr>
                <w:rFonts w:eastAsia="Aptos"/>
                <w:i/>
                <w:color w:val="0E2841"/>
                <w:kern w:val="2"/>
                <w:sz w:val="18"/>
                <w:szCs w:val="18"/>
              </w:rPr>
            </w:pPr>
            <w:proofErr w:type="spellStart"/>
            <w:r w:rsidRPr="00F73297">
              <w:rPr>
                <w:rFonts w:eastAsia="Aptos"/>
                <w:i/>
                <w:color w:val="0E2841"/>
                <w:kern w:val="2"/>
                <w:sz w:val="18"/>
                <w:szCs w:val="18"/>
              </w:rPr>
              <w:t>CdTe</w:t>
            </w:r>
            <w:proofErr w:type="spellEnd"/>
          </w:p>
        </w:tc>
        <w:tc>
          <w:tcPr>
            <w:tcW w:w="1227" w:type="dxa"/>
            <w:vMerge w:val="restart"/>
            <w:noWrap/>
            <w:vAlign w:val="center"/>
            <w:hideMark/>
          </w:tcPr>
          <w:p w14:paraId="73F20AA2" w14:textId="77777777" w:rsidR="00250E9B" w:rsidRDefault="00250E9B">
            <w:pPr>
              <w:jc w:val="center"/>
              <w:rPr>
                <w:rFonts w:eastAsia="Aptos"/>
                <w:i/>
                <w:color w:val="0E2841"/>
                <w:kern w:val="2"/>
                <w:sz w:val="18"/>
                <w:szCs w:val="18"/>
              </w:rPr>
            </w:pPr>
            <w:r w:rsidRPr="00F73297">
              <w:rPr>
                <w:rFonts w:eastAsia="Aptos"/>
                <w:i/>
                <w:color w:val="0E2841"/>
                <w:kern w:val="2"/>
                <w:sz w:val="18"/>
                <w:szCs w:val="18"/>
              </w:rPr>
              <w:t>Cadmium</w:t>
            </w:r>
          </w:p>
          <w:p w14:paraId="278ECDEF" w14:textId="77777777" w:rsidR="00250E9B" w:rsidRPr="00F73297" w:rsidRDefault="00250E9B">
            <w:pPr>
              <w:jc w:val="center"/>
              <w:rPr>
                <w:rFonts w:eastAsia="Aptos"/>
                <w:i/>
                <w:color w:val="0E2841"/>
                <w:kern w:val="2"/>
                <w:sz w:val="18"/>
                <w:szCs w:val="18"/>
              </w:rPr>
            </w:pPr>
            <w:r>
              <w:rPr>
                <w:rFonts w:eastAsia="Aptos"/>
                <w:i/>
                <w:color w:val="0E2841"/>
                <w:kern w:val="2"/>
                <w:sz w:val="18"/>
                <w:szCs w:val="18"/>
              </w:rPr>
              <w:t>Cd</w:t>
            </w:r>
          </w:p>
        </w:tc>
        <w:tc>
          <w:tcPr>
            <w:tcW w:w="987" w:type="dxa"/>
            <w:noWrap/>
            <w:vAlign w:val="center"/>
            <w:hideMark/>
          </w:tcPr>
          <w:p w14:paraId="2C7EFEA6"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31</w:t>
            </w:r>
          </w:p>
        </w:tc>
        <w:tc>
          <w:tcPr>
            <w:tcW w:w="987" w:type="dxa"/>
            <w:noWrap/>
            <w:vAlign w:val="center"/>
            <w:hideMark/>
          </w:tcPr>
          <w:p w14:paraId="1EFC0252"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12</w:t>
            </w:r>
          </w:p>
        </w:tc>
        <w:tc>
          <w:tcPr>
            <w:tcW w:w="2440" w:type="dxa"/>
            <w:vAlign w:val="center"/>
          </w:tcPr>
          <w:p w14:paraId="44F1B95D" w14:textId="6E83F039"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{"citationID":"DJUTDZEv","properties":{"formattedCitation":"(Elshkaki &amp; Shen, 2019)","plainCitation":"(Elshkaki &amp; Shen, 2019)","noteIndex":0},"citationItems":[{"id":16580,"uris":["http://zotero.org/groups/5509458/items/29GCVUC4"],"itemData":{"id":16580,"type":"article-journal","container-title":"Energy","DOI":"10.1016/j.energy.2019.05.156","ISSN":"03605442","journalAbbreviation":"Energy","language":"en","page":"903-917","source":"DOI.org (Crossref)","title":"Energy-material nexus: The impacts of national and international energy scenarios on critical metals use in China up to 2050 and their global implications","title-short":"Energy-material nexus","volume":"180","author":[{"family":"Elshkaki","given":"Ayman"},{"family":"Shen","given":"Lei"}],"issued":{"date-parts":[["2019",8]]}}}],"schema":"https://github.com/citation-style-language/schema/raw/master/csl-citation.json"}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w:t>
            </w:r>
            <w:proofErr w:type="spellStart"/>
            <w:r w:rsidR="008836FB">
              <w:rPr>
                <w:rFonts w:eastAsia="Aptos"/>
                <w:i/>
                <w:color w:val="0E2841"/>
                <w:kern w:val="2"/>
                <w:sz w:val="18"/>
                <w:szCs w:val="18"/>
              </w:rPr>
              <w:t>Elshkaki</w:t>
            </w:r>
            <w:proofErr w:type="spellEnd"/>
            <w:r w:rsidR="008836FB">
              <w:rPr>
                <w:rFonts w:eastAsia="Aptos"/>
                <w:i/>
                <w:color w:val="0E2841"/>
                <w:kern w:val="2"/>
                <w:sz w:val="18"/>
                <w:szCs w:val="18"/>
              </w:rPr>
              <w:t xml:space="preserve"> &amp; Shen, 2019)</w:t>
            </w:r>
            <w:r w:rsidRPr="00F73297">
              <w:rPr>
                <w:rFonts w:eastAsia="Aptos"/>
                <w:color w:val="0E2841"/>
                <w:kern w:val="2"/>
                <w:sz w:val="18"/>
                <w:szCs w:val="18"/>
              </w:rPr>
              <w:fldChar w:fldCharType="end"/>
            </w:r>
          </w:p>
        </w:tc>
      </w:tr>
      <w:tr w:rsidR="00250E9B" w:rsidRPr="00F73297" w14:paraId="55091BE8" w14:textId="77777777">
        <w:trPr>
          <w:trHeight w:val="23"/>
          <w:jc w:val="center"/>
        </w:trPr>
        <w:tc>
          <w:tcPr>
            <w:tcW w:w="1158" w:type="dxa"/>
            <w:vMerge/>
            <w:vAlign w:val="center"/>
            <w:hideMark/>
          </w:tcPr>
          <w:p w14:paraId="0B5A3A35" w14:textId="77777777" w:rsidR="00250E9B" w:rsidRPr="00F73297" w:rsidRDefault="00250E9B">
            <w:pPr>
              <w:jc w:val="center"/>
              <w:rPr>
                <w:rFonts w:eastAsia="Aptos"/>
                <w:i/>
                <w:color w:val="0E2841"/>
                <w:kern w:val="2"/>
                <w:sz w:val="18"/>
                <w:szCs w:val="18"/>
              </w:rPr>
            </w:pPr>
          </w:p>
        </w:tc>
        <w:tc>
          <w:tcPr>
            <w:tcW w:w="1227" w:type="dxa"/>
            <w:vMerge/>
            <w:vAlign w:val="center"/>
            <w:hideMark/>
          </w:tcPr>
          <w:p w14:paraId="1F77B59C" w14:textId="77777777" w:rsidR="00250E9B" w:rsidRPr="00F73297" w:rsidRDefault="00250E9B">
            <w:pPr>
              <w:jc w:val="center"/>
              <w:rPr>
                <w:rFonts w:eastAsia="Aptos"/>
                <w:i/>
                <w:color w:val="0E2841"/>
                <w:kern w:val="2"/>
                <w:sz w:val="18"/>
                <w:szCs w:val="18"/>
              </w:rPr>
            </w:pPr>
          </w:p>
        </w:tc>
        <w:tc>
          <w:tcPr>
            <w:tcW w:w="987" w:type="dxa"/>
            <w:noWrap/>
            <w:vAlign w:val="center"/>
            <w:hideMark/>
          </w:tcPr>
          <w:p w14:paraId="4E7ED78B"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30</w:t>
            </w:r>
          </w:p>
        </w:tc>
        <w:tc>
          <w:tcPr>
            <w:tcW w:w="987" w:type="dxa"/>
            <w:noWrap/>
            <w:vAlign w:val="center"/>
            <w:hideMark/>
          </w:tcPr>
          <w:p w14:paraId="731FE056"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17</w:t>
            </w:r>
          </w:p>
        </w:tc>
        <w:tc>
          <w:tcPr>
            <w:tcW w:w="2440" w:type="dxa"/>
            <w:vAlign w:val="center"/>
          </w:tcPr>
          <w:p w14:paraId="28EE3236" w14:textId="44012A99"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{"citationID":"gqLvMDNQ","properties":{"formattedCitation":"(Zhou et al., 2020)","plainCitation":"(Zhou et al., 2020)","noteIndex":0},"citationItems":[{"id":16690,"uris":["http://zotero.org/groups/5509458/items/HGS2XCRK"],"itemData":{"id":16690,"type":"article-journal","container-title":"Journal of Cleaner Production","DOI":"10.1016/j.jclepro.2020.121599","ISSN":"09596526","journalAbbreviation":"Journal of Cleaner Production","language":"en","page":"121599","source":"DOI.org (Crossref)","title":"Dynamic criticality of by-products used in thin-film photovoltaic technologies by 2050","volume":"263","author":[{"family":"Zhou","given":"Yanjing"},{"family":"Li","given":"Jianwu"},{"family":"Rechberger","given":"Helmut"},{"family":"Wang","given":"Gaoshang"},{"family":"Chen","given":"Shouyu"},{"family":"Xing","given":"Wanli"},{"family":"Li","given":"Pengyuan"}],"issued":{"date-parts":[["2020",8]]}}}],"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(Zhou et al., 2020)</w:t>
            </w:r>
            <w:r w:rsidRPr="00F73297">
              <w:rPr>
                <w:rFonts w:eastAsia="Aptos"/>
                <w:color w:val="0E2841"/>
                <w:kern w:val="2"/>
                <w:sz w:val="18"/>
                <w:szCs w:val="18"/>
              </w:rPr>
              <w:fldChar w:fldCharType="end"/>
            </w:r>
          </w:p>
        </w:tc>
      </w:tr>
      <w:tr w:rsidR="00250E9B" w:rsidRPr="00F73297" w14:paraId="424B4799" w14:textId="77777777">
        <w:trPr>
          <w:trHeight w:val="23"/>
          <w:jc w:val="center"/>
        </w:trPr>
        <w:tc>
          <w:tcPr>
            <w:tcW w:w="1158" w:type="dxa"/>
            <w:vMerge/>
            <w:vAlign w:val="center"/>
            <w:hideMark/>
          </w:tcPr>
          <w:p w14:paraId="59806866" w14:textId="77777777" w:rsidR="00250E9B" w:rsidRPr="00F73297" w:rsidRDefault="00250E9B">
            <w:pPr>
              <w:jc w:val="center"/>
              <w:rPr>
                <w:rFonts w:eastAsia="Aptos"/>
                <w:i/>
                <w:color w:val="0E2841"/>
                <w:kern w:val="2"/>
                <w:sz w:val="18"/>
                <w:szCs w:val="18"/>
              </w:rPr>
            </w:pPr>
          </w:p>
        </w:tc>
        <w:tc>
          <w:tcPr>
            <w:tcW w:w="1227" w:type="dxa"/>
            <w:vMerge/>
            <w:vAlign w:val="center"/>
            <w:hideMark/>
          </w:tcPr>
          <w:p w14:paraId="2E31F815" w14:textId="77777777" w:rsidR="00250E9B" w:rsidRPr="00F73297" w:rsidRDefault="00250E9B">
            <w:pPr>
              <w:jc w:val="center"/>
              <w:rPr>
                <w:rFonts w:eastAsia="Aptos"/>
                <w:i/>
                <w:color w:val="0E2841"/>
                <w:kern w:val="2"/>
                <w:sz w:val="18"/>
                <w:szCs w:val="18"/>
              </w:rPr>
            </w:pPr>
          </w:p>
        </w:tc>
        <w:tc>
          <w:tcPr>
            <w:tcW w:w="987" w:type="dxa"/>
            <w:noWrap/>
            <w:vAlign w:val="center"/>
            <w:hideMark/>
          </w:tcPr>
          <w:p w14:paraId="4E070E1A"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20</w:t>
            </w:r>
          </w:p>
        </w:tc>
        <w:tc>
          <w:tcPr>
            <w:tcW w:w="987" w:type="dxa"/>
            <w:noWrap/>
            <w:vAlign w:val="center"/>
            <w:hideMark/>
          </w:tcPr>
          <w:p w14:paraId="7FB4D86E"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10</w:t>
            </w:r>
          </w:p>
        </w:tc>
        <w:tc>
          <w:tcPr>
            <w:tcW w:w="2440" w:type="dxa"/>
            <w:vAlign w:val="center"/>
          </w:tcPr>
          <w:p w14:paraId="57DFDDC2" w14:textId="4680805C"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{"citationID":"kbdGxxoD","properties":{"formattedCitation":"(Carrara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(Carrara et al., 2020)</w:t>
            </w:r>
            <w:r w:rsidRPr="00F73297">
              <w:rPr>
                <w:rFonts w:eastAsia="Aptos"/>
                <w:color w:val="0E2841"/>
                <w:kern w:val="2"/>
                <w:sz w:val="18"/>
                <w:szCs w:val="18"/>
              </w:rPr>
              <w:fldChar w:fldCharType="end"/>
            </w:r>
          </w:p>
        </w:tc>
      </w:tr>
      <w:tr w:rsidR="00250E9B" w:rsidRPr="00F73297" w14:paraId="4F5932D8" w14:textId="77777777">
        <w:trPr>
          <w:trHeight w:val="23"/>
          <w:jc w:val="center"/>
        </w:trPr>
        <w:tc>
          <w:tcPr>
            <w:tcW w:w="1158" w:type="dxa"/>
            <w:vMerge/>
            <w:vAlign w:val="center"/>
            <w:hideMark/>
          </w:tcPr>
          <w:p w14:paraId="5D06968A" w14:textId="77777777" w:rsidR="00250E9B" w:rsidRPr="00F73297" w:rsidRDefault="00250E9B">
            <w:pPr>
              <w:jc w:val="center"/>
              <w:rPr>
                <w:rFonts w:eastAsia="Aptos"/>
                <w:i/>
                <w:color w:val="0E2841"/>
                <w:kern w:val="2"/>
                <w:sz w:val="18"/>
                <w:szCs w:val="18"/>
              </w:rPr>
            </w:pPr>
          </w:p>
        </w:tc>
        <w:tc>
          <w:tcPr>
            <w:tcW w:w="1227" w:type="dxa"/>
            <w:vMerge/>
            <w:vAlign w:val="center"/>
            <w:hideMark/>
          </w:tcPr>
          <w:p w14:paraId="60CA23CB" w14:textId="77777777" w:rsidR="00250E9B" w:rsidRPr="00F73297" w:rsidRDefault="00250E9B">
            <w:pPr>
              <w:jc w:val="center"/>
              <w:rPr>
                <w:rFonts w:eastAsia="Aptos"/>
                <w:i/>
                <w:color w:val="0E2841"/>
                <w:kern w:val="2"/>
                <w:sz w:val="18"/>
                <w:szCs w:val="18"/>
              </w:rPr>
            </w:pPr>
          </w:p>
        </w:tc>
        <w:tc>
          <w:tcPr>
            <w:tcW w:w="987" w:type="dxa"/>
            <w:noWrap/>
            <w:vAlign w:val="center"/>
            <w:hideMark/>
          </w:tcPr>
          <w:p w14:paraId="45CBFFA8"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27</w:t>
            </w:r>
          </w:p>
        </w:tc>
        <w:tc>
          <w:tcPr>
            <w:tcW w:w="987" w:type="dxa"/>
            <w:noWrap/>
            <w:vAlign w:val="center"/>
            <w:hideMark/>
          </w:tcPr>
          <w:p w14:paraId="3E1BB2DD"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12</w:t>
            </w:r>
          </w:p>
        </w:tc>
        <w:tc>
          <w:tcPr>
            <w:tcW w:w="2440" w:type="dxa"/>
            <w:vAlign w:val="center"/>
          </w:tcPr>
          <w:p w14:paraId="47A9922A" w14:textId="7EE57461"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{"citationID":"OjP5xAxg","properties":{"formattedCitation":"(Carrara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(Carrara et al., 2020)</w:t>
            </w:r>
            <w:r w:rsidRPr="00F73297">
              <w:rPr>
                <w:rFonts w:eastAsia="Aptos"/>
                <w:color w:val="0E2841"/>
                <w:kern w:val="2"/>
                <w:sz w:val="18"/>
                <w:szCs w:val="18"/>
              </w:rPr>
              <w:fldChar w:fldCharType="end"/>
            </w:r>
          </w:p>
        </w:tc>
      </w:tr>
      <w:tr w:rsidR="00250E9B" w:rsidRPr="00F73297" w14:paraId="4FD77969" w14:textId="77777777">
        <w:trPr>
          <w:trHeight w:val="23"/>
          <w:jc w:val="center"/>
        </w:trPr>
        <w:tc>
          <w:tcPr>
            <w:tcW w:w="1158" w:type="dxa"/>
            <w:vMerge/>
            <w:vAlign w:val="center"/>
            <w:hideMark/>
          </w:tcPr>
          <w:p w14:paraId="2C005D4A" w14:textId="77777777" w:rsidR="00250E9B" w:rsidRPr="00F73297" w:rsidRDefault="00250E9B">
            <w:pPr>
              <w:jc w:val="center"/>
              <w:rPr>
                <w:rFonts w:eastAsia="Aptos"/>
                <w:i/>
                <w:color w:val="0E2841"/>
                <w:kern w:val="2"/>
                <w:sz w:val="18"/>
                <w:szCs w:val="18"/>
              </w:rPr>
            </w:pPr>
          </w:p>
        </w:tc>
        <w:tc>
          <w:tcPr>
            <w:tcW w:w="1227" w:type="dxa"/>
            <w:vMerge/>
            <w:vAlign w:val="center"/>
            <w:hideMark/>
          </w:tcPr>
          <w:p w14:paraId="2507AB0A" w14:textId="77777777" w:rsidR="00250E9B" w:rsidRPr="00F73297" w:rsidRDefault="00250E9B">
            <w:pPr>
              <w:jc w:val="center"/>
              <w:rPr>
                <w:rFonts w:eastAsia="Aptos"/>
                <w:i/>
                <w:color w:val="0E2841"/>
                <w:kern w:val="2"/>
                <w:sz w:val="18"/>
                <w:szCs w:val="18"/>
              </w:rPr>
            </w:pPr>
          </w:p>
        </w:tc>
        <w:tc>
          <w:tcPr>
            <w:tcW w:w="987" w:type="dxa"/>
            <w:noWrap/>
            <w:vAlign w:val="center"/>
            <w:hideMark/>
          </w:tcPr>
          <w:p w14:paraId="3239593A"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60</w:t>
            </w:r>
          </w:p>
        </w:tc>
        <w:tc>
          <w:tcPr>
            <w:tcW w:w="987" w:type="dxa"/>
            <w:noWrap/>
            <w:vAlign w:val="center"/>
            <w:hideMark/>
          </w:tcPr>
          <w:p w14:paraId="5D20E18E"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35</w:t>
            </w:r>
          </w:p>
        </w:tc>
        <w:tc>
          <w:tcPr>
            <w:tcW w:w="2440" w:type="dxa"/>
            <w:vAlign w:val="center"/>
          </w:tcPr>
          <w:p w14:paraId="5179FC78" w14:textId="239EB271"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{"citationID":"MYRtn0ic","properties":{"formattedCitation":"(Carrara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(Carrara et al., 2020)</w:t>
            </w:r>
            <w:r w:rsidRPr="00F73297">
              <w:rPr>
                <w:rFonts w:eastAsia="Aptos"/>
                <w:color w:val="0E2841"/>
                <w:kern w:val="2"/>
                <w:sz w:val="18"/>
                <w:szCs w:val="18"/>
              </w:rPr>
              <w:fldChar w:fldCharType="end"/>
            </w:r>
          </w:p>
        </w:tc>
      </w:tr>
      <w:tr w:rsidR="00250E9B" w:rsidRPr="00F73297" w14:paraId="2FC493E8" w14:textId="77777777">
        <w:trPr>
          <w:trHeight w:val="23"/>
          <w:jc w:val="center"/>
        </w:trPr>
        <w:tc>
          <w:tcPr>
            <w:tcW w:w="1158" w:type="dxa"/>
            <w:vMerge/>
            <w:vAlign w:val="center"/>
            <w:hideMark/>
          </w:tcPr>
          <w:p w14:paraId="1859879D" w14:textId="77777777" w:rsidR="00250E9B" w:rsidRPr="00F73297" w:rsidRDefault="00250E9B">
            <w:pPr>
              <w:jc w:val="center"/>
              <w:rPr>
                <w:rFonts w:eastAsia="Aptos"/>
                <w:i/>
                <w:color w:val="0E2841"/>
                <w:kern w:val="2"/>
                <w:sz w:val="18"/>
                <w:szCs w:val="18"/>
              </w:rPr>
            </w:pPr>
          </w:p>
        </w:tc>
        <w:tc>
          <w:tcPr>
            <w:tcW w:w="1227" w:type="dxa"/>
            <w:vMerge w:val="restart"/>
            <w:noWrap/>
            <w:vAlign w:val="center"/>
            <w:hideMark/>
          </w:tcPr>
          <w:p w14:paraId="3DB45D0A" w14:textId="77777777" w:rsidR="00250E9B" w:rsidRDefault="00250E9B">
            <w:pPr>
              <w:jc w:val="center"/>
              <w:rPr>
                <w:rFonts w:eastAsia="Aptos"/>
                <w:i/>
                <w:color w:val="0E2841"/>
                <w:kern w:val="2"/>
                <w:sz w:val="18"/>
                <w:szCs w:val="18"/>
              </w:rPr>
            </w:pPr>
            <w:r w:rsidRPr="00F73297">
              <w:rPr>
                <w:rFonts w:eastAsia="Aptos"/>
                <w:i/>
                <w:color w:val="0E2841"/>
                <w:kern w:val="2"/>
                <w:sz w:val="18"/>
                <w:szCs w:val="18"/>
              </w:rPr>
              <w:t>Tellurium</w:t>
            </w:r>
          </w:p>
          <w:p w14:paraId="4B621BA7" w14:textId="77777777" w:rsidR="00250E9B" w:rsidRPr="00F73297" w:rsidRDefault="00250E9B">
            <w:pPr>
              <w:jc w:val="center"/>
              <w:rPr>
                <w:rFonts w:eastAsia="Aptos"/>
                <w:i/>
                <w:color w:val="0E2841"/>
                <w:kern w:val="2"/>
                <w:sz w:val="18"/>
                <w:szCs w:val="18"/>
              </w:rPr>
            </w:pPr>
            <w:proofErr w:type="spellStart"/>
            <w:r>
              <w:rPr>
                <w:rFonts w:eastAsia="Aptos"/>
                <w:i/>
                <w:color w:val="0E2841"/>
                <w:kern w:val="2"/>
                <w:sz w:val="18"/>
                <w:szCs w:val="18"/>
              </w:rPr>
              <w:t>Te</w:t>
            </w:r>
            <w:proofErr w:type="spellEnd"/>
          </w:p>
        </w:tc>
        <w:tc>
          <w:tcPr>
            <w:tcW w:w="987" w:type="dxa"/>
            <w:noWrap/>
            <w:vAlign w:val="center"/>
            <w:hideMark/>
          </w:tcPr>
          <w:p w14:paraId="0DCBB967"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35</w:t>
            </w:r>
          </w:p>
        </w:tc>
        <w:tc>
          <w:tcPr>
            <w:tcW w:w="987" w:type="dxa"/>
            <w:noWrap/>
            <w:vAlign w:val="center"/>
            <w:hideMark/>
          </w:tcPr>
          <w:p w14:paraId="5B944ED3"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14</w:t>
            </w:r>
          </w:p>
        </w:tc>
        <w:tc>
          <w:tcPr>
            <w:tcW w:w="2440" w:type="dxa"/>
            <w:vAlign w:val="center"/>
          </w:tcPr>
          <w:p w14:paraId="63A0ED83" w14:textId="2D212064"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{"citationID":"k40hqCSz","properties":{"formattedCitation":"(Elshkaki &amp; Shen, 2019)","plainCitation":"(Elshkaki &amp; Shen, 2019)","noteIndex":0},"citationItems":[{"id":16580,"uris":["http://zotero.org/groups/5509458/items/29GCVUC4"],"itemData":{"id":16580,"type":"article-journal","container-title":"Energy","DOI":"10.1016/j.energy.2019.05.156","ISSN":"03605442","journalAbbreviation":"Energy","language":"en","page":"903-917","source":"DOI.org (Crossref)","title":"Energy-material nexus: The impacts of national and international energy scenarios on critical metals use in China up to 2050 and their global implications","title-short":"Energy-material nexus","volume":"180","author":[{"family":"Elshkaki","given":"Ayman"},{"family":"Shen","given":"Lei"}],"issued":{"date-parts":[["2019",8]]}}}],"schema":"https://github.com/citation-style-language/schema/raw/master/csl-citation.json"}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w:t>
            </w:r>
            <w:proofErr w:type="spellStart"/>
            <w:r w:rsidR="008836FB">
              <w:rPr>
                <w:rFonts w:eastAsia="Aptos"/>
                <w:i/>
                <w:color w:val="0E2841"/>
                <w:kern w:val="2"/>
                <w:sz w:val="18"/>
                <w:szCs w:val="18"/>
              </w:rPr>
              <w:t>Elshkaki</w:t>
            </w:r>
            <w:proofErr w:type="spellEnd"/>
            <w:r w:rsidR="008836FB">
              <w:rPr>
                <w:rFonts w:eastAsia="Aptos"/>
                <w:i/>
                <w:color w:val="0E2841"/>
                <w:kern w:val="2"/>
                <w:sz w:val="18"/>
                <w:szCs w:val="18"/>
              </w:rPr>
              <w:t xml:space="preserve"> &amp; Shen, 2019)</w:t>
            </w:r>
            <w:r w:rsidRPr="00F73297">
              <w:rPr>
                <w:rFonts w:eastAsia="Aptos"/>
                <w:color w:val="0E2841"/>
                <w:kern w:val="2"/>
                <w:sz w:val="18"/>
                <w:szCs w:val="18"/>
              </w:rPr>
              <w:fldChar w:fldCharType="end"/>
            </w:r>
          </w:p>
        </w:tc>
      </w:tr>
      <w:tr w:rsidR="00250E9B" w:rsidRPr="00F73297" w14:paraId="7633A5E7" w14:textId="77777777">
        <w:trPr>
          <w:trHeight w:val="23"/>
          <w:jc w:val="center"/>
        </w:trPr>
        <w:tc>
          <w:tcPr>
            <w:tcW w:w="1158" w:type="dxa"/>
            <w:vMerge/>
            <w:vAlign w:val="center"/>
            <w:hideMark/>
          </w:tcPr>
          <w:p w14:paraId="236AF28A" w14:textId="77777777" w:rsidR="00250E9B" w:rsidRPr="00F73297" w:rsidRDefault="00250E9B">
            <w:pPr>
              <w:jc w:val="center"/>
              <w:rPr>
                <w:rFonts w:eastAsia="Aptos"/>
                <w:i/>
                <w:color w:val="0E2841"/>
                <w:kern w:val="2"/>
                <w:sz w:val="18"/>
                <w:szCs w:val="18"/>
              </w:rPr>
            </w:pPr>
          </w:p>
        </w:tc>
        <w:tc>
          <w:tcPr>
            <w:tcW w:w="1227" w:type="dxa"/>
            <w:vMerge/>
            <w:vAlign w:val="center"/>
            <w:hideMark/>
          </w:tcPr>
          <w:p w14:paraId="58E76801" w14:textId="77777777" w:rsidR="00250E9B" w:rsidRPr="00F73297" w:rsidRDefault="00250E9B">
            <w:pPr>
              <w:jc w:val="center"/>
              <w:rPr>
                <w:rFonts w:eastAsia="Aptos"/>
                <w:i/>
                <w:color w:val="0E2841"/>
                <w:kern w:val="2"/>
                <w:sz w:val="18"/>
                <w:szCs w:val="18"/>
              </w:rPr>
            </w:pPr>
          </w:p>
        </w:tc>
        <w:tc>
          <w:tcPr>
            <w:tcW w:w="987" w:type="dxa"/>
            <w:noWrap/>
            <w:vAlign w:val="center"/>
            <w:hideMark/>
          </w:tcPr>
          <w:p w14:paraId="408DE054"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29</w:t>
            </w:r>
          </w:p>
        </w:tc>
        <w:tc>
          <w:tcPr>
            <w:tcW w:w="987" w:type="dxa"/>
            <w:noWrap/>
            <w:vAlign w:val="center"/>
            <w:hideMark/>
          </w:tcPr>
          <w:p w14:paraId="1DE3DAEC"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20</w:t>
            </w:r>
          </w:p>
        </w:tc>
        <w:tc>
          <w:tcPr>
            <w:tcW w:w="2440" w:type="dxa"/>
            <w:vAlign w:val="center"/>
          </w:tcPr>
          <w:p w14:paraId="4952527F" w14:textId="46EAC809"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{"citationID":"T0ZYAtk3","properties":{"formattedCitation":"(Zhou et al., 2020)","plainCitation":"(Zhou et al., 2020)","noteIndex":0},"citationItems":[{"id":16690,"uris":["http://zotero.org/groups/5509458/items/HGS2XCRK"],"itemData":{"id":16690,"type":"article-journal","container-title":"Journal of Cleaner Production","DOI":"10.1016/j.jclepro.2020.121599","ISSN":"09596526","journalAbbreviation":"Journal of Cleaner Production","language":"en","page":"121599","source":"DOI.org (Crossref)","title":"Dynamic criticality of by-products used in thin-film photovoltaic technologies by 2050","volume":"263","author":[{"family":"Zhou","given":"Yanjing"},{"family":"Li","given":"Jianwu"},{"family":"Rechberger","given":"Helmut"},{"family":"Wang","given":"Gaoshang"},{"family":"Chen","given":"Shouyu"},{"family":"Xing","given":"Wanli"},{"family":"Li","given":"Pengyuan"}],"issued":{"date-parts":[["2020",8]]}}}],"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(Zhou et al., 2020)</w:t>
            </w:r>
            <w:r w:rsidRPr="00F73297">
              <w:rPr>
                <w:rFonts w:eastAsia="Aptos"/>
                <w:color w:val="0E2841"/>
                <w:kern w:val="2"/>
                <w:sz w:val="18"/>
                <w:szCs w:val="18"/>
              </w:rPr>
              <w:fldChar w:fldCharType="end"/>
            </w:r>
          </w:p>
        </w:tc>
      </w:tr>
      <w:tr w:rsidR="00250E9B" w:rsidRPr="00F73297" w14:paraId="588EDE63" w14:textId="77777777">
        <w:trPr>
          <w:trHeight w:val="23"/>
          <w:jc w:val="center"/>
        </w:trPr>
        <w:tc>
          <w:tcPr>
            <w:tcW w:w="1158" w:type="dxa"/>
            <w:vMerge/>
            <w:vAlign w:val="center"/>
            <w:hideMark/>
          </w:tcPr>
          <w:p w14:paraId="367091F8" w14:textId="77777777" w:rsidR="00250E9B" w:rsidRPr="00F73297" w:rsidRDefault="00250E9B">
            <w:pPr>
              <w:jc w:val="center"/>
              <w:rPr>
                <w:rFonts w:eastAsia="Aptos"/>
                <w:i/>
                <w:color w:val="0E2841"/>
                <w:kern w:val="2"/>
                <w:sz w:val="18"/>
                <w:szCs w:val="18"/>
              </w:rPr>
            </w:pPr>
          </w:p>
        </w:tc>
        <w:tc>
          <w:tcPr>
            <w:tcW w:w="1227" w:type="dxa"/>
            <w:vMerge/>
            <w:vAlign w:val="center"/>
            <w:hideMark/>
          </w:tcPr>
          <w:p w14:paraId="179CA519" w14:textId="77777777" w:rsidR="00250E9B" w:rsidRPr="00F73297" w:rsidRDefault="00250E9B">
            <w:pPr>
              <w:jc w:val="center"/>
              <w:rPr>
                <w:rFonts w:eastAsia="Aptos"/>
                <w:i/>
                <w:color w:val="0E2841"/>
                <w:kern w:val="2"/>
                <w:sz w:val="18"/>
                <w:szCs w:val="18"/>
              </w:rPr>
            </w:pPr>
          </w:p>
        </w:tc>
        <w:tc>
          <w:tcPr>
            <w:tcW w:w="987" w:type="dxa"/>
            <w:noWrap/>
            <w:vAlign w:val="center"/>
            <w:hideMark/>
          </w:tcPr>
          <w:p w14:paraId="6F7666ED"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20</w:t>
            </w:r>
          </w:p>
        </w:tc>
        <w:tc>
          <w:tcPr>
            <w:tcW w:w="987" w:type="dxa"/>
            <w:noWrap/>
            <w:vAlign w:val="center"/>
            <w:hideMark/>
          </w:tcPr>
          <w:p w14:paraId="2C5790CE"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11</w:t>
            </w:r>
          </w:p>
        </w:tc>
        <w:tc>
          <w:tcPr>
            <w:tcW w:w="2440" w:type="dxa"/>
            <w:vAlign w:val="center"/>
          </w:tcPr>
          <w:p w14:paraId="365AE84F" w14:textId="3E0F8F7B"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{"citationID":"fMiQ9ySY","properties":{"formattedCitation":"(Carrara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(Carrara et al., 2020)</w:t>
            </w:r>
            <w:r w:rsidRPr="00F73297">
              <w:rPr>
                <w:rFonts w:eastAsia="Aptos"/>
                <w:color w:val="0E2841"/>
                <w:kern w:val="2"/>
                <w:sz w:val="18"/>
                <w:szCs w:val="18"/>
              </w:rPr>
              <w:fldChar w:fldCharType="end"/>
            </w:r>
          </w:p>
        </w:tc>
      </w:tr>
      <w:tr w:rsidR="00250E9B" w:rsidRPr="00F73297" w14:paraId="482177D1" w14:textId="77777777">
        <w:trPr>
          <w:trHeight w:val="23"/>
          <w:jc w:val="center"/>
        </w:trPr>
        <w:tc>
          <w:tcPr>
            <w:tcW w:w="1158" w:type="dxa"/>
            <w:vMerge/>
            <w:vAlign w:val="center"/>
            <w:hideMark/>
          </w:tcPr>
          <w:p w14:paraId="7BF664F0" w14:textId="77777777" w:rsidR="00250E9B" w:rsidRPr="00F73297" w:rsidRDefault="00250E9B">
            <w:pPr>
              <w:jc w:val="center"/>
              <w:rPr>
                <w:rFonts w:eastAsia="Aptos"/>
                <w:i/>
                <w:color w:val="0E2841"/>
                <w:kern w:val="2"/>
                <w:sz w:val="18"/>
                <w:szCs w:val="18"/>
              </w:rPr>
            </w:pPr>
          </w:p>
        </w:tc>
        <w:tc>
          <w:tcPr>
            <w:tcW w:w="1227" w:type="dxa"/>
            <w:vMerge/>
            <w:vAlign w:val="center"/>
            <w:hideMark/>
          </w:tcPr>
          <w:p w14:paraId="368B3763" w14:textId="77777777" w:rsidR="00250E9B" w:rsidRPr="00F73297" w:rsidRDefault="00250E9B">
            <w:pPr>
              <w:jc w:val="center"/>
              <w:rPr>
                <w:rFonts w:eastAsia="Aptos"/>
                <w:i/>
                <w:color w:val="0E2841"/>
                <w:kern w:val="2"/>
                <w:sz w:val="18"/>
                <w:szCs w:val="18"/>
              </w:rPr>
            </w:pPr>
          </w:p>
        </w:tc>
        <w:tc>
          <w:tcPr>
            <w:tcW w:w="987" w:type="dxa"/>
            <w:noWrap/>
            <w:vAlign w:val="center"/>
            <w:hideMark/>
          </w:tcPr>
          <w:p w14:paraId="15D88F88"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27</w:t>
            </w:r>
          </w:p>
        </w:tc>
        <w:tc>
          <w:tcPr>
            <w:tcW w:w="987" w:type="dxa"/>
            <w:noWrap/>
            <w:vAlign w:val="center"/>
            <w:hideMark/>
          </w:tcPr>
          <w:p w14:paraId="30072195"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15</w:t>
            </w:r>
          </w:p>
        </w:tc>
        <w:tc>
          <w:tcPr>
            <w:tcW w:w="2440" w:type="dxa"/>
            <w:vAlign w:val="center"/>
          </w:tcPr>
          <w:p w14:paraId="1CA02E6B" w14:textId="494D7DE0"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{"citationID":"FlqBeZro","properties":{"formattedCitation":"(Carrara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(Carrara et al., 2020)</w:t>
            </w:r>
            <w:r w:rsidRPr="00F73297">
              <w:rPr>
                <w:rFonts w:eastAsia="Aptos"/>
                <w:color w:val="0E2841"/>
                <w:kern w:val="2"/>
                <w:sz w:val="18"/>
                <w:szCs w:val="18"/>
              </w:rPr>
              <w:fldChar w:fldCharType="end"/>
            </w:r>
          </w:p>
        </w:tc>
      </w:tr>
      <w:tr w:rsidR="00250E9B" w:rsidRPr="00F73297" w14:paraId="51274E36" w14:textId="77777777">
        <w:trPr>
          <w:trHeight w:val="23"/>
          <w:jc w:val="center"/>
        </w:trPr>
        <w:tc>
          <w:tcPr>
            <w:tcW w:w="1158" w:type="dxa"/>
            <w:vMerge/>
            <w:vAlign w:val="center"/>
            <w:hideMark/>
          </w:tcPr>
          <w:p w14:paraId="46FE6890" w14:textId="77777777" w:rsidR="00250E9B" w:rsidRPr="00F73297" w:rsidRDefault="00250E9B">
            <w:pPr>
              <w:jc w:val="center"/>
              <w:rPr>
                <w:rFonts w:eastAsia="Aptos"/>
                <w:i/>
                <w:color w:val="0E2841"/>
                <w:kern w:val="2"/>
                <w:sz w:val="18"/>
                <w:szCs w:val="18"/>
              </w:rPr>
            </w:pPr>
          </w:p>
        </w:tc>
        <w:tc>
          <w:tcPr>
            <w:tcW w:w="1227" w:type="dxa"/>
            <w:vMerge/>
            <w:vAlign w:val="center"/>
            <w:hideMark/>
          </w:tcPr>
          <w:p w14:paraId="28FE3BC6" w14:textId="77777777" w:rsidR="00250E9B" w:rsidRPr="00F73297" w:rsidRDefault="00250E9B">
            <w:pPr>
              <w:jc w:val="center"/>
              <w:rPr>
                <w:rFonts w:eastAsia="Aptos"/>
                <w:i/>
                <w:color w:val="0E2841"/>
                <w:kern w:val="2"/>
                <w:sz w:val="18"/>
                <w:szCs w:val="18"/>
              </w:rPr>
            </w:pPr>
          </w:p>
        </w:tc>
        <w:tc>
          <w:tcPr>
            <w:tcW w:w="987" w:type="dxa"/>
            <w:noWrap/>
            <w:vAlign w:val="center"/>
            <w:hideMark/>
          </w:tcPr>
          <w:p w14:paraId="3C47DE24"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70</w:t>
            </w:r>
          </w:p>
        </w:tc>
        <w:tc>
          <w:tcPr>
            <w:tcW w:w="987" w:type="dxa"/>
            <w:noWrap/>
            <w:vAlign w:val="center"/>
            <w:hideMark/>
          </w:tcPr>
          <w:p w14:paraId="2C21E24C"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40</w:t>
            </w:r>
          </w:p>
        </w:tc>
        <w:tc>
          <w:tcPr>
            <w:tcW w:w="2440" w:type="dxa"/>
            <w:vAlign w:val="center"/>
          </w:tcPr>
          <w:p w14:paraId="2AF34192" w14:textId="2836FBB1"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{"citationID":"01qCYe56","properties":{"formattedCitation":"(Carrara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(Carrara et al., 2020)</w:t>
            </w:r>
            <w:r w:rsidRPr="00F73297">
              <w:rPr>
                <w:rFonts w:eastAsia="Aptos"/>
                <w:color w:val="0E2841"/>
                <w:kern w:val="2"/>
                <w:sz w:val="18"/>
                <w:szCs w:val="18"/>
              </w:rPr>
              <w:fldChar w:fldCharType="end"/>
            </w:r>
          </w:p>
        </w:tc>
      </w:tr>
    </w:tbl>
    <w:p w14:paraId="6BF05517" w14:textId="77777777" w:rsidR="00250E9B" w:rsidRDefault="00250E9B" w:rsidP="00250E9B">
      <w:pPr>
        <w:jc w:val="center"/>
        <w:rPr>
          <w:color w:val="0E2841"/>
          <w:sz w:val="18"/>
          <w:szCs w:val="18"/>
          <w:u w:val="single"/>
        </w:rPr>
      </w:pPr>
    </w:p>
    <w:p w14:paraId="7DFD4DA3" w14:textId="77777777" w:rsidR="00250E9B" w:rsidRDefault="00250E9B" w:rsidP="00250E9B">
      <w:pPr>
        <w:jc w:val="center"/>
        <w:rPr>
          <w:color w:val="0E2841"/>
          <w:sz w:val="18"/>
          <w:szCs w:val="18"/>
          <w:u w:val="single"/>
        </w:rPr>
      </w:pPr>
    </w:p>
    <w:p w14:paraId="799850D6" w14:textId="5517E31F" w:rsidR="00250E9B" w:rsidRDefault="00250E9B" w:rsidP="00250E9B">
      <w:pPr>
        <w:jc w:val="center"/>
        <w:rPr>
          <w:color w:val="0E2841"/>
          <w:sz w:val="18"/>
          <w:szCs w:val="18"/>
          <w:u w:val="single"/>
        </w:rPr>
      </w:pPr>
      <w:r w:rsidRPr="00F05D5B">
        <w:rPr>
          <w:b/>
          <w:color w:val="0E2841"/>
          <w:sz w:val="18"/>
          <w:szCs w:val="18"/>
        </w:rPr>
        <w:t>Table S</w:t>
      </w:r>
      <w:r>
        <w:rPr>
          <w:b/>
          <w:color w:val="0E2841"/>
          <w:sz w:val="18"/>
          <w:szCs w:val="18"/>
        </w:rPr>
        <w:t>1.1</w:t>
      </w:r>
      <w:r w:rsidR="0029776D">
        <w:rPr>
          <w:b/>
          <w:color w:val="0E2841"/>
          <w:sz w:val="18"/>
          <w:szCs w:val="18"/>
        </w:rPr>
        <w:t>1</w:t>
      </w:r>
      <w:r w:rsidRPr="00F05D5B">
        <w:rPr>
          <w:b/>
          <w:color w:val="0E2841"/>
          <w:sz w:val="18"/>
          <w:szCs w:val="18"/>
        </w:rPr>
        <w:t>:</w:t>
      </w:r>
      <w:r w:rsidRPr="00F05D5B">
        <w:rPr>
          <w:color w:val="0E2841"/>
          <w:sz w:val="18"/>
          <w:szCs w:val="18"/>
        </w:rPr>
        <w:t xml:space="preserve"> Gallium, indium and selenium intensities (kg/MW) in the </w:t>
      </w:r>
      <w:proofErr w:type="gramStart"/>
      <w:r w:rsidRPr="00F05D5B">
        <w:rPr>
          <w:color w:val="0E2841"/>
          <w:sz w:val="18"/>
          <w:szCs w:val="18"/>
        </w:rPr>
        <w:t>CIGS  sub</w:t>
      </w:r>
      <w:proofErr w:type="gramEnd"/>
      <w:r w:rsidRPr="00F05D5B">
        <w:rPr>
          <w:color w:val="0E2841"/>
          <w:sz w:val="18"/>
          <w:szCs w:val="18"/>
        </w:rPr>
        <w:t>-technology, as reported in the literature published between 2018 and 2020</w:t>
      </w:r>
      <w:r>
        <w:rPr>
          <w:color w:val="0E2841"/>
          <w:sz w:val="18"/>
          <w:szCs w:val="18"/>
        </w:rPr>
        <w:t xml:space="preserve"> </w:t>
      </w:r>
      <w:r w:rsidRPr="00F05D5B">
        <w:rPr>
          <w:color w:val="0E2841"/>
          <w:sz w:val="18"/>
          <w:szCs w:val="18"/>
        </w:rPr>
        <w:t>reporting on data for the years 2030 and 2050.</w:t>
      </w:r>
    </w:p>
    <w:tbl>
      <w:tblPr>
        <w:tblW w:w="6799"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158"/>
        <w:gridCol w:w="1227"/>
        <w:gridCol w:w="987"/>
        <w:gridCol w:w="987"/>
        <w:gridCol w:w="2440"/>
      </w:tblGrid>
      <w:tr w:rsidR="00250E9B" w:rsidRPr="00F73297" w14:paraId="3034C65C" w14:textId="77777777">
        <w:trPr>
          <w:trHeight w:val="23"/>
          <w:jc w:val="center"/>
        </w:trPr>
        <w:tc>
          <w:tcPr>
            <w:tcW w:w="1158" w:type="dxa"/>
            <w:noWrap/>
            <w:vAlign w:val="center"/>
          </w:tcPr>
          <w:p w14:paraId="63620DDD"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Sub-technology</w:t>
            </w:r>
          </w:p>
        </w:tc>
        <w:tc>
          <w:tcPr>
            <w:tcW w:w="1227" w:type="dxa"/>
            <w:noWrap/>
            <w:vAlign w:val="center"/>
          </w:tcPr>
          <w:p w14:paraId="43BAB552"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Material</w:t>
            </w:r>
          </w:p>
        </w:tc>
        <w:tc>
          <w:tcPr>
            <w:tcW w:w="980" w:type="dxa"/>
            <w:noWrap/>
            <w:vAlign w:val="center"/>
          </w:tcPr>
          <w:p w14:paraId="6CCAE30D"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2030 Intensity (tons/GW)</w:t>
            </w:r>
          </w:p>
        </w:tc>
        <w:tc>
          <w:tcPr>
            <w:tcW w:w="903" w:type="dxa"/>
            <w:noWrap/>
            <w:vAlign w:val="center"/>
          </w:tcPr>
          <w:p w14:paraId="3E7568E0"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2050 Intensity (tons/GW)</w:t>
            </w:r>
          </w:p>
        </w:tc>
        <w:tc>
          <w:tcPr>
            <w:tcW w:w="2531" w:type="dxa"/>
            <w:vAlign w:val="center"/>
          </w:tcPr>
          <w:p w14:paraId="39453CA8"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Source</w:t>
            </w:r>
          </w:p>
        </w:tc>
      </w:tr>
      <w:tr w:rsidR="00250E9B" w:rsidRPr="00F73297" w14:paraId="5B2C7B7B" w14:textId="77777777">
        <w:trPr>
          <w:trHeight w:val="23"/>
          <w:jc w:val="center"/>
        </w:trPr>
        <w:tc>
          <w:tcPr>
            <w:tcW w:w="1158" w:type="dxa"/>
            <w:vMerge w:val="restart"/>
            <w:noWrap/>
            <w:vAlign w:val="center"/>
            <w:hideMark/>
          </w:tcPr>
          <w:p w14:paraId="73AA7C47"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CIGS</w:t>
            </w:r>
          </w:p>
        </w:tc>
        <w:tc>
          <w:tcPr>
            <w:tcW w:w="1227" w:type="dxa"/>
            <w:vMerge w:val="restart"/>
            <w:noWrap/>
            <w:vAlign w:val="center"/>
            <w:hideMark/>
          </w:tcPr>
          <w:p w14:paraId="6E6EAD38" w14:textId="77777777" w:rsidR="00250E9B" w:rsidRDefault="00250E9B">
            <w:pPr>
              <w:jc w:val="center"/>
              <w:rPr>
                <w:rFonts w:eastAsia="Aptos"/>
                <w:i/>
                <w:color w:val="0E2841"/>
                <w:kern w:val="2"/>
                <w:sz w:val="18"/>
                <w:szCs w:val="18"/>
              </w:rPr>
            </w:pPr>
            <w:r w:rsidRPr="00F73297">
              <w:rPr>
                <w:rFonts w:eastAsia="Aptos"/>
                <w:i/>
                <w:color w:val="0E2841"/>
                <w:kern w:val="2"/>
                <w:sz w:val="18"/>
                <w:szCs w:val="18"/>
              </w:rPr>
              <w:t>Indium</w:t>
            </w:r>
          </w:p>
          <w:p w14:paraId="26F8403F" w14:textId="77777777" w:rsidR="00250E9B" w:rsidRPr="00F73297" w:rsidRDefault="00250E9B">
            <w:pPr>
              <w:jc w:val="center"/>
              <w:rPr>
                <w:rFonts w:eastAsia="Aptos"/>
                <w:i/>
                <w:color w:val="0E2841"/>
                <w:kern w:val="2"/>
                <w:sz w:val="18"/>
                <w:szCs w:val="18"/>
              </w:rPr>
            </w:pPr>
            <w:r>
              <w:rPr>
                <w:rFonts w:eastAsia="Aptos"/>
                <w:i/>
                <w:color w:val="0E2841"/>
                <w:kern w:val="2"/>
                <w:sz w:val="18"/>
                <w:szCs w:val="18"/>
              </w:rPr>
              <w:t>In</w:t>
            </w:r>
          </w:p>
        </w:tc>
        <w:tc>
          <w:tcPr>
            <w:tcW w:w="980" w:type="dxa"/>
            <w:noWrap/>
            <w:vAlign w:val="center"/>
            <w:hideMark/>
          </w:tcPr>
          <w:p w14:paraId="1CC570F4"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11</w:t>
            </w:r>
          </w:p>
        </w:tc>
        <w:tc>
          <w:tcPr>
            <w:tcW w:w="903" w:type="dxa"/>
            <w:noWrap/>
            <w:vAlign w:val="center"/>
            <w:hideMark/>
          </w:tcPr>
          <w:p w14:paraId="5D8AFFBB"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6</w:t>
            </w:r>
          </w:p>
        </w:tc>
        <w:tc>
          <w:tcPr>
            <w:tcW w:w="2531" w:type="dxa"/>
            <w:vAlign w:val="center"/>
          </w:tcPr>
          <w:p w14:paraId="38818087" w14:textId="4422EE14"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{"citationID":"jpnUL6Yc","properties":{"formattedCitation":"(Elshkaki &amp; Shen, 2019)","plainCitation":"(Elshkaki &amp; Shen, 2019)","noteIndex":0},"citationItems":[{"id":16580,"uris":["http://zotero.org/groups/5509458/items/29GCVUC4"],"itemData":{"id":16580,"type":"article-journal","container-title":"Energy","DOI":"10.1016/j.energy.2019.05.156","ISSN":"03605442","journalAbbreviation":"Energy","language":"en","page":"903-917","source":"DOI.org (Crossref)","title":"Energy-material nexus: The impacts of national and international energy scenarios on critical metals use in China up to 2050 and their global implications","title-short":"Energy-material nexus","volume":"180","author":[{"family":"Elshkaki","given":"Ayman"},{"family":"Shen","given":"Lei"}],"issued":{"date-parts":[["2019",8]]}}}],"schema":"https://github.com/citation-style-language/schema/raw/master/csl-citation.json"}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w:t>
            </w:r>
            <w:proofErr w:type="spellStart"/>
            <w:r w:rsidR="008836FB">
              <w:rPr>
                <w:rFonts w:eastAsia="Aptos"/>
                <w:i/>
                <w:color w:val="0E2841"/>
                <w:kern w:val="2"/>
                <w:sz w:val="18"/>
                <w:szCs w:val="18"/>
              </w:rPr>
              <w:t>Elshkaki</w:t>
            </w:r>
            <w:proofErr w:type="spellEnd"/>
            <w:r w:rsidR="008836FB">
              <w:rPr>
                <w:rFonts w:eastAsia="Aptos"/>
                <w:i/>
                <w:color w:val="0E2841"/>
                <w:kern w:val="2"/>
                <w:sz w:val="18"/>
                <w:szCs w:val="18"/>
              </w:rPr>
              <w:t xml:space="preserve"> &amp; Shen, 2019)</w:t>
            </w:r>
            <w:r w:rsidRPr="00F73297">
              <w:rPr>
                <w:rFonts w:eastAsia="Aptos"/>
                <w:color w:val="0E2841"/>
                <w:kern w:val="2"/>
                <w:sz w:val="18"/>
                <w:szCs w:val="18"/>
              </w:rPr>
              <w:fldChar w:fldCharType="end"/>
            </w:r>
          </w:p>
        </w:tc>
      </w:tr>
      <w:tr w:rsidR="00250E9B" w:rsidRPr="00F73297" w14:paraId="4114BE08" w14:textId="77777777">
        <w:trPr>
          <w:trHeight w:val="23"/>
          <w:jc w:val="center"/>
        </w:trPr>
        <w:tc>
          <w:tcPr>
            <w:tcW w:w="1158" w:type="dxa"/>
            <w:vMerge/>
            <w:vAlign w:val="center"/>
            <w:hideMark/>
          </w:tcPr>
          <w:p w14:paraId="5489FF9D" w14:textId="77777777" w:rsidR="00250E9B" w:rsidRPr="00F73297" w:rsidRDefault="00250E9B">
            <w:pPr>
              <w:jc w:val="center"/>
              <w:rPr>
                <w:rFonts w:eastAsia="Aptos"/>
                <w:i/>
                <w:color w:val="0E2841"/>
                <w:kern w:val="2"/>
                <w:sz w:val="18"/>
                <w:szCs w:val="18"/>
              </w:rPr>
            </w:pPr>
          </w:p>
        </w:tc>
        <w:tc>
          <w:tcPr>
            <w:tcW w:w="1227" w:type="dxa"/>
            <w:vMerge/>
            <w:vAlign w:val="center"/>
            <w:hideMark/>
          </w:tcPr>
          <w:p w14:paraId="4D201362" w14:textId="77777777" w:rsidR="00250E9B" w:rsidRPr="00F73297" w:rsidRDefault="00250E9B">
            <w:pPr>
              <w:jc w:val="center"/>
              <w:rPr>
                <w:rFonts w:eastAsia="Aptos"/>
                <w:i/>
                <w:color w:val="0E2841"/>
                <w:kern w:val="2"/>
                <w:sz w:val="18"/>
                <w:szCs w:val="18"/>
              </w:rPr>
            </w:pPr>
          </w:p>
        </w:tc>
        <w:tc>
          <w:tcPr>
            <w:tcW w:w="980" w:type="dxa"/>
            <w:noWrap/>
            <w:vAlign w:val="center"/>
            <w:hideMark/>
          </w:tcPr>
          <w:p w14:paraId="62947F46"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9</w:t>
            </w:r>
          </w:p>
        </w:tc>
        <w:tc>
          <w:tcPr>
            <w:tcW w:w="903" w:type="dxa"/>
            <w:noWrap/>
            <w:vAlign w:val="center"/>
            <w:hideMark/>
          </w:tcPr>
          <w:p w14:paraId="75E3971D"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7</w:t>
            </w:r>
          </w:p>
        </w:tc>
        <w:tc>
          <w:tcPr>
            <w:tcW w:w="2531" w:type="dxa"/>
            <w:vAlign w:val="center"/>
          </w:tcPr>
          <w:p w14:paraId="372928F3" w14:textId="0AC53FA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{"citationID":"td0hrXwM","properties":{"formattedCitation":"(Zhou et al., 2020)","plainCitation":"(Zhou et al., 2020)","noteIndex":0},"citationItems":[{"id":16690,"uris":["http://zotero.org/groups/5509458/items/HGS2XCRK"],"itemData":{"id":16690,"type":"article-journal","container-title":"Journal of Cleaner Production","DOI":"10.1016/j.jclepro.2020.121599","ISSN":"09596526","journalAbbreviation":"Journal of Cleaner Production","language":"en","page":"121599","source":"DOI.org (Crossref)","title":"Dynamic criticality of by-products used in thin-film photovoltaic technologies by 2050","volume":"263","author":[{"family":"Zhou","given":"Yanjing"},{"family":"Li","given":"Jianwu"},{"family":"Rechberger","given":"Helmut"},{"family":"Wang","given":"Gaoshang"},{"family":"Chen","given":"Shouyu"},{"family":"Xing","given":"Wanli"},{"family":"Li","given":"Pengyuan"}],"issued":{"date-parts":[["2020",8]]}}}],"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(Zhou et al., 2020)</w:t>
            </w:r>
            <w:r w:rsidRPr="00F73297">
              <w:rPr>
                <w:rFonts w:eastAsia="Aptos"/>
                <w:color w:val="0E2841"/>
                <w:kern w:val="2"/>
                <w:sz w:val="18"/>
                <w:szCs w:val="18"/>
              </w:rPr>
              <w:fldChar w:fldCharType="end"/>
            </w:r>
          </w:p>
        </w:tc>
      </w:tr>
      <w:tr w:rsidR="00250E9B" w:rsidRPr="00F73297" w14:paraId="7D0C3A22" w14:textId="77777777">
        <w:trPr>
          <w:trHeight w:val="23"/>
          <w:jc w:val="center"/>
        </w:trPr>
        <w:tc>
          <w:tcPr>
            <w:tcW w:w="1158" w:type="dxa"/>
            <w:vMerge/>
            <w:vAlign w:val="center"/>
            <w:hideMark/>
          </w:tcPr>
          <w:p w14:paraId="53CB04E2" w14:textId="77777777" w:rsidR="00250E9B" w:rsidRPr="00F73297" w:rsidRDefault="00250E9B">
            <w:pPr>
              <w:jc w:val="center"/>
              <w:rPr>
                <w:rFonts w:eastAsia="Aptos"/>
                <w:i/>
                <w:color w:val="0E2841"/>
                <w:kern w:val="2"/>
                <w:sz w:val="18"/>
                <w:szCs w:val="18"/>
              </w:rPr>
            </w:pPr>
          </w:p>
        </w:tc>
        <w:tc>
          <w:tcPr>
            <w:tcW w:w="1227" w:type="dxa"/>
            <w:vMerge/>
            <w:vAlign w:val="center"/>
            <w:hideMark/>
          </w:tcPr>
          <w:p w14:paraId="2E8732FC" w14:textId="77777777" w:rsidR="00250E9B" w:rsidRPr="00F73297" w:rsidRDefault="00250E9B">
            <w:pPr>
              <w:jc w:val="center"/>
              <w:rPr>
                <w:rFonts w:eastAsia="Aptos"/>
                <w:i/>
                <w:color w:val="0E2841"/>
                <w:kern w:val="2"/>
                <w:sz w:val="18"/>
                <w:szCs w:val="18"/>
              </w:rPr>
            </w:pPr>
          </w:p>
        </w:tc>
        <w:tc>
          <w:tcPr>
            <w:tcW w:w="980" w:type="dxa"/>
            <w:noWrap/>
            <w:vAlign w:val="center"/>
            <w:hideMark/>
          </w:tcPr>
          <w:p w14:paraId="13BBC212"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8</w:t>
            </w:r>
          </w:p>
        </w:tc>
        <w:tc>
          <w:tcPr>
            <w:tcW w:w="903" w:type="dxa"/>
            <w:noWrap/>
            <w:vAlign w:val="center"/>
            <w:hideMark/>
          </w:tcPr>
          <w:p w14:paraId="2510DBD2"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5</w:t>
            </w:r>
          </w:p>
        </w:tc>
        <w:tc>
          <w:tcPr>
            <w:tcW w:w="2531" w:type="dxa"/>
            <w:vAlign w:val="center"/>
          </w:tcPr>
          <w:p w14:paraId="12CDD25F" w14:textId="3DDA031D"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{"citationID":"kZV1JNrh","properties":{"formattedCitation":"(Carrara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(Carrara et al., 2020)</w:t>
            </w:r>
            <w:r w:rsidRPr="00F73297">
              <w:rPr>
                <w:rFonts w:eastAsia="Aptos"/>
                <w:color w:val="0E2841"/>
                <w:kern w:val="2"/>
                <w:sz w:val="18"/>
                <w:szCs w:val="18"/>
              </w:rPr>
              <w:fldChar w:fldCharType="end"/>
            </w:r>
          </w:p>
        </w:tc>
      </w:tr>
      <w:tr w:rsidR="00250E9B" w:rsidRPr="00F73297" w14:paraId="03BCD945" w14:textId="77777777">
        <w:trPr>
          <w:trHeight w:val="23"/>
          <w:jc w:val="center"/>
        </w:trPr>
        <w:tc>
          <w:tcPr>
            <w:tcW w:w="1158" w:type="dxa"/>
            <w:vMerge/>
            <w:vAlign w:val="center"/>
            <w:hideMark/>
          </w:tcPr>
          <w:p w14:paraId="591F3052" w14:textId="77777777" w:rsidR="00250E9B" w:rsidRPr="00F73297" w:rsidRDefault="00250E9B">
            <w:pPr>
              <w:jc w:val="center"/>
              <w:rPr>
                <w:rFonts w:eastAsia="Aptos"/>
                <w:i/>
                <w:color w:val="0E2841"/>
                <w:kern w:val="2"/>
                <w:sz w:val="18"/>
                <w:szCs w:val="18"/>
              </w:rPr>
            </w:pPr>
          </w:p>
        </w:tc>
        <w:tc>
          <w:tcPr>
            <w:tcW w:w="1227" w:type="dxa"/>
            <w:vMerge/>
            <w:vAlign w:val="center"/>
            <w:hideMark/>
          </w:tcPr>
          <w:p w14:paraId="1C8DB14D" w14:textId="77777777" w:rsidR="00250E9B" w:rsidRPr="00F73297" w:rsidRDefault="00250E9B">
            <w:pPr>
              <w:jc w:val="center"/>
              <w:rPr>
                <w:rFonts w:eastAsia="Aptos"/>
                <w:i/>
                <w:color w:val="0E2841"/>
                <w:kern w:val="2"/>
                <w:sz w:val="18"/>
                <w:szCs w:val="18"/>
              </w:rPr>
            </w:pPr>
          </w:p>
        </w:tc>
        <w:tc>
          <w:tcPr>
            <w:tcW w:w="980" w:type="dxa"/>
            <w:noWrap/>
            <w:vAlign w:val="center"/>
            <w:hideMark/>
          </w:tcPr>
          <w:p w14:paraId="02D7A5F3"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10</w:t>
            </w:r>
          </w:p>
        </w:tc>
        <w:tc>
          <w:tcPr>
            <w:tcW w:w="903" w:type="dxa"/>
            <w:noWrap/>
            <w:vAlign w:val="center"/>
            <w:hideMark/>
          </w:tcPr>
          <w:p w14:paraId="26061FFD"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6</w:t>
            </w:r>
          </w:p>
        </w:tc>
        <w:tc>
          <w:tcPr>
            <w:tcW w:w="2531" w:type="dxa"/>
            <w:vAlign w:val="center"/>
          </w:tcPr>
          <w:p w14:paraId="5405F60B" w14:textId="65CE62F9"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{"citationID":"D8bKz65N","properties":{"formattedCitation":"(Carrara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(Carrara et al., 2020)</w:t>
            </w:r>
            <w:r w:rsidRPr="00F73297">
              <w:rPr>
                <w:rFonts w:eastAsia="Aptos"/>
                <w:color w:val="0E2841"/>
                <w:kern w:val="2"/>
                <w:sz w:val="18"/>
                <w:szCs w:val="18"/>
              </w:rPr>
              <w:fldChar w:fldCharType="end"/>
            </w:r>
          </w:p>
        </w:tc>
      </w:tr>
      <w:tr w:rsidR="00250E9B" w:rsidRPr="00F73297" w14:paraId="71BEC8B8" w14:textId="77777777">
        <w:trPr>
          <w:trHeight w:val="23"/>
          <w:jc w:val="center"/>
        </w:trPr>
        <w:tc>
          <w:tcPr>
            <w:tcW w:w="1158" w:type="dxa"/>
            <w:vMerge/>
            <w:vAlign w:val="center"/>
            <w:hideMark/>
          </w:tcPr>
          <w:p w14:paraId="7EE7D44D" w14:textId="77777777" w:rsidR="00250E9B" w:rsidRPr="00F73297" w:rsidRDefault="00250E9B">
            <w:pPr>
              <w:jc w:val="center"/>
              <w:rPr>
                <w:rFonts w:eastAsia="Aptos"/>
                <w:i/>
                <w:color w:val="0E2841"/>
                <w:kern w:val="2"/>
                <w:sz w:val="18"/>
                <w:szCs w:val="18"/>
              </w:rPr>
            </w:pPr>
          </w:p>
        </w:tc>
        <w:tc>
          <w:tcPr>
            <w:tcW w:w="1227" w:type="dxa"/>
            <w:vMerge/>
            <w:vAlign w:val="center"/>
            <w:hideMark/>
          </w:tcPr>
          <w:p w14:paraId="1EC87C92" w14:textId="77777777" w:rsidR="00250E9B" w:rsidRPr="00F73297" w:rsidRDefault="00250E9B">
            <w:pPr>
              <w:jc w:val="center"/>
              <w:rPr>
                <w:rFonts w:eastAsia="Aptos"/>
                <w:i/>
                <w:color w:val="0E2841"/>
                <w:kern w:val="2"/>
                <w:sz w:val="18"/>
                <w:szCs w:val="18"/>
              </w:rPr>
            </w:pPr>
          </w:p>
        </w:tc>
        <w:tc>
          <w:tcPr>
            <w:tcW w:w="980" w:type="dxa"/>
            <w:noWrap/>
            <w:vAlign w:val="center"/>
            <w:hideMark/>
          </w:tcPr>
          <w:p w14:paraId="0C5FA46A"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17</w:t>
            </w:r>
          </w:p>
        </w:tc>
        <w:tc>
          <w:tcPr>
            <w:tcW w:w="903" w:type="dxa"/>
            <w:noWrap/>
            <w:vAlign w:val="center"/>
            <w:hideMark/>
          </w:tcPr>
          <w:p w14:paraId="4C3332E6"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10</w:t>
            </w:r>
          </w:p>
        </w:tc>
        <w:tc>
          <w:tcPr>
            <w:tcW w:w="2531" w:type="dxa"/>
            <w:vAlign w:val="center"/>
          </w:tcPr>
          <w:p w14:paraId="63348AD4" w14:textId="1EA81110"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{"citationID":"WpHAXb4r","properties":{"formattedCitation":"(Carrara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(Carrara et al., 2020)</w:t>
            </w:r>
            <w:r w:rsidRPr="00F73297">
              <w:rPr>
                <w:rFonts w:eastAsia="Aptos"/>
                <w:color w:val="0E2841"/>
                <w:kern w:val="2"/>
                <w:sz w:val="18"/>
                <w:szCs w:val="18"/>
              </w:rPr>
              <w:fldChar w:fldCharType="end"/>
            </w:r>
          </w:p>
        </w:tc>
      </w:tr>
      <w:tr w:rsidR="00250E9B" w:rsidRPr="00F73297" w14:paraId="1E6DC435" w14:textId="77777777">
        <w:trPr>
          <w:trHeight w:val="23"/>
          <w:jc w:val="center"/>
        </w:trPr>
        <w:tc>
          <w:tcPr>
            <w:tcW w:w="1158" w:type="dxa"/>
            <w:vMerge/>
            <w:vAlign w:val="center"/>
            <w:hideMark/>
          </w:tcPr>
          <w:p w14:paraId="3F2735A7" w14:textId="77777777" w:rsidR="00250E9B" w:rsidRPr="00F73297" w:rsidRDefault="00250E9B">
            <w:pPr>
              <w:jc w:val="center"/>
              <w:rPr>
                <w:rFonts w:eastAsia="Aptos"/>
                <w:i/>
                <w:color w:val="0E2841"/>
                <w:kern w:val="2"/>
                <w:sz w:val="18"/>
                <w:szCs w:val="18"/>
              </w:rPr>
            </w:pPr>
          </w:p>
        </w:tc>
        <w:tc>
          <w:tcPr>
            <w:tcW w:w="1227" w:type="dxa"/>
            <w:vMerge w:val="restart"/>
            <w:vAlign w:val="center"/>
            <w:hideMark/>
          </w:tcPr>
          <w:p w14:paraId="5E42166B" w14:textId="77777777" w:rsidR="00250E9B" w:rsidRDefault="00250E9B">
            <w:pPr>
              <w:jc w:val="center"/>
              <w:rPr>
                <w:rFonts w:eastAsia="Aptos"/>
                <w:i/>
                <w:color w:val="0E2841"/>
                <w:kern w:val="2"/>
                <w:sz w:val="18"/>
                <w:szCs w:val="18"/>
              </w:rPr>
            </w:pPr>
            <w:r w:rsidRPr="00F73297">
              <w:rPr>
                <w:rFonts w:eastAsia="Aptos"/>
                <w:i/>
                <w:color w:val="0E2841"/>
                <w:kern w:val="2"/>
                <w:sz w:val="18"/>
                <w:szCs w:val="18"/>
              </w:rPr>
              <w:t>Gallium</w:t>
            </w:r>
          </w:p>
          <w:p w14:paraId="2862DD0A" w14:textId="77777777" w:rsidR="00250E9B" w:rsidRPr="00F73297" w:rsidRDefault="00250E9B">
            <w:pPr>
              <w:jc w:val="center"/>
              <w:rPr>
                <w:rFonts w:eastAsia="Aptos"/>
                <w:i/>
                <w:color w:val="0E2841"/>
                <w:kern w:val="2"/>
                <w:sz w:val="18"/>
                <w:szCs w:val="18"/>
              </w:rPr>
            </w:pPr>
            <w:r>
              <w:rPr>
                <w:rFonts w:eastAsia="Aptos"/>
                <w:i/>
                <w:color w:val="0E2841"/>
                <w:kern w:val="2"/>
                <w:sz w:val="18"/>
                <w:szCs w:val="18"/>
              </w:rPr>
              <w:t>Ga</w:t>
            </w:r>
          </w:p>
        </w:tc>
        <w:tc>
          <w:tcPr>
            <w:tcW w:w="980" w:type="dxa"/>
            <w:noWrap/>
            <w:vAlign w:val="center"/>
            <w:hideMark/>
          </w:tcPr>
          <w:p w14:paraId="73C69E20"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3</w:t>
            </w:r>
          </w:p>
        </w:tc>
        <w:tc>
          <w:tcPr>
            <w:tcW w:w="903" w:type="dxa"/>
            <w:noWrap/>
            <w:vAlign w:val="center"/>
            <w:hideMark/>
          </w:tcPr>
          <w:p w14:paraId="25AD1522"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w:t>
            </w:r>
          </w:p>
        </w:tc>
        <w:tc>
          <w:tcPr>
            <w:tcW w:w="2531" w:type="dxa"/>
            <w:vAlign w:val="center"/>
          </w:tcPr>
          <w:p w14:paraId="7C107537" w14:textId="3D8990B1"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{"citationID":"W0une0PZ","properties":{"formattedCitation":"(Elshkaki &amp; Shen, 2019)","plainCitation":"(Elshkaki &amp; Shen, 2019)","noteIndex":0},"citationItems":[{"id":16580,"uris":["http://zotero.org/groups/5509458/items/29GCVUC4"],"itemData":{"id":16580,"type":"article-journal","container-title":"Energy","DOI":"10.1016/j.energy.2019.05.156","ISSN":"03605442","journalAbbreviation":"Energy","language":"en","page":"903-917","source":"DOI.org (Crossref)","title":"Energy-material nexus: The impacts of national and international energy scenarios on critical metals use in China up to 2050 and their global implications","title-short":"Energy-material nexus","volume":"180","author":[{"family":"Elshkaki","given":"Ayman"},{"family":"Shen","given":"Lei"}],"issued":{"date-parts":[["2019",8]]}}}],"schema":"https://github.com/citation-style-language/schema/raw/master/csl-citation.json"}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w:t>
            </w:r>
            <w:proofErr w:type="spellStart"/>
            <w:r w:rsidR="008836FB">
              <w:rPr>
                <w:rFonts w:eastAsia="Aptos"/>
                <w:i/>
                <w:color w:val="0E2841"/>
                <w:kern w:val="2"/>
                <w:sz w:val="18"/>
                <w:szCs w:val="18"/>
              </w:rPr>
              <w:t>Elshkaki</w:t>
            </w:r>
            <w:proofErr w:type="spellEnd"/>
            <w:r w:rsidR="008836FB">
              <w:rPr>
                <w:rFonts w:eastAsia="Aptos"/>
                <w:i/>
                <w:color w:val="0E2841"/>
                <w:kern w:val="2"/>
                <w:sz w:val="18"/>
                <w:szCs w:val="18"/>
              </w:rPr>
              <w:t xml:space="preserve"> &amp; Shen, 2019)</w:t>
            </w:r>
            <w:r w:rsidRPr="00F73297">
              <w:rPr>
                <w:rFonts w:eastAsia="Aptos"/>
                <w:color w:val="0E2841"/>
                <w:kern w:val="2"/>
                <w:sz w:val="18"/>
                <w:szCs w:val="18"/>
              </w:rPr>
              <w:fldChar w:fldCharType="end"/>
            </w:r>
          </w:p>
        </w:tc>
      </w:tr>
      <w:tr w:rsidR="00250E9B" w:rsidRPr="00F73297" w14:paraId="651F5467" w14:textId="77777777">
        <w:trPr>
          <w:trHeight w:val="23"/>
          <w:jc w:val="center"/>
        </w:trPr>
        <w:tc>
          <w:tcPr>
            <w:tcW w:w="1158" w:type="dxa"/>
            <w:vMerge/>
            <w:vAlign w:val="center"/>
            <w:hideMark/>
          </w:tcPr>
          <w:p w14:paraId="740CD73A" w14:textId="77777777" w:rsidR="00250E9B" w:rsidRPr="00F73297" w:rsidRDefault="00250E9B">
            <w:pPr>
              <w:jc w:val="center"/>
              <w:rPr>
                <w:rFonts w:eastAsia="Aptos"/>
                <w:i/>
                <w:color w:val="0E2841"/>
                <w:kern w:val="2"/>
                <w:sz w:val="18"/>
                <w:szCs w:val="18"/>
              </w:rPr>
            </w:pPr>
          </w:p>
        </w:tc>
        <w:tc>
          <w:tcPr>
            <w:tcW w:w="1227" w:type="dxa"/>
            <w:vMerge/>
            <w:vAlign w:val="center"/>
            <w:hideMark/>
          </w:tcPr>
          <w:p w14:paraId="2BA9D232" w14:textId="77777777" w:rsidR="00250E9B" w:rsidRPr="00F73297" w:rsidRDefault="00250E9B">
            <w:pPr>
              <w:jc w:val="center"/>
              <w:rPr>
                <w:rFonts w:eastAsia="Aptos"/>
                <w:i/>
                <w:color w:val="0E2841"/>
                <w:kern w:val="2"/>
                <w:sz w:val="18"/>
                <w:szCs w:val="18"/>
              </w:rPr>
            </w:pPr>
          </w:p>
        </w:tc>
        <w:tc>
          <w:tcPr>
            <w:tcW w:w="980" w:type="dxa"/>
            <w:noWrap/>
            <w:vAlign w:val="center"/>
            <w:hideMark/>
          </w:tcPr>
          <w:p w14:paraId="2CF18109"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2.5</w:t>
            </w:r>
          </w:p>
        </w:tc>
        <w:tc>
          <w:tcPr>
            <w:tcW w:w="903" w:type="dxa"/>
            <w:noWrap/>
            <w:vAlign w:val="center"/>
            <w:hideMark/>
          </w:tcPr>
          <w:p w14:paraId="47F00AF0"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2</w:t>
            </w:r>
          </w:p>
        </w:tc>
        <w:tc>
          <w:tcPr>
            <w:tcW w:w="2531" w:type="dxa"/>
            <w:vAlign w:val="center"/>
          </w:tcPr>
          <w:p w14:paraId="5EE07CC4" w14:textId="1B211472"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{"citationID":"xTqXDw1C","properties":{"formattedCitation":"(Zhou et al., 2020)","plainCitation":"(Zhou et al., 2020)","noteIndex":0},"citationItems":[{"id":16690,"uris":["http://zotero.org/groups/5509458/items/HGS2XCRK"],"itemData":{"id":16690,"type":"article-journal","container-title":"Journal of Cleaner Production","DOI":"10.1016/j.jclepro.2020.121599","ISSN":"09596526","journalAbbreviation":"Journal of Cleaner Production","language":"en","page":"121599","source":"DOI.org (Crossref)","title":"Dynamic criticality of by-products used in thin-film photovoltaic technologies by 2050","volume":"263","author":[{"family":"Zhou","given":"Yanjing"},{"family":"Li","given":"Jianwu"},{"family":"Rechberger","given":"Helmut"},{"family":"Wang","given":"Gaoshang"},{"family":"Chen","given":"Shouyu"},{"family":"Xing","given":"Wanli"},{"family":"Li","given":"Pengyuan"}],"issued":{"date-parts":[["2020",8]]}}}],"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(Zhou et al., 2020)</w:t>
            </w:r>
            <w:r w:rsidRPr="00F73297">
              <w:rPr>
                <w:rFonts w:eastAsia="Aptos"/>
                <w:color w:val="0E2841"/>
                <w:kern w:val="2"/>
                <w:sz w:val="18"/>
                <w:szCs w:val="18"/>
              </w:rPr>
              <w:fldChar w:fldCharType="end"/>
            </w:r>
          </w:p>
        </w:tc>
      </w:tr>
      <w:tr w:rsidR="00250E9B" w:rsidRPr="00F73297" w14:paraId="2CE73664" w14:textId="77777777">
        <w:trPr>
          <w:trHeight w:val="23"/>
          <w:jc w:val="center"/>
        </w:trPr>
        <w:tc>
          <w:tcPr>
            <w:tcW w:w="1158" w:type="dxa"/>
            <w:vMerge/>
            <w:vAlign w:val="center"/>
            <w:hideMark/>
          </w:tcPr>
          <w:p w14:paraId="7DF5CE27" w14:textId="77777777" w:rsidR="00250E9B" w:rsidRPr="00F73297" w:rsidRDefault="00250E9B">
            <w:pPr>
              <w:jc w:val="center"/>
              <w:rPr>
                <w:rFonts w:eastAsia="Aptos"/>
                <w:i/>
                <w:color w:val="0E2841"/>
                <w:kern w:val="2"/>
                <w:sz w:val="18"/>
                <w:szCs w:val="18"/>
              </w:rPr>
            </w:pPr>
          </w:p>
        </w:tc>
        <w:tc>
          <w:tcPr>
            <w:tcW w:w="1227" w:type="dxa"/>
            <w:vMerge/>
            <w:vAlign w:val="center"/>
            <w:hideMark/>
          </w:tcPr>
          <w:p w14:paraId="59F2AD18" w14:textId="77777777" w:rsidR="00250E9B" w:rsidRPr="00F73297" w:rsidRDefault="00250E9B">
            <w:pPr>
              <w:jc w:val="center"/>
              <w:rPr>
                <w:rFonts w:eastAsia="Aptos"/>
                <w:i/>
                <w:color w:val="0E2841"/>
                <w:kern w:val="2"/>
                <w:sz w:val="18"/>
                <w:szCs w:val="18"/>
              </w:rPr>
            </w:pPr>
          </w:p>
        </w:tc>
        <w:tc>
          <w:tcPr>
            <w:tcW w:w="980" w:type="dxa"/>
            <w:noWrap/>
            <w:vAlign w:val="center"/>
            <w:hideMark/>
          </w:tcPr>
          <w:p w14:paraId="4DE76688"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2</w:t>
            </w:r>
          </w:p>
        </w:tc>
        <w:tc>
          <w:tcPr>
            <w:tcW w:w="903" w:type="dxa"/>
            <w:noWrap/>
            <w:vAlign w:val="center"/>
            <w:hideMark/>
          </w:tcPr>
          <w:p w14:paraId="41555010"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w:t>
            </w:r>
          </w:p>
        </w:tc>
        <w:tc>
          <w:tcPr>
            <w:tcW w:w="2531" w:type="dxa"/>
            <w:vAlign w:val="center"/>
          </w:tcPr>
          <w:p w14:paraId="00ED5BCB" w14:textId="34C2F6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{"citationID":"K4ihMciI","properties":{"formattedCitation":"(Carrara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(Carrara et al., 2020)</w:t>
            </w:r>
            <w:r w:rsidRPr="00F73297">
              <w:rPr>
                <w:rFonts w:eastAsia="Aptos"/>
                <w:color w:val="0E2841"/>
                <w:kern w:val="2"/>
                <w:sz w:val="18"/>
                <w:szCs w:val="18"/>
              </w:rPr>
              <w:fldChar w:fldCharType="end"/>
            </w:r>
          </w:p>
        </w:tc>
      </w:tr>
      <w:tr w:rsidR="00250E9B" w:rsidRPr="00F73297" w14:paraId="7332B339" w14:textId="77777777">
        <w:trPr>
          <w:trHeight w:val="23"/>
          <w:jc w:val="center"/>
        </w:trPr>
        <w:tc>
          <w:tcPr>
            <w:tcW w:w="1158" w:type="dxa"/>
            <w:vMerge/>
            <w:vAlign w:val="center"/>
            <w:hideMark/>
          </w:tcPr>
          <w:p w14:paraId="3D1E6449" w14:textId="77777777" w:rsidR="00250E9B" w:rsidRPr="00F73297" w:rsidRDefault="00250E9B">
            <w:pPr>
              <w:jc w:val="center"/>
              <w:rPr>
                <w:rFonts w:eastAsia="Aptos"/>
                <w:i/>
                <w:color w:val="0E2841"/>
                <w:kern w:val="2"/>
                <w:sz w:val="18"/>
                <w:szCs w:val="18"/>
              </w:rPr>
            </w:pPr>
          </w:p>
        </w:tc>
        <w:tc>
          <w:tcPr>
            <w:tcW w:w="1227" w:type="dxa"/>
            <w:vMerge/>
            <w:vAlign w:val="center"/>
            <w:hideMark/>
          </w:tcPr>
          <w:p w14:paraId="51FA0E36" w14:textId="77777777" w:rsidR="00250E9B" w:rsidRPr="00F73297" w:rsidRDefault="00250E9B">
            <w:pPr>
              <w:jc w:val="center"/>
              <w:rPr>
                <w:rFonts w:eastAsia="Aptos"/>
                <w:i/>
                <w:color w:val="0E2841"/>
                <w:kern w:val="2"/>
                <w:sz w:val="18"/>
                <w:szCs w:val="18"/>
              </w:rPr>
            </w:pPr>
          </w:p>
        </w:tc>
        <w:tc>
          <w:tcPr>
            <w:tcW w:w="980" w:type="dxa"/>
            <w:noWrap/>
            <w:vAlign w:val="center"/>
            <w:hideMark/>
          </w:tcPr>
          <w:p w14:paraId="01000CEE"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2.5</w:t>
            </w:r>
          </w:p>
        </w:tc>
        <w:tc>
          <w:tcPr>
            <w:tcW w:w="903" w:type="dxa"/>
            <w:noWrap/>
            <w:vAlign w:val="center"/>
            <w:hideMark/>
          </w:tcPr>
          <w:p w14:paraId="79FCBBBB"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1.5</w:t>
            </w:r>
          </w:p>
        </w:tc>
        <w:tc>
          <w:tcPr>
            <w:tcW w:w="2531" w:type="dxa"/>
            <w:vAlign w:val="center"/>
          </w:tcPr>
          <w:p w14:paraId="6FBAFAC1" w14:textId="7DFF4E2B"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{"citationID":"hYZ4ORFY","properties":{"formattedCitation":"(Carrara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(Carrara et al., 2020)</w:t>
            </w:r>
            <w:r w:rsidRPr="00F73297">
              <w:rPr>
                <w:rFonts w:eastAsia="Aptos"/>
                <w:color w:val="0E2841"/>
                <w:kern w:val="2"/>
                <w:sz w:val="18"/>
                <w:szCs w:val="18"/>
              </w:rPr>
              <w:fldChar w:fldCharType="end"/>
            </w:r>
          </w:p>
        </w:tc>
      </w:tr>
      <w:tr w:rsidR="00250E9B" w:rsidRPr="00F73297" w14:paraId="3CD2C1C6" w14:textId="77777777">
        <w:trPr>
          <w:trHeight w:val="23"/>
          <w:jc w:val="center"/>
        </w:trPr>
        <w:tc>
          <w:tcPr>
            <w:tcW w:w="1158" w:type="dxa"/>
            <w:vMerge/>
            <w:vAlign w:val="center"/>
            <w:hideMark/>
          </w:tcPr>
          <w:p w14:paraId="7B128E4F" w14:textId="77777777" w:rsidR="00250E9B" w:rsidRPr="00F73297" w:rsidRDefault="00250E9B">
            <w:pPr>
              <w:jc w:val="center"/>
              <w:rPr>
                <w:rFonts w:eastAsia="Aptos"/>
                <w:i/>
                <w:color w:val="0E2841"/>
                <w:kern w:val="2"/>
                <w:sz w:val="18"/>
                <w:szCs w:val="18"/>
              </w:rPr>
            </w:pPr>
          </w:p>
        </w:tc>
        <w:tc>
          <w:tcPr>
            <w:tcW w:w="1227" w:type="dxa"/>
            <w:vMerge/>
            <w:vAlign w:val="center"/>
            <w:hideMark/>
          </w:tcPr>
          <w:p w14:paraId="11EA6F9A" w14:textId="77777777" w:rsidR="00250E9B" w:rsidRPr="00F73297" w:rsidRDefault="00250E9B">
            <w:pPr>
              <w:jc w:val="center"/>
              <w:rPr>
                <w:rFonts w:eastAsia="Aptos"/>
                <w:i/>
                <w:color w:val="0E2841"/>
                <w:kern w:val="2"/>
                <w:sz w:val="18"/>
                <w:szCs w:val="18"/>
              </w:rPr>
            </w:pPr>
          </w:p>
        </w:tc>
        <w:tc>
          <w:tcPr>
            <w:tcW w:w="980" w:type="dxa"/>
            <w:noWrap/>
            <w:vAlign w:val="center"/>
            <w:hideMark/>
          </w:tcPr>
          <w:p w14:paraId="69C82702"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4.5</w:t>
            </w:r>
          </w:p>
        </w:tc>
        <w:tc>
          <w:tcPr>
            <w:tcW w:w="903" w:type="dxa"/>
            <w:noWrap/>
            <w:vAlign w:val="center"/>
            <w:hideMark/>
          </w:tcPr>
          <w:p w14:paraId="3E8D5D2E"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2.5</w:t>
            </w:r>
          </w:p>
        </w:tc>
        <w:tc>
          <w:tcPr>
            <w:tcW w:w="2531" w:type="dxa"/>
            <w:vAlign w:val="center"/>
          </w:tcPr>
          <w:p w14:paraId="503C854D" w14:textId="103C182B"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{"citationID":"rj2H5ZM9","properties":{"formattedCitation":"(Carrara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(Carrara et al., 2020)</w:t>
            </w:r>
            <w:r w:rsidRPr="00F73297">
              <w:rPr>
                <w:rFonts w:eastAsia="Aptos"/>
                <w:color w:val="0E2841"/>
                <w:kern w:val="2"/>
                <w:sz w:val="18"/>
                <w:szCs w:val="18"/>
              </w:rPr>
              <w:fldChar w:fldCharType="end"/>
            </w:r>
          </w:p>
        </w:tc>
      </w:tr>
      <w:tr w:rsidR="00250E9B" w:rsidRPr="00F73297" w14:paraId="5BDEBCE7" w14:textId="77777777">
        <w:trPr>
          <w:trHeight w:val="23"/>
          <w:jc w:val="center"/>
        </w:trPr>
        <w:tc>
          <w:tcPr>
            <w:tcW w:w="1158" w:type="dxa"/>
            <w:vMerge/>
            <w:vAlign w:val="center"/>
            <w:hideMark/>
          </w:tcPr>
          <w:p w14:paraId="7C60AADC" w14:textId="77777777" w:rsidR="00250E9B" w:rsidRPr="00F73297" w:rsidRDefault="00250E9B">
            <w:pPr>
              <w:jc w:val="center"/>
              <w:rPr>
                <w:rFonts w:eastAsia="Aptos"/>
                <w:i/>
                <w:color w:val="0E2841"/>
                <w:kern w:val="2"/>
                <w:sz w:val="18"/>
                <w:szCs w:val="18"/>
              </w:rPr>
            </w:pPr>
          </w:p>
        </w:tc>
        <w:tc>
          <w:tcPr>
            <w:tcW w:w="1227" w:type="dxa"/>
            <w:vMerge w:val="restart"/>
            <w:vAlign w:val="center"/>
            <w:hideMark/>
          </w:tcPr>
          <w:p w14:paraId="2387A346" w14:textId="77777777" w:rsidR="00250E9B" w:rsidRDefault="00250E9B">
            <w:pPr>
              <w:jc w:val="center"/>
              <w:rPr>
                <w:rFonts w:eastAsia="Aptos"/>
                <w:i/>
                <w:color w:val="0E2841"/>
                <w:kern w:val="2"/>
                <w:sz w:val="18"/>
                <w:szCs w:val="18"/>
              </w:rPr>
            </w:pPr>
            <w:r w:rsidRPr="00F73297">
              <w:rPr>
                <w:rFonts w:eastAsia="Aptos"/>
                <w:i/>
                <w:color w:val="0E2841"/>
                <w:kern w:val="2"/>
                <w:sz w:val="18"/>
                <w:szCs w:val="18"/>
              </w:rPr>
              <w:t>Selenium</w:t>
            </w:r>
          </w:p>
          <w:p w14:paraId="258F76E5" w14:textId="77777777" w:rsidR="00250E9B" w:rsidRPr="00F73297" w:rsidRDefault="00250E9B">
            <w:pPr>
              <w:jc w:val="center"/>
              <w:rPr>
                <w:rFonts w:eastAsia="Aptos"/>
                <w:i/>
                <w:color w:val="0E2841"/>
                <w:kern w:val="2"/>
                <w:sz w:val="18"/>
                <w:szCs w:val="18"/>
              </w:rPr>
            </w:pPr>
            <w:r>
              <w:rPr>
                <w:rFonts w:eastAsia="Aptos"/>
                <w:i/>
                <w:color w:val="0E2841"/>
                <w:kern w:val="2"/>
                <w:sz w:val="18"/>
                <w:szCs w:val="18"/>
              </w:rPr>
              <w:t>Se</w:t>
            </w:r>
          </w:p>
        </w:tc>
        <w:tc>
          <w:tcPr>
            <w:tcW w:w="980" w:type="dxa"/>
            <w:noWrap/>
            <w:vAlign w:val="center"/>
            <w:hideMark/>
          </w:tcPr>
          <w:p w14:paraId="0BD0E717"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23</w:t>
            </w:r>
          </w:p>
        </w:tc>
        <w:tc>
          <w:tcPr>
            <w:tcW w:w="903" w:type="dxa"/>
            <w:noWrap/>
            <w:vAlign w:val="center"/>
            <w:hideMark/>
          </w:tcPr>
          <w:p w14:paraId="683E2429"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11</w:t>
            </w:r>
          </w:p>
        </w:tc>
        <w:tc>
          <w:tcPr>
            <w:tcW w:w="2531" w:type="dxa"/>
            <w:vAlign w:val="center"/>
          </w:tcPr>
          <w:p w14:paraId="32FE2BB0" w14:textId="0B5915F6"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{"citationID":"uLsJ5NOe","properties":{"formattedCitation":"(Elshkaki &amp; Shen, 2019)","plainCitation":"(Elshkaki &amp; Shen, 2019)","noteIndex":0},"citationItems":[{"id":16580,"uris":["http://zotero.org/groups/5509458/items/29GCVUC4"],"itemData":{"id":16580,"type":"article-journal","container-title":"Energy","DOI":"10.1016/j.energy.2019.05.156","ISSN":"03605442","journalAbbreviation":"Energy","language":"en","page":"903-917","source":"DOI.org (Crossref)","title":"Energy-material nexus: The impacts of national and international energy scenarios on critical metals use in China up to 2050 and their global implications","title-short":"Energy-material nexus","volume":"180","author":[{"family":"Elshkaki","given":"Ayman"},{"family":"Shen","given":"Lei"}],"issued":{"date-parts":[["2019",8]]}}}],"schema":"https://github.com/citation-style-language/schema/raw/master/csl-citation.json"}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w:t>
            </w:r>
            <w:proofErr w:type="spellStart"/>
            <w:r w:rsidR="008836FB">
              <w:rPr>
                <w:rFonts w:eastAsia="Aptos"/>
                <w:i/>
                <w:color w:val="0E2841"/>
                <w:kern w:val="2"/>
                <w:sz w:val="18"/>
                <w:szCs w:val="18"/>
              </w:rPr>
              <w:t>Elshkaki</w:t>
            </w:r>
            <w:proofErr w:type="spellEnd"/>
            <w:r w:rsidR="008836FB">
              <w:rPr>
                <w:rFonts w:eastAsia="Aptos"/>
                <w:i/>
                <w:color w:val="0E2841"/>
                <w:kern w:val="2"/>
                <w:sz w:val="18"/>
                <w:szCs w:val="18"/>
              </w:rPr>
              <w:t xml:space="preserve"> &amp; Shen, 2019)</w:t>
            </w:r>
            <w:r w:rsidRPr="00F73297">
              <w:rPr>
                <w:rFonts w:eastAsia="Aptos"/>
                <w:color w:val="0E2841"/>
                <w:kern w:val="2"/>
                <w:sz w:val="18"/>
                <w:szCs w:val="18"/>
              </w:rPr>
              <w:fldChar w:fldCharType="end"/>
            </w:r>
          </w:p>
        </w:tc>
      </w:tr>
      <w:tr w:rsidR="00250E9B" w:rsidRPr="00F73297" w14:paraId="0DF68A18" w14:textId="77777777">
        <w:trPr>
          <w:trHeight w:val="23"/>
          <w:jc w:val="center"/>
        </w:trPr>
        <w:tc>
          <w:tcPr>
            <w:tcW w:w="1158" w:type="dxa"/>
            <w:vMerge/>
            <w:vAlign w:val="center"/>
            <w:hideMark/>
          </w:tcPr>
          <w:p w14:paraId="0B01CC14" w14:textId="77777777" w:rsidR="00250E9B" w:rsidRPr="00F73297" w:rsidRDefault="00250E9B">
            <w:pPr>
              <w:jc w:val="center"/>
              <w:rPr>
                <w:rFonts w:eastAsia="Aptos"/>
                <w:i/>
                <w:color w:val="0E2841"/>
                <w:kern w:val="2"/>
                <w:sz w:val="18"/>
                <w:szCs w:val="18"/>
              </w:rPr>
            </w:pPr>
          </w:p>
        </w:tc>
        <w:tc>
          <w:tcPr>
            <w:tcW w:w="1227" w:type="dxa"/>
            <w:vMerge/>
            <w:vAlign w:val="center"/>
            <w:hideMark/>
          </w:tcPr>
          <w:p w14:paraId="5EFECCCB" w14:textId="77777777" w:rsidR="00250E9B" w:rsidRPr="00F73297" w:rsidRDefault="00250E9B">
            <w:pPr>
              <w:jc w:val="center"/>
              <w:rPr>
                <w:rFonts w:eastAsia="Aptos"/>
                <w:i/>
                <w:color w:val="0E2841"/>
                <w:kern w:val="2"/>
                <w:sz w:val="18"/>
                <w:szCs w:val="18"/>
              </w:rPr>
            </w:pPr>
          </w:p>
        </w:tc>
        <w:tc>
          <w:tcPr>
            <w:tcW w:w="980" w:type="dxa"/>
            <w:noWrap/>
            <w:vAlign w:val="center"/>
            <w:hideMark/>
          </w:tcPr>
          <w:p w14:paraId="7003640E"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19</w:t>
            </w:r>
          </w:p>
        </w:tc>
        <w:tc>
          <w:tcPr>
            <w:tcW w:w="903" w:type="dxa"/>
            <w:noWrap/>
            <w:vAlign w:val="center"/>
            <w:hideMark/>
          </w:tcPr>
          <w:p w14:paraId="4D2264E5"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14</w:t>
            </w:r>
          </w:p>
        </w:tc>
        <w:tc>
          <w:tcPr>
            <w:tcW w:w="2531" w:type="dxa"/>
            <w:vAlign w:val="center"/>
          </w:tcPr>
          <w:p w14:paraId="3B85901D" w14:textId="76AADA0A"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{"citationID":"WGpGe7e7","properties":{"formattedCitation":"(Zhou et al., 2020)","plainCitation":"(Zhou et al., 2020)","noteIndex":0},"citationItems":[{"id":16690,"uris":["http://zotero.org/groups/5509458/items/HGS2XCRK"],"itemData":{"id":16690,"type":"article-journal","container-title":"Journal of Cleaner Production","DOI":"10.1016/j.jclepro.2020.121599","ISSN":"09596526","journalAbbreviation":"Journal of Cleaner Production","language":"en","page":"121599","source":"DOI.org (Crossref)","title":"Dynamic criticality of by-products used in thin-film photovoltaic technologies by 2050","volume":"263","author":[{"family":"Zhou","given":"Yanjing"},{"family":"Li","given":"Jianwu"},{"family":"Rechberger","given":"Helmut"},{"family":"Wang","given":"Gaoshang"},{"family":"Chen","given":"Shouyu"},{"family":"Xing","given":"Wanli"},{"family":"Li","given":"Pengyuan"}],"issued":{"date-parts":[["2020",8]]}}}],"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(Zhou et al., 2020)</w:t>
            </w:r>
            <w:r w:rsidRPr="00F73297">
              <w:rPr>
                <w:rFonts w:eastAsia="Aptos"/>
                <w:color w:val="0E2841"/>
                <w:kern w:val="2"/>
                <w:sz w:val="18"/>
                <w:szCs w:val="18"/>
              </w:rPr>
              <w:fldChar w:fldCharType="end"/>
            </w:r>
          </w:p>
        </w:tc>
      </w:tr>
      <w:tr w:rsidR="00250E9B" w:rsidRPr="00F73297" w14:paraId="1412D346" w14:textId="77777777">
        <w:trPr>
          <w:trHeight w:val="23"/>
          <w:jc w:val="center"/>
        </w:trPr>
        <w:tc>
          <w:tcPr>
            <w:tcW w:w="1158" w:type="dxa"/>
            <w:vMerge/>
            <w:vAlign w:val="center"/>
            <w:hideMark/>
          </w:tcPr>
          <w:p w14:paraId="461C813A" w14:textId="77777777" w:rsidR="00250E9B" w:rsidRPr="00F73297" w:rsidRDefault="00250E9B">
            <w:pPr>
              <w:jc w:val="center"/>
              <w:rPr>
                <w:rFonts w:eastAsia="Aptos"/>
                <w:i/>
                <w:color w:val="0E2841"/>
                <w:kern w:val="2"/>
                <w:sz w:val="18"/>
                <w:szCs w:val="18"/>
              </w:rPr>
            </w:pPr>
          </w:p>
        </w:tc>
        <w:tc>
          <w:tcPr>
            <w:tcW w:w="1227" w:type="dxa"/>
            <w:vMerge/>
            <w:vAlign w:val="center"/>
            <w:hideMark/>
          </w:tcPr>
          <w:p w14:paraId="4E9664FD" w14:textId="77777777" w:rsidR="00250E9B" w:rsidRPr="00F73297" w:rsidRDefault="00250E9B">
            <w:pPr>
              <w:jc w:val="center"/>
              <w:rPr>
                <w:rFonts w:eastAsia="Aptos"/>
                <w:i/>
                <w:color w:val="0E2841"/>
                <w:kern w:val="2"/>
                <w:sz w:val="18"/>
                <w:szCs w:val="18"/>
              </w:rPr>
            </w:pPr>
          </w:p>
        </w:tc>
        <w:tc>
          <w:tcPr>
            <w:tcW w:w="980" w:type="dxa"/>
            <w:noWrap/>
            <w:vAlign w:val="center"/>
            <w:hideMark/>
          </w:tcPr>
          <w:p w14:paraId="7AAD0C5B"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17</w:t>
            </w:r>
          </w:p>
        </w:tc>
        <w:tc>
          <w:tcPr>
            <w:tcW w:w="903" w:type="dxa"/>
            <w:noWrap/>
            <w:vAlign w:val="center"/>
            <w:hideMark/>
          </w:tcPr>
          <w:p w14:paraId="5BC00614"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9</w:t>
            </w:r>
          </w:p>
        </w:tc>
        <w:tc>
          <w:tcPr>
            <w:tcW w:w="2531" w:type="dxa"/>
            <w:vAlign w:val="center"/>
          </w:tcPr>
          <w:p w14:paraId="70B61364" w14:textId="58C342B0"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{"citationID":"Znj2dDP8","properties":{"formattedCitation":"(Carrara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(Carrara et al., 2020)</w:t>
            </w:r>
            <w:r w:rsidRPr="00F73297">
              <w:rPr>
                <w:rFonts w:eastAsia="Aptos"/>
                <w:color w:val="0E2841"/>
                <w:kern w:val="2"/>
                <w:sz w:val="18"/>
                <w:szCs w:val="18"/>
              </w:rPr>
              <w:fldChar w:fldCharType="end"/>
            </w:r>
          </w:p>
        </w:tc>
      </w:tr>
      <w:tr w:rsidR="00250E9B" w:rsidRPr="00F73297" w14:paraId="3AB0AEA9" w14:textId="77777777">
        <w:trPr>
          <w:trHeight w:val="23"/>
          <w:jc w:val="center"/>
        </w:trPr>
        <w:tc>
          <w:tcPr>
            <w:tcW w:w="1158" w:type="dxa"/>
            <w:vMerge/>
            <w:vAlign w:val="center"/>
            <w:hideMark/>
          </w:tcPr>
          <w:p w14:paraId="313FE64B" w14:textId="77777777" w:rsidR="00250E9B" w:rsidRPr="00F73297" w:rsidRDefault="00250E9B">
            <w:pPr>
              <w:jc w:val="center"/>
              <w:rPr>
                <w:rFonts w:eastAsia="Aptos"/>
                <w:i/>
                <w:color w:val="0E2841"/>
                <w:kern w:val="2"/>
                <w:sz w:val="18"/>
                <w:szCs w:val="18"/>
              </w:rPr>
            </w:pPr>
          </w:p>
        </w:tc>
        <w:tc>
          <w:tcPr>
            <w:tcW w:w="1227" w:type="dxa"/>
            <w:vMerge/>
            <w:vAlign w:val="center"/>
            <w:hideMark/>
          </w:tcPr>
          <w:p w14:paraId="7B72981F" w14:textId="77777777" w:rsidR="00250E9B" w:rsidRPr="00F73297" w:rsidRDefault="00250E9B">
            <w:pPr>
              <w:jc w:val="center"/>
              <w:rPr>
                <w:rFonts w:eastAsia="Aptos"/>
                <w:i/>
                <w:color w:val="0E2841"/>
                <w:kern w:val="2"/>
                <w:sz w:val="18"/>
                <w:szCs w:val="18"/>
              </w:rPr>
            </w:pPr>
          </w:p>
        </w:tc>
        <w:tc>
          <w:tcPr>
            <w:tcW w:w="980" w:type="dxa"/>
            <w:noWrap/>
            <w:vAlign w:val="center"/>
            <w:hideMark/>
          </w:tcPr>
          <w:p w14:paraId="7642C509"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20</w:t>
            </w:r>
          </w:p>
        </w:tc>
        <w:tc>
          <w:tcPr>
            <w:tcW w:w="903" w:type="dxa"/>
            <w:noWrap/>
            <w:vAlign w:val="center"/>
            <w:hideMark/>
          </w:tcPr>
          <w:p w14:paraId="7A8DDA22"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12</w:t>
            </w:r>
          </w:p>
        </w:tc>
        <w:tc>
          <w:tcPr>
            <w:tcW w:w="2531" w:type="dxa"/>
            <w:vAlign w:val="center"/>
          </w:tcPr>
          <w:p w14:paraId="2EF651E6" w14:textId="004AD235"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{"citationID":"O9S33vkR","properties":{"formattedCitation":"(Carrara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(Carrara et al., 2020)</w:t>
            </w:r>
            <w:r w:rsidRPr="00F73297">
              <w:rPr>
                <w:rFonts w:eastAsia="Aptos"/>
                <w:color w:val="0E2841"/>
                <w:kern w:val="2"/>
                <w:sz w:val="18"/>
                <w:szCs w:val="18"/>
              </w:rPr>
              <w:fldChar w:fldCharType="end"/>
            </w:r>
          </w:p>
        </w:tc>
      </w:tr>
      <w:tr w:rsidR="00250E9B" w:rsidRPr="00F73297" w14:paraId="4DC7E374" w14:textId="77777777">
        <w:trPr>
          <w:trHeight w:val="23"/>
          <w:jc w:val="center"/>
        </w:trPr>
        <w:tc>
          <w:tcPr>
            <w:tcW w:w="1158" w:type="dxa"/>
            <w:vMerge/>
            <w:vAlign w:val="center"/>
            <w:hideMark/>
          </w:tcPr>
          <w:p w14:paraId="27295586" w14:textId="77777777" w:rsidR="00250E9B" w:rsidRPr="00F73297" w:rsidRDefault="00250E9B">
            <w:pPr>
              <w:jc w:val="center"/>
              <w:rPr>
                <w:rFonts w:eastAsia="Aptos"/>
                <w:i/>
                <w:color w:val="0E2841"/>
                <w:kern w:val="2"/>
                <w:sz w:val="18"/>
                <w:szCs w:val="18"/>
              </w:rPr>
            </w:pPr>
          </w:p>
        </w:tc>
        <w:tc>
          <w:tcPr>
            <w:tcW w:w="1227" w:type="dxa"/>
            <w:vMerge/>
            <w:vAlign w:val="center"/>
            <w:hideMark/>
          </w:tcPr>
          <w:p w14:paraId="77C2BE22" w14:textId="77777777" w:rsidR="00250E9B" w:rsidRPr="00F73297" w:rsidRDefault="00250E9B">
            <w:pPr>
              <w:jc w:val="center"/>
              <w:rPr>
                <w:rFonts w:eastAsia="Aptos"/>
                <w:i/>
                <w:color w:val="0E2841"/>
                <w:kern w:val="2"/>
                <w:sz w:val="18"/>
                <w:szCs w:val="18"/>
              </w:rPr>
            </w:pPr>
          </w:p>
        </w:tc>
        <w:tc>
          <w:tcPr>
            <w:tcW w:w="980" w:type="dxa"/>
            <w:noWrap/>
            <w:vAlign w:val="center"/>
            <w:hideMark/>
          </w:tcPr>
          <w:p w14:paraId="050510FF"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40</w:t>
            </w:r>
          </w:p>
        </w:tc>
        <w:tc>
          <w:tcPr>
            <w:tcW w:w="903" w:type="dxa"/>
            <w:noWrap/>
            <w:vAlign w:val="center"/>
            <w:hideMark/>
          </w:tcPr>
          <w:p w14:paraId="2E69B6D1"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20</w:t>
            </w:r>
          </w:p>
        </w:tc>
        <w:tc>
          <w:tcPr>
            <w:tcW w:w="2531" w:type="dxa"/>
            <w:vAlign w:val="center"/>
          </w:tcPr>
          <w:p w14:paraId="289741E6" w14:textId="21391931"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{"citationID":"12X2AQTZ","properties":{"formattedCitation":"(Carrara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(Carrara et al., 2020)</w:t>
            </w:r>
            <w:r w:rsidRPr="00F73297">
              <w:rPr>
                <w:rFonts w:eastAsia="Aptos"/>
                <w:color w:val="0E2841"/>
                <w:kern w:val="2"/>
                <w:sz w:val="18"/>
                <w:szCs w:val="18"/>
              </w:rPr>
              <w:fldChar w:fldCharType="end"/>
            </w:r>
          </w:p>
        </w:tc>
      </w:tr>
    </w:tbl>
    <w:p w14:paraId="086DBD40" w14:textId="77777777" w:rsidR="00250E9B" w:rsidRPr="00F73297" w:rsidRDefault="00250E9B" w:rsidP="00250E9B">
      <w:pPr>
        <w:jc w:val="center"/>
        <w:rPr>
          <w:color w:val="0E2841"/>
          <w:sz w:val="18"/>
          <w:szCs w:val="18"/>
          <w:u w:val="single"/>
        </w:rPr>
      </w:pPr>
    </w:p>
    <w:p w14:paraId="7501E723" w14:textId="77777777" w:rsidR="00250E9B" w:rsidRPr="00F73297" w:rsidRDefault="00250E9B" w:rsidP="00250E9B">
      <w:pPr>
        <w:jc w:val="center"/>
        <w:rPr>
          <w:color w:val="0E2841"/>
          <w:sz w:val="18"/>
          <w:szCs w:val="18"/>
        </w:rPr>
      </w:pPr>
    </w:p>
    <w:p w14:paraId="650D0DF8" w14:textId="480D7229" w:rsidR="00250E9B" w:rsidRDefault="00250E9B" w:rsidP="00250E9B">
      <w:pPr>
        <w:jc w:val="center"/>
        <w:rPr>
          <w:color w:val="0E2841"/>
          <w:sz w:val="18"/>
          <w:szCs w:val="18"/>
        </w:rPr>
      </w:pPr>
    </w:p>
    <w:p w14:paraId="5DC3F64D" w14:textId="2147DA48" w:rsidR="00C26D2F" w:rsidRDefault="00C26D2F" w:rsidP="00250E9B">
      <w:pPr>
        <w:jc w:val="center"/>
        <w:rPr>
          <w:color w:val="0E2841"/>
          <w:sz w:val="18"/>
          <w:szCs w:val="18"/>
        </w:rPr>
      </w:pPr>
    </w:p>
    <w:p w14:paraId="4C512B34" w14:textId="5A397B54" w:rsidR="008C438E" w:rsidRPr="00F73297" w:rsidRDefault="008C438E" w:rsidP="00250E9B">
      <w:pPr>
        <w:jc w:val="center"/>
        <w:rPr>
          <w:color w:val="0E2841"/>
          <w:sz w:val="18"/>
          <w:szCs w:val="18"/>
        </w:rPr>
      </w:pPr>
      <w:r>
        <w:rPr>
          <w:noProof/>
        </w:rPr>
        <w:lastRenderedPageBreak/>
        <w:drawing>
          <wp:inline distT="0" distB="0" distL="0" distR="0" wp14:anchorId="6A3D268C" wp14:editId="7BA10968">
            <wp:extent cx="5486400" cy="3747600"/>
            <wp:effectExtent l="0" t="0" r="0" b="0"/>
            <wp:docPr id="96781148" name="Chart 1">
              <a:extLst xmlns:a="http://schemas.openxmlformats.org/drawingml/2006/main">
                <a:ext uri="{FF2B5EF4-FFF2-40B4-BE49-F238E27FC236}">
                  <a16:creationId xmlns:a16="http://schemas.microsoft.com/office/drawing/2014/main" id="{00000000-0008-0000-08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0DDBE6E" w14:textId="0ABCD6F2" w:rsidR="00250E9B" w:rsidRPr="00F05D5B" w:rsidRDefault="00250E9B" w:rsidP="00250E9B">
      <w:pPr>
        <w:jc w:val="center"/>
        <w:rPr>
          <w:color w:val="0E2841"/>
          <w:sz w:val="18"/>
          <w:szCs w:val="18"/>
          <w:u w:val="single"/>
        </w:rPr>
      </w:pPr>
      <w:r w:rsidRPr="00F05D5B">
        <w:rPr>
          <w:b/>
          <w:color w:val="0E2841"/>
          <w:sz w:val="18"/>
          <w:szCs w:val="18"/>
        </w:rPr>
        <w:t>Figure S</w:t>
      </w:r>
      <w:r>
        <w:rPr>
          <w:b/>
          <w:color w:val="0E2841"/>
          <w:sz w:val="18"/>
          <w:szCs w:val="18"/>
        </w:rPr>
        <w:t>1.</w:t>
      </w:r>
      <w:r w:rsidR="00E42788">
        <w:rPr>
          <w:b/>
          <w:color w:val="0E2841"/>
          <w:sz w:val="18"/>
          <w:szCs w:val="18"/>
        </w:rPr>
        <w:t>5</w:t>
      </w:r>
      <w:r w:rsidRPr="00F05D5B">
        <w:rPr>
          <w:b/>
          <w:color w:val="0E2841"/>
          <w:sz w:val="18"/>
          <w:szCs w:val="18"/>
        </w:rPr>
        <w:t>:</w:t>
      </w:r>
      <w:r w:rsidRPr="00F05D5B">
        <w:rPr>
          <w:color w:val="0E2841"/>
          <w:sz w:val="18"/>
          <w:szCs w:val="18"/>
        </w:rPr>
        <w:t xml:space="preserve"> Intensities (kg/MW) per sub-technology and material for solar PV in the current case, and for years 2030 and 2050.</w:t>
      </w:r>
    </w:p>
    <w:p w14:paraId="15DF6BEA" w14:textId="77777777" w:rsidR="00250E9B" w:rsidRPr="00F73297" w:rsidRDefault="00250E9B" w:rsidP="00250E9B">
      <w:pPr>
        <w:jc w:val="center"/>
        <w:rPr>
          <w:color w:val="0E2841"/>
          <w:sz w:val="18"/>
          <w:szCs w:val="18"/>
          <w:u w:val="single"/>
        </w:rPr>
      </w:pPr>
    </w:p>
    <w:p w14:paraId="373B9D57" w14:textId="77777777" w:rsidR="00250E9B" w:rsidRDefault="00250E9B" w:rsidP="00250E9B">
      <w:pPr>
        <w:rPr>
          <w:color w:val="0E2841"/>
          <w:sz w:val="22"/>
          <w:szCs w:val="22"/>
          <w:u w:val="single"/>
        </w:rPr>
      </w:pPr>
    </w:p>
    <w:p w14:paraId="050FE854" w14:textId="77777777" w:rsidR="00250E9B" w:rsidRDefault="00250E9B" w:rsidP="00250E9B">
      <w:pPr>
        <w:rPr>
          <w:color w:val="0E2841"/>
          <w:sz w:val="22"/>
          <w:szCs w:val="22"/>
          <w:u w:val="single"/>
        </w:rPr>
      </w:pPr>
      <w:r w:rsidRPr="00F73297">
        <w:rPr>
          <w:color w:val="0E2841"/>
          <w:sz w:val="22"/>
          <w:szCs w:val="22"/>
          <w:u w:val="single"/>
        </w:rPr>
        <w:t>Wind power plants</w:t>
      </w:r>
    </w:p>
    <w:p w14:paraId="0161E60D" w14:textId="1C4F19DF" w:rsidR="00482099" w:rsidRPr="00482099" w:rsidRDefault="00482099" w:rsidP="00482099">
      <w:pPr>
        <w:rPr>
          <w:sz w:val="22"/>
          <w:szCs w:val="22"/>
        </w:rPr>
      </w:pPr>
      <w:r w:rsidRPr="00482099">
        <w:rPr>
          <w:sz w:val="22"/>
          <w:szCs w:val="22"/>
        </w:rPr>
        <w:t>For wind, we conducted our own literature review for material intensity in the current case, and 2050. Tables S</w:t>
      </w:r>
      <w:r w:rsidR="00B35030">
        <w:rPr>
          <w:sz w:val="22"/>
          <w:szCs w:val="22"/>
        </w:rPr>
        <w:t>1.1</w:t>
      </w:r>
      <w:r w:rsidR="009A710B">
        <w:rPr>
          <w:sz w:val="22"/>
          <w:szCs w:val="22"/>
        </w:rPr>
        <w:t>2</w:t>
      </w:r>
      <w:r w:rsidR="00B35030" w:rsidRPr="005B3DC2">
        <w:rPr>
          <w:sz w:val="22"/>
          <w:szCs w:val="22"/>
        </w:rPr>
        <w:t>–</w:t>
      </w:r>
      <w:r w:rsidR="00B35030">
        <w:rPr>
          <w:sz w:val="22"/>
          <w:szCs w:val="22"/>
        </w:rPr>
        <w:t>1</w:t>
      </w:r>
      <w:r w:rsidR="009A710B">
        <w:rPr>
          <w:sz w:val="22"/>
          <w:szCs w:val="22"/>
        </w:rPr>
        <w:t>9</w:t>
      </w:r>
      <w:r w:rsidRPr="00482099">
        <w:rPr>
          <w:sz w:val="22"/>
          <w:szCs w:val="22"/>
        </w:rPr>
        <w:t xml:space="preserve"> summarize the current values for each material under DD-PMSG and GB-PMSG respectively. </w:t>
      </w:r>
    </w:p>
    <w:p w14:paraId="15E7727E" w14:textId="77777777" w:rsidR="00482099" w:rsidRPr="007D628B" w:rsidRDefault="00482099" w:rsidP="00250E9B">
      <w:pPr>
        <w:rPr>
          <w:color w:val="0E2841"/>
          <w:sz w:val="22"/>
          <w:szCs w:val="22"/>
          <w:u w:val="single"/>
        </w:rPr>
      </w:pPr>
    </w:p>
    <w:p w14:paraId="4E508A33" w14:textId="77777777" w:rsidR="00250E9B" w:rsidRPr="00F05D5B" w:rsidRDefault="00250E9B" w:rsidP="00250E9B">
      <w:pPr>
        <w:jc w:val="center"/>
        <w:rPr>
          <w:color w:val="0E2841"/>
          <w:sz w:val="18"/>
          <w:szCs w:val="18"/>
        </w:rPr>
      </w:pPr>
    </w:p>
    <w:p w14:paraId="02D29C66" w14:textId="1070F0EF" w:rsidR="00250E9B" w:rsidRPr="00F05D5B" w:rsidRDefault="00250E9B" w:rsidP="00250E9B">
      <w:pPr>
        <w:jc w:val="center"/>
        <w:rPr>
          <w:color w:val="0E2841"/>
          <w:sz w:val="18"/>
          <w:szCs w:val="18"/>
        </w:rPr>
      </w:pPr>
      <w:r w:rsidRPr="00F05D5B">
        <w:rPr>
          <w:b/>
          <w:color w:val="0E2841"/>
          <w:sz w:val="18"/>
          <w:szCs w:val="18"/>
        </w:rPr>
        <w:t>Table S</w:t>
      </w:r>
      <w:r>
        <w:rPr>
          <w:b/>
          <w:color w:val="0E2841"/>
          <w:sz w:val="18"/>
          <w:szCs w:val="18"/>
        </w:rPr>
        <w:t>1.1</w:t>
      </w:r>
      <w:r w:rsidR="0029776D">
        <w:rPr>
          <w:b/>
          <w:color w:val="0E2841"/>
          <w:sz w:val="18"/>
          <w:szCs w:val="18"/>
        </w:rPr>
        <w:t>2</w:t>
      </w:r>
      <w:r w:rsidRPr="00F05D5B">
        <w:rPr>
          <w:b/>
          <w:color w:val="0E2841"/>
          <w:sz w:val="18"/>
          <w:szCs w:val="18"/>
        </w:rPr>
        <w:t>:</w:t>
      </w:r>
      <w:r w:rsidRPr="00F05D5B">
        <w:rPr>
          <w:color w:val="0E2841"/>
          <w:sz w:val="18"/>
          <w:szCs w:val="18"/>
        </w:rPr>
        <w:t xml:space="preserve"> Neodymium</w:t>
      </w:r>
      <w:r>
        <w:rPr>
          <w:color w:val="0E2841"/>
          <w:sz w:val="18"/>
          <w:szCs w:val="18"/>
        </w:rPr>
        <w:t xml:space="preserve"> </w:t>
      </w:r>
      <w:r w:rsidRPr="00F05D5B">
        <w:rPr>
          <w:color w:val="0E2841"/>
          <w:sz w:val="18"/>
          <w:szCs w:val="18"/>
        </w:rPr>
        <w:t xml:space="preserve">intensities [kg/MW] in neodymium-iron-boron (NdFeB) permanent magnets in </w:t>
      </w:r>
      <w:proofErr w:type="spellStart"/>
      <w:r w:rsidRPr="00F05D5B">
        <w:rPr>
          <w:color w:val="0E2841"/>
          <w:sz w:val="18"/>
          <w:szCs w:val="18"/>
        </w:rPr>
        <w:t>dirent</w:t>
      </w:r>
      <w:proofErr w:type="spellEnd"/>
      <w:r w:rsidRPr="00F05D5B">
        <w:rPr>
          <w:color w:val="0E2841"/>
          <w:sz w:val="18"/>
          <w:szCs w:val="18"/>
        </w:rPr>
        <w:t>-drive systems (DD-PMSG) reported in previous studies.</w:t>
      </w:r>
    </w:p>
    <w:tbl>
      <w:tblPr>
        <w:tblW w:w="8359"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413"/>
        <w:gridCol w:w="1565"/>
        <w:gridCol w:w="1537"/>
        <w:gridCol w:w="1014"/>
        <w:gridCol w:w="733"/>
        <w:gridCol w:w="2097"/>
      </w:tblGrid>
      <w:tr w:rsidR="00250E9B" w:rsidRPr="00F73297" w14:paraId="3A57D07A" w14:textId="77777777">
        <w:trPr>
          <w:trHeight w:val="23"/>
          <w:jc w:val="center"/>
        </w:trPr>
        <w:tc>
          <w:tcPr>
            <w:tcW w:w="1413" w:type="dxa"/>
            <w:vAlign w:val="center"/>
            <w:hideMark/>
          </w:tcPr>
          <w:p w14:paraId="64C6AEAC" w14:textId="77777777" w:rsidR="00250E9B" w:rsidRPr="00F73297" w:rsidRDefault="00250E9B">
            <w:pPr>
              <w:jc w:val="center"/>
              <w:rPr>
                <w:rFonts w:eastAsia="Aptos"/>
                <w:b/>
                <w:i/>
                <w:color w:val="0E2841"/>
                <w:kern w:val="2"/>
                <w:sz w:val="18"/>
                <w:szCs w:val="18"/>
              </w:rPr>
            </w:pPr>
            <w:r w:rsidRPr="00F73297">
              <w:rPr>
                <w:rFonts w:eastAsia="Aptos"/>
                <w:b/>
                <w:i/>
                <w:color w:val="0E2841"/>
                <w:kern w:val="2"/>
                <w:sz w:val="18"/>
                <w:szCs w:val="18"/>
              </w:rPr>
              <w:t>Sub-technology</w:t>
            </w:r>
          </w:p>
        </w:tc>
        <w:tc>
          <w:tcPr>
            <w:tcW w:w="1565" w:type="dxa"/>
            <w:vAlign w:val="center"/>
            <w:hideMark/>
          </w:tcPr>
          <w:p w14:paraId="3527F07A" w14:textId="77777777" w:rsidR="00250E9B" w:rsidRPr="00F73297" w:rsidRDefault="00250E9B">
            <w:pPr>
              <w:jc w:val="center"/>
              <w:rPr>
                <w:rFonts w:eastAsia="Aptos"/>
                <w:b/>
                <w:i/>
                <w:color w:val="0E2841"/>
                <w:kern w:val="2"/>
                <w:sz w:val="18"/>
                <w:szCs w:val="18"/>
              </w:rPr>
            </w:pPr>
            <w:r w:rsidRPr="00F73297">
              <w:rPr>
                <w:rFonts w:eastAsia="Aptos"/>
                <w:b/>
                <w:i/>
                <w:color w:val="0E2841"/>
                <w:kern w:val="2"/>
                <w:sz w:val="18"/>
                <w:szCs w:val="18"/>
              </w:rPr>
              <w:t>Material</w:t>
            </w:r>
          </w:p>
        </w:tc>
        <w:tc>
          <w:tcPr>
            <w:tcW w:w="1537" w:type="dxa"/>
            <w:vAlign w:val="center"/>
            <w:hideMark/>
          </w:tcPr>
          <w:p w14:paraId="584149B1" w14:textId="77777777" w:rsidR="00250E9B" w:rsidRPr="00F73297" w:rsidRDefault="00250E9B">
            <w:pPr>
              <w:jc w:val="center"/>
              <w:rPr>
                <w:rFonts w:eastAsia="Aptos"/>
                <w:b/>
                <w:i/>
                <w:color w:val="0E2841"/>
                <w:kern w:val="2"/>
                <w:sz w:val="18"/>
                <w:szCs w:val="18"/>
              </w:rPr>
            </w:pPr>
            <w:r w:rsidRPr="00F73297">
              <w:rPr>
                <w:rFonts w:eastAsia="Aptos"/>
                <w:b/>
                <w:i/>
                <w:color w:val="0E2841"/>
                <w:kern w:val="2"/>
                <w:sz w:val="18"/>
                <w:szCs w:val="18"/>
              </w:rPr>
              <w:t>NdFeB Magnet Kg/MW</w:t>
            </w:r>
          </w:p>
        </w:tc>
        <w:tc>
          <w:tcPr>
            <w:tcW w:w="1014" w:type="dxa"/>
            <w:vAlign w:val="center"/>
            <w:hideMark/>
          </w:tcPr>
          <w:p w14:paraId="5BB4EF2E" w14:textId="77777777" w:rsidR="00250E9B" w:rsidRPr="00F73297" w:rsidRDefault="00250E9B">
            <w:pPr>
              <w:jc w:val="center"/>
              <w:rPr>
                <w:rFonts w:eastAsia="Aptos"/>
                <w:b/>
                <w:i/>
                <w:color w:val="0E2841"/>
                <w:kern w:val="2"/>
                <w:sz w:val="18"/>
                <w:szCs w:val="18"/>
              </w:rPr>
            </w:pPr>
            <w:r w:rsidRPr="00F73297">
              <w:rPr>
                <w:rFonts w:eastAsia="Aptos"/>
                <w:b/>
                <w:i/>
                <w:color w:val="0E2841"/>
                <w:kern w:val="2"/>
                <w:sz w:val="18"/>
                <w:szCs w:val="18"/>
              </w:rPr>
              <w:t>Kg/MW</w:t>
            </w:r>
          </w:p>
        </w:tc>
        <w:tc>
          <w:tcPr>
            <w:tcW w:w="733" w:type="dxa"/>
            <w:vAlign w:val="center"/>
            <w:hideMark/>
          </w:tcPr>
          <w:p w14:paraId="4748966C" w14:textId="77777777" w:rsidR="00250E9B" w:rsidRPr="00F73297" w:rsidRDefault="00250E9B">
            <w:pPr>
              <w:jc w:val="center"/>
              <w:rPr>
                <w:rFonts w:eastAsia="Aptos"/>
                <w:b/>
                <w:i/>
                <w:color w:val="0E2841"/>
                <w:kern w:val="2"/>
                <w:sz w:val="18"/>
                <w:szCs w:val="18"/>
              </w:rPr>
            </w:pPr>
            <w:r w:rsidRPr="00F73297">
              <w:rPr>
                <w:rFonts w:eastAsia="Aptos"/>
                <w:b/>
                <w:i/>
                <w:color w:val="0E2841"/>
                <w:kern w:val="2"/>
                <w:sz w:val="18"/>
                <w:szCs w:val="18"/>
              </w:rPr>
              <w:t>%w</w:t>
            </w:r>
          </w:p>
        </w:tc>
        <w:tc>
          <w:tcPr>
            <w:tcW w:w="2097" w:type="dxa"/>
            <w:vAlign w:val="center"/>
            <w:hideMark/>
          </w:tcPr>
          <w:p w14:paraId="46BF777D" w14:textId="77777777" w:rsidR="00250E9B" w:rsidRPr="00F73297" w:rsidRDefault="00250E9B">
            <w:pPr>
              <w:jc w:val="center"/>
              <w:rPr>
                <w:rFonts w:eastAsia="Aptos"/>
                <w:b/>
                <w:i/>
                <w:color w:val="0E2841"/>
                <w:kern w:val="2"/>
                <w:sz w:val="18"/>
                <w:szCs w:val="18"/>
              </w:rPr>
            </w:pPr>
            <w:r w:rsidRPr="00F73297">
              <w:rPr>
                <w:rFonts w:eastAsia="Aptos"/>
                <w:b/>
                <w:i/>
                <w:color w:val="0E2841"/>
                <w:kern w:val="2"/>
                <w:sz w:val="18"/>
                <w:szCs w:val="18"/>
              </w:rPr>
              <w:t>Source</w:t>
            </w:r>
          </w:p>
        </w:tc>
      </w:tr>
      <w:tr w:rsidR="00250E9B" w:rsidRPr="00F73297" w14:paraId="7D97096D" w14:textId="77777777">
        <w:trPr>
          <w:trHeight w:val="23"/>
          <w:jc w:val="center"/>
        </w:trPr>
        <w:tc>
          <w:tcPr>
            <w:tcW w:w="1413" w:type="dxa"/>
            <w:vMerge w:val="restart"/>
            <w:noWrap/>
            <w:vAlign w:val="center"/>
            <w:hideMark/>
          </w:tcPr>
          <w:p w14:paraId="55E59888"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DD-PMSG</w:t>
            </w:r>
          </w:p>
        </w:tc>
        <w:tc>
          <w:tcPr>
            <w:tcW w:w="1565" w:type="dxa"/>
            <w:vMerge w:val="restart"/>
            <w:vAlign w:val="center"/>
            <w:hideMark/>
          </w:tcPr>
          <w:p w14:paraId="64198CCB"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Neodymium</w:t>
            </w:r>
            <w:r w:rsidRPr="00F73297">
              <w:rPr>
                <w:rFonts w:eastAsia="Aptos"/>
                <w:i/>
                <w:color w:val="0E2841"/>
                <w:kern w:val="2"/>
                <w:sz w:val="18"/>
                <w:szCs w:val="18"/>
              </w:rPr>
              <w:br/>
              <w:t>Nd</w:t>
            </w:r>
          </w:p>
        </w:tc>
        <w:tc>
          <w:tcPr>
            <w:tcW w:w="1537" w:type="dxa"/>
            <w:noWrap/>
            <w:vAlign w:val="center"/>
            <w:hideMark/>
          </w:tcPr>
          <w:p w14:paraId="433B3D75"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650</w:t>
            </w:r>
          </w:p>
        </w:tc>
        <w:tc>
          <w:tcPr>
            <w:tcW w:w="1014" w:type="dxa"/>
            <w:noWrap/>
            <w:vAlign w:val="center"/>
            <w:hideMark/>
          </w:tcPr>
          <w:p w14:paraId="52B1990E"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175.5</w:t>
            </w:r>
          </w:p>
        </w:tc>
        <w:tc>
          <w:tcPr>
            <w:tcW w:w="733" w:type="dxa"/>
            <w:noWrap/>
            <w:vAlign w:val="center"/>
            <w:hideMark/>
          </w:tcPr>
          <w:p w14:paraId="024988FA"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27%</w:t>
            </w:r>
          </w:p>
        </w:tc>
        <w:tc>
          <w:tcPr>
            <w:tcW w:w="2097" w:type="dxa"/>
            <w:noWrap/>
            <w:vAlign w:val="center"/>
            <w:hideMark/>
          </w:tcPr>
          <w:p w14:paraId="5A189EF5" w14:textId="081B90C9"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{"citationID":"KoV5RiMq","properties":{"formattedCitation":"(Imholte et al., 2018)","plainCitation":"(Imholte et al., 2018)","noteIndex":0},"citationItems":[{"id":15297,"uris":["http://zotero.org/groups/4945499/items/C6VKLB3M"],"itemData":{"id":15297,"type":"article-journal","abstract":"Global initiatives are focused on deploying clean energy technologies, such as wind energy, to reduce greenhouse gas emissions. U.S. onshore and oﬀshore wind targets have been particularly aggressive. Some wind energy technologies, such as direct-drive wind turbines, rely on a volatile and Chinese-concentrated rare earth element (REE) supply chain. Global eﬀorts have been made to develop new sources of REEs, with limited success. This lack of rare earth availability has been suggested to inhibit direct-drive adoption, despite its energy eﬃciency beneﬁts. However, it is unclear if new U.S. REE supply could adequately support onshore and oﬀshore direct-drive wind energy growth, and help meet U.S. wind energy targets. This analysis estimates U.S. and Chinese REE availability that could support U.S. direct-drive and other REE demand. Results indicated that U.S. wind installation targets with solely direct-drive designs could only require 4–12% of maximum light rare earth production from Mountain Pass, Bear Lodge and phosphate rock mines. When considering market dynamics and hypothetical U.S. production, U.S. light REE production capacity was not able to provide suﬃcient light rare earths to achieve wind energy targets. U.S. wind energy targets could be achieved by prioritizing 3–17% of U.S. light REE production for direct-drive wind energy.","container-title":"Energy Policy","DOI":"10.1016/j.enpol.2017.11.001","ISSN":"03014215","journalAbbreviation":"Energy Policy","language":"en","page":"294-305","source":"DOI.org (Crossref)","title":"An assessment of U.S. rare earth availability for supporting U.S. wind energy growth targets","volume":"113","author":[{"family":"Imholte","given":"D.D."},{"family":"Nguyen","given":"R.T."},{"family":"Vedantam","given":"A."},{"family":"Brown","given":"M."},{"family":"Iyer","given":"A."},{"family":"Smith","given":"B.J."},{"family":"Collins","given":"J.W."},{"family":"Anderson","given":"C.G."},{"family":"O’Kelley","given":"B."}],"issued":{"date-parts":[["2018",2]]}}}],"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(Imholte et al., 2018)</w:t>
            </w:r>
            <w:r w:rsidRPr="00F73297">
              <w:rPr>
                <w:rFonts w:eastAsia="Aptos"/>
                <w:color w:val="0E2841"/>
                <w:kern w:val="2"/>
                <w:sz w:val="18"/>
                <w:szCs w:val="18"/>
              </w:rPr>
              <w:fldChar w:fldCharType="end"/>
            </w:r>
          </w:p>
        </w:tc>
      </w:tr>
      <w:tr w:rsidR="00250E9B" w:rsidRPr="00F73297" w14:paraId="5AF74C61" w14:textId="77777777">
        <w:trPr>
          <w:trHeight w:val="23"/>
          <w:jc w:val="center"/>
        </w:trPr>
        <w:tc>
          <w:tcPr>
            <w:tcW w:w="1413" w:type="dxa"/>
            <w:vMerge/>
            <w:vAlign w:val="center"/>
            <w:hideMark/>
          </w:tcPr>
          <w:p w14:paraId="26518513" w14:textId="77777777" w:rsidR="00250E9B" w:rsidRPr="00F73297" w:rsidRDefault="00250E9B">
            <w:pPr>
              <w:jc w:val="center"/>
              <w:rPr>
                <w:rFonts w:eastAsia="Aptos"/>
                <w:i/>
                <w:color w:val="0E2841"/>
                <w:kern w:val="2"/>
                <w:sz w:val="18"/>
                <w:szCs w:val="18"/>
              </w:rPr>
            </w:pPr>
          </w:p>
        </w:tc>
        <w:tc>
          <w:tcPr>
            <w:tcW w:w="1565" w:type="dxa"/>
            <w:vMerge/>
            <w:vAlign w:val="center"/>
            <w:hideMark/>
          </w:tcPr>
          <w:p w14:paraId="206AE1BA" w14:textId="77777777" w:rsidR="00250E9B" w:rsidRPr="00F73297" w:rsidRDefault="00250E9B">
            <w:pPr>
              <w:jc w:val="center"/>
              <w:rPr>
                <w:rFonts w:eastAsia="Aptos"/>
                <w:i/>
                <w:color w:val="0E2841"/>
                <w:kern w:val="2"/>
                <w:sz w:val="18"/>
                <w:szCs w:val="18"/>
              </w:rPr>
            </w:pPr>
          </w:p>
        </w:tc>
        <w:tc>
          <w:tcPr>
            <w:tcW w:w="1537" w:type="dxa"/>
            <w:noWrap/>
            <w:vAlign w:val="center"/>
            <w:hideMark/>
          </w:tcPr>
          <w:p w14:paraId="3F625C69"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650</w:t>
            </w:r>
          </w:p>
        </w:tc>
        <w:tc>
          <w:tcPr>
            <w:tcW w:w="1014" w:type="dxa"/>
            <w:noWrap/>
            <w:vAlign w:val="center"/>
            <w:hideMark/>
          </w:tcPr>
          <w:p w14:paraId="3B7FF8B1"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175.5</w:t>
            </w:r>
          </w:p>
        </w:tc>
        <w:tc>
          <w:tcPr>
            <w:tcW w:w="733" w:type="dxa"/>
            <w:noWrap/>
            <w:vAlign w:val="center"/>
            <w:hideMark/>
          </w:tcPr>
          <w:p w14:paraId="37748242"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27%</w:t>
            </w:r>
          </w:p>
        </w:tc>
        <w:tc>
          <w:tcPr>
            <w:tcW w:w="2097" w:type="dxa"/>
            <w:noWrap/>
            <w:vAlign w:val="center"/>
            <w:hideMark/>
          </w:tcPr>
          <w:p w14:paraId="0BB5DD4B" w14:textId="5E30A29F"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{"citationID":"EuxhPbD5","properties":{"formattedCitation":"(J. Li et al., 2020)","plainCitation":"(J. Li et al., 2020)","noteIndex":0},"citationItems":[{"id":16633,"uris":["http://zotero.org/groups/5509458/items/SG24R7JJ"],"itemData":{"id":16633,"type":"article-journal","container-title":"One Earth","DOI":"10.1016/j.oneear.2020.06.009","ISSN":"25903322","issue":"1","journalAbbreviation":"One Earth","language":"en","page":"116-125","source":"DOI.org (Crossref)","title":"Critical Rare-Earth Elements Mismatch Global Wind-Power Ambitions","volume":"3","author":[{"family":"Li","given":"Jiashuo"},{"family":"Peng","given":"Kun"},{"family":"Wang","given":"Peng"},{"family":"Zhang","given":"Ning"},{"family":"Feng","given":"Kuishuang"},{"family":"Guan","given":"Dabo"},{"family":"Meng","given":"Jing"},{"family":"Wei","given":"Wendong"},{"family":"Yang","given":"Qing"}],"issued":{"date-parts":[["2020",7]]}}}],"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(J. Li et al., 2020)</w:t>
            </w:r>
            <w:r w:rsidRPr="00F73297">
              <w:rPr>
                <w:rFonts w:eastAsia="Aptos"/>
                <w:color w:val="0E2841"/>
                <w:kern w:val="2"/>
                <w:sz w:val="18"/>
                <w:szCs w:val="18"/>
              </w:rPr>
              <w:fldChar w:fldCharType="end"/>
            </w:r>
          </w:p>
        </w:tc>
      </w:tr>
      <w:tr w:rsidR="00250E9B" w:rsidRPr="00F73297" w14:paraId="1AC73270" w14:textId="77777777">
        <w:trPr>
          <w:trHeight w:val="23"/>
          <w:jc w:val="center"/>
        </w:trPr>
        <w:tc>
          <w:tcPr>
            <w:tcW w:w="1413" w:type="dxa"/>
            <w:vMerge/>
            <w:vAlign w:val="center"/>
            <w:hideMark/>
          </w:tcPr>
          <w:p w14:paraId="5C39FFAD" w14:textId="77777777" w:rsidR="00250E9B" w:rsidRPr="00F73297" w:rsidRDefault="00250E9B">
            <w:pPr>
              <w:jc w:val="center"/>
              <w:rPr>
                <w:rFonts w:eastAsia="Aptos"/>
                <w:i/>
                <w:color w:val="0E2841"/>
                <w:kern w:val="2"/>
                <w:sz w:val="18"/>
                <w:szCs w:val="18"/>
              </w:rPr>
            </w:pPr>
          </w:p>
        </w:tc>
        <w:tc>
          <w:tcPr>
            <w:tcW w:w="1565" w:type="dxa"/>
            <w:vMerge/>
            <w:vAlign w:val="center"/>
            <w:hideMark/>
          </w:tcPr>
          <w:p w14:paraId="381272E7" w14:textId="77777777" w:rsidR="00250E9B" w:rsidRPr="00F73297" w:rsidRDefault="00250E9B">
            <w:pPr>
              <w:jc w:val="center"/>
              <w:rPr>
                <w:rFonts w:eastAsia="Aptos"/>
                <w:i/>
                <w:color w:val="0E2841"/>
                <w:kern w:val="2"/>
                <w:sz w:val="18"/>
                <w:szCs w:val="18"/>
              </w:rPr>
            </w:pPr>
          </w:p>
        </w:tc>
        <w:tc>
          <w:tcPr>
            <w:tcW w:w="1537" w:type="dxa"/>
            <w:noWrap/>
            <w:vAlign w:val="center"/>
            <w:hideMark/>
          </w:tcPr>
          <w:p w14:paraId="36CEE6B4"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650</w:t>
            </w:r>
          </w:p>
        </w:tc>
        <w:tc>
          <w:tcPr>
            <w:tcW w:w="1014" w:type="dxa"/>
            <w:noWrap/>
            <w:vAlign w:val="center"/>
            <w:hideMark/>
          </w:tcPr>
          <w:p w14:paraId="3A75589D"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150.8</w:t>
            </w:r>
          </w:p>
        </w:tc>
        <w:tc>
          <w:tcPr>
            <w:tcW w:w="733" w:type="dxa"/>
            <w:noWrap/>
            <w:vAlign w:val="center"/>
            <w:hideMark/>
          </w:tcPr>
          <w:p w14:paraId="42D554FA"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23%</w:t>
            </w:r>
          </w:p>
        </w:tc>
        <w:tc>
          <w:tcPr>
            <w:tcW w:w="2097" w:type="dxa"/>
            <w:noWrap/>
            <w:vAlign w:val="center"/>
            <w:hideMark/>
          </w:tcPr>
          <w:p w14:paraId="0D29E1C6" w14:textId="60A7AD09"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{"citationID":"SCl1nQzb","properties":{"formattedCitation":"(Kumari et al., 2018)","plainCitation":"(Kumari et al., 2018)","noteIndex":0},"citationItems":[{"id":16624,"uris":["http://zotero.org/groups/5509458/items/EQLBQ5YA"],"itemData":{"id":16624,"type":"article-journal","container-title":"Waste Management","DOI":"10.1016/j.wasman.2018.01.033","ISSN":"0956053X","journalAbbreviation":"Waste Management","language":"en","page":"486-498","source":"DOI.org (Crossref)","title":"Recovery of rare earths from spent NdFeB magnets of wind turbine: Leaching and kinetic aspects","title-short":"Recovery of rare earths from spent NdFeB magnets of wind turbine","volume":"75","author":[{"family":"Kumari","given":"Aarti"},{"family":"Sinha","given":"Manish Kumar"},{"family":"Pramanik","given":"Swati"},{"family":"Sahu","given":"Sushanta Kumar"}],"issued":{"date-parts":[["2018",5]]}}}],"schema":"https://github.com/citation-style-language/schema/raw/master/csl-citation.json"}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(Kumari et al., 2018)</w:t>
            </w:r>
            <w:r w:rsidRPr="00F73297">
              <w:rPr>
                <w:rFonts w:eastAsia="Aptos"/>
                <w:color w:val="0E2841"/>
                <w:kern w:val="2"/>
                <w:sz w:val="18"/>
                <w:szCs w:val="18"/>
              </w:rPr>
              <w:fldChar w:fldCharType="end"/>
            </w:r>
          </w:p>
        </w:tc>
      </w:tr>
      <w:tr w:rsidR="00250E9B" w:rsidRPr="00F73297" w14:paraId="7C509B37" w14:textId="77777777">
        <w:trPr>
          <w:trHeight w:val="23"/>
          <w:jc w:val="center"/>
        </w:trPr>
        <w:tc>
          <w:tcPr>
            <w:tcW w:w="1413" w:type="dxa"/>
            <w:vMerge/>
            <w:vAlign w:val="center"/>
          </w:tcPr>
          <w:p w14:paraId="66E6AD6E" w14:textId="77777777" w:rsidR="00250E9B" w:rsidRPr="00F73297" w:rsidRDefault="00250E9B">
            <w:pPr>
              <w:jc w:val="center"/>
              <w:rPr>
                <w:rFonts w:eastAsia="Aptos"/>
                <w:i/>
                <w:color w:val="0E2841"/>
                <w:kern w:val="2"/>
                <w:sz w:val="18"/>
                <w:szCs w:val="18"/>
              </w:rPr>
            </w:pPr>
          </w:p>
        </w:tc>
        <w:tc>
          <w:tcPr>
            <w:tcW w:w="1565" w:type="dxa"/>
            <w:vMerge/>
            <w:vAlign w:val="center"/>
          </w:tcPr>
          <w:p w14:paraId="3A983E63" w14:textId="77777777" w:rsidR="00250E9B" w:rsidRPr="00F73297" w:rsidRDefault="00250E9B">
            <w:pPr>
              <w:jc w:val="center"/>
              <w:rPr>
                <w:rFonts w:eastAsia="Aptos"/>
                <w:i/>
                <w:color w:val="0E2841"/>
                <w:kern w:val="2"/>
                <w:sz w:val="18"/>
                <w:szCs w:val="18"/>
              </w:rPr>
            </w:pPr>
          </w:p>
        </w:tc>
        <w:tc>
          <w:tcPr>
            <w:tcW w:w="1537" w:type="dxa"/>
            <w:noWrap/>
            <w:vAlign w:val="center"/>
          </w:tcPr>
          <w:p w14:paraId="7D9E253E"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616</w:t>
            </w:r>
          </w:p>
        </w:tc>
        <w:tc>
          <w:tcPr>
            <w:tcW w:w="1014" w:type="dxa"/>
            <w:noWrap/>
            <w:vAlign w:val="center"/>
          </w:tcPr>
          <w:p w14:paraId="3707AE17"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198</w:t>
            </w:r>
          </w:p>
        </w:tc>
        <w:tc>
          <w:tcPr>
            <w:tcW w:w="733" w:type="dxa"/>
            <w:noWrap/>
            <w:vAlign w:val="center"/>
          </w:tcPr>
          <w:p w14:paraId="3CAE77DB"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32%</w:t>
            </w:r>
          </w:p>
        </w:tc>
        <w:tc>
          <w:tcPr>
            <w:tcW w:w="2097" w:type="dxa"/>
            <w:noWrap/>
            <w:vAlign w:val="center"/>
          </w:tcPr>
          <w:p w14:paraId="0C38DBB0" w14:textId="05AA9CF6"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{"citationID":"jkb7R1GO","properties":{"formattedCitation":"(Hoenderdaal et al., 2013)","plainCitation":"(Hoenderdaal et al., 2013)","noteIndex":0},"citationItems":[{"id":16623,"uris":["http://zotero.org/groups/5509458/items/NVSRHB82"],"itemData":{"id":16623,"type":"article-journal","container-title":"Energy","DOI":"10.1016/j.energy.2012.10.043","ISSN":"03605442","journalAbbreviation":"Energy","language":"en","license":"https://www.elsevier.com/tdm/userlicense/1.0/","page":"344-355","source":"DOI.org (Crossref)","title":"Can a dysprosium shortage threaten green energy technologies?","volume":"49","author":[{"family":"Hoenderdaal","given":"Sander"},{"family":"Tercero Espinoza","given":"Luis"},{"family":"Marscheider-Weidemann","given":"Frank"},{"family":"Graus","given":"Wina"}],"issued":{"date-parts":[["2013",1]]}}}],"schema":"https://github.com/citation-style-language/schema/raw/master/csl-citation.json"}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w:t>
            </w:r>
            <w:proofErr w:type="spellStart"/>
            <w:r w:rsidR="008836FB">
              <w:rPr>
                <w:rFonts w:eastAsia="Aptos"/>
                <w:i/>
                <w:color w:val="0E2841"/>
                <w:kern w:val="2"/>
                <w:sz w:val="18"/>
                <w:szCs w:val="18"/>
              </w:rPr>
              <w:t>Hoenderdaal</w:t>
            </w:r>
            <w:proofErr w:type="spellEnd"/>
            <w:r w:rsidR="008836FB">
              <w:rPr>
                <w:rFonts w:eastAsia="Aptos"/>
                <w:i/>
                <w:color w:val="0E2841"/>
                <w:kern w:val="2"/>
                <w:sz w:val="18"/>
                <w:szCs w:val="18"/>
              </w:rPr>
              <w:t xml:space="preserve"> et al., 2013)</w:t>
            </w:r>
            <w:r w:rsidRPr="00F73297">
              <w:rPr>
                <w:rFonts w:eastAsia="Aptos"/>
                <w:color w:val="0E2841"/>
                <w:kern w:val="2"/>
                <w:sz w:val="18"/>
                <w:szCs w:val="18"/>
              </w:rPr>
              <w:fldChar w:fldCharType="end"/>
            </w:r>
          </w:p>
        </w:tc>
      </w:tr>
      <w:tr w:rsidR="00250E9B" w:rsidRPr="00F73297" w14:paraId="0897E34D" w14:textId="77777777">
        <w:trPr>
          <w:trHeight w:val="23"/>
          <w:jc w:val="center"/>
        </w:trPr>
        <w:tc>
          <w:tcPr>
            <w:tcW w:w="1413" w:type="dxa"/>
            <w:vMerge/>
            <w:vAlign w:val="center"/>
          </w:tcPr>
          <w:p w14:paraId="3B5F9A98" w14:textId="77777777" w:rsidR="00250E9B" w:rsidRPr="00F73297" w:rsidRDefault="00250E9B">
            <w:pPr>
              <w:jc w:val="center"/>
              <w:rPr>
                <w:rFonts w:eastAsia="Aptos"/>
                <w:i/>
                <w:color w:val="0E2841"/>
                <w:kern w:val="2"/>
                <w:sz w:val="18"/>
                <w:szCs w:val="18"/>
              </w:rPr>
            </w:pPr>
          </w:p>
        </w:tc>
        <w:tc>
          <w:tcPr>
            <w:tcW w:w="1565" w:type="dxa"/>
            <w:vMerge/>
            <w:vAlign w:val="center"/>
          </w:tcPr>
          <w:p w14:paraId="5DBA9EBF" w14:textId="77777777" w:rsidR="00250E9B" w:rsidRPr="00F73297" w:rsidRDefault="00250E9B">
            <w:pPr>
              <w:jc w:val="center"/>
              <w:rPr>
                <w:rFonts w:eastAsia="Aptos"/>
                <w:i/>
                <w:color w:val="0E2841"/>
                <w:kern w:val="2"/>
                <w:sz w:val="18"/>
                <w:szCs w:val="18"/>
              </w:rPr>
            </w:pPr>
          </w:p>
        </w:tc>
        <w:tc>
          <w:tcPr>
            <w:tcW w:w="1537" w:type="dxa"/>
            <w:noWrap/>
            <w:vAlign w:val="center"/>
          </w:tcPr>
          <w:p w14:paraId="5B68E3F2"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450</w:t>
            </w:r>
          </w:p>
        </w:tc>
        <w:tc>
          <w:tcPr>
            <w:tcW w:w="1014" w:type="dxa"/>
            <w:noWrap/>
            <w:vAlign w:val="center"/>
          </w:tcPr>
          <w:p w14:paraId="61FD9D98"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183</w:t>
            </w:r>
          </w:p>
        </w:tc>
        <w:tc>
          <w:tcPr>
            <w:tcW w:w="733" w:type="dxa"/>
            <w:noWrap/>
            <w:vAlign w:val="center"/>
          </w:tcPr>
          <w:p w14:paraId="5993B286"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41%</w:t>
            </w:r>
          </w:p>
        </w:tc>
        <w:tc>
          <w:tcPr>
            <w:tcW w:w="2097" w:type="dxa"/>
            <w:noWrap/>
            <w:vAlign w:val="center"/>
          </w:tcPr>
          <w:p w14:paraId="1234A483" w14:textId="56F6A451"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{"citationID":"eJ0OuHc9","properties":{"formattedCitation":"(Elshkaki &amp; Shen, 2019)","plainCitation":"(Elshkaki &amp; Shen, 2019)","noteIndex":0},"citationItems":[{"id":16580,"uris":["http://zotero.org/groups/5509458/items/29GCVUC4"],"itemData":{"id":16580,"type":"article-journal","container-title":"Energy","DOI":"10.1016/j.energy.2019.05.156","ISSN":"03605442","journalAbbreviation":"Energy","language":"en","page":"903-917","source":"DOI.org (Crossref)","title":"Energy-material nexus: The impacts of national and international energy scenarios on critical metals use in China up to 2050 and their global implications","title-short":"Energy-material nexus","volume":"180","author":[{"family":"Elshkaki","given":"Ayman"},{"family":"Shen","given":"Lei"}],"issued":{"date-parts":[["2019",8]]}}}],"schema":"https://github.com/citation-style-language/schema/raw/master/csl-citation.json"}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w:t>
            </w:r>
            <w:proofErr w:type="spellStart"/>
            <w:r w:rsidR="008836FB">
              <w:rPr>
                <w:rFonts w:eastAsia="Aptos"/>
                <w:i/>
                <w:color w:val="0E2841"/>
                <w:kern w:val="2"/>
                <w:sz w:val="18"/>
                <w:szCs w:val="18"/>
              </w:rPr>
              <w:t>Elshkaki</w:t>
            </w:r>
            <w:proofErr w:type="spellEnd"/>
            <w:r w:rsidR="008836FB">
              <w:rPr>
                <w:rFonts w:eastAsia="Aptos"/>
                <w:i/>
                <w:color w:val="0E2841"/>
                <w:kern w:val="2"/>
                <w:sz w:val="18"/>
                <w:szCs w:val="18"/>
              </w:rPr>
              <w:t xml:space="preserve"> &amp; Shen, 2019)</w:t>
            </w:r>
            <w:r w:rsidRPr="00F73297">
              <w:rPr>
                <w:rFonts w:eastAsia="Aptos"/>
                <w:color w:val="0E2841"/>
                <w:kern w:val="2"/>
                <w:sz w:val="18"/>
                <w:szCs w:val="18"/>
              </w:rPr>
              <w:fldChar w:fldCharType="end"/>
            </w:r>
          </w:p>
        </w:tc>
      </w:tr>
    </w:tbl>
    <w:p w14:paraId="45F7ACCE" w14:textId="77777777" w:rsidR="00250E9B" w:rsidRDefault="00250E9B" w:rsidP="00250E9B">
      <w:pPr>
        <w:jc w:val="center"/>
        <w:rPr>
          <w:color w:val="0E2841"/>
          <w:sz w:val="18"/>
          <w:szCs w:val="18"/>
        </w:rPr>
      </w:pPr>
    </w:p>
    <w:p w14:paraId="49AD3EA4" w14:textId="77777777" w:rsidR="00250E9B" w:rsidRDefault="00250E9B" w:rsidP="00250E9B">
      <w:pPr>
        <w:jc w:val="center"/>
        <w:rPr>
          <w:color w:val="0E2841"/>
          <w:sz w:val="18"/>
          <w:szCs w:val="18"/>
        </w:rPr>
      </w:pPr>
    </w:p>
    <w:p w14:paraId="1648F152" w14:textId="57D7BE0A" w:rsidR="00250E9B" w:rsidRDefault="00250E9B" w:rsidP="00250E9B">
      <w:pPr>
        <w:jc w:val="center"/>
        <w:rPr>
          <w:color w:val="0E2841"/>
          <w:sz w:val="18"/>
          <w:szCs w:val="18"/>
        </w:rPr>
      </w:pPr>
      <w:r w:rsidRPr="00F05D5B">
        <w:rPr>
          <w:b/>
          <w:color w:val="0E2841"/>
          <w:sz w:val="18"/>
          <w:szCs w:val="18"/>
        </w:rPr>
        <w:t>Table S</w:t>
      </w:r>
      <w:r>
        <w:rPr>
          <w:b/>
          <w:color w:val="0E2841"/>
          <w:sz w:val="18"/>
          <w:szCs w:val="18"/>
        </w:rPr>
        <w:t>1.1</w:t>
      </w:r>
      <w:r w:rsidR="0029776D">
        <w:rPr>
          <w:b/>
          <w:color w:val="0E2841"/>
          <w:sz w:val="18"/>
          <w:szCs w:val="18"/>
        </w:rPr>
        <w:t>3</w:t>
      </w:r>
      <w:r w:rsidRPr="00F05D5B">
        <w:rPr>
          <w:b/>
          <w:color w:val="0E2841"/>
          <w:sz w:val="18"/>
          <w:szCs w:val="18"/>
        </w:rPr>
        <w:t>:</w:t>
      </w:r>
      <w:r w:rsidRPr="00F05D5B">
        <w:rPr>
          <w:color w:val="0E2841"/>
          <w:sz w:val="18"/>
          <w:szCs w:val="18"/>
        </w:rPr>
        <w:t xml:space="preserve"> </w:t>
      </w:r>
      <w:r>
        <w:rPr>
          <w:color w:val="0E2841"/>
          <w:sz w:val="18"/>
          <w:szCs w:val="18"/>
        </w:rPr>
        <w:t>P</w:t>
      </w:r>
      <w:r w:rsidRPr="00F05D5B">
        <w:rPr>
          <w:color w:val="0E2841"/>
          <w:sz w:val="18"/>
          <w:szCs w:val="18"/>
        </w:rPr>
        <w:t>raseodymium</w:t>
      </w:r>
      <w:r>
        <w:rPr>
          <w:color w:val="0E2841"/>
          <w:sz w:val="18"/>
          <w:szCs w:val="18"/>
        </w:rPr>
        <w:t xml:space="preserve"> </w:t>
      </w:r>
      <w:r w:rsidRPr="00F05D5B">
        <w:rPr>
          <w:color w:val="0E2841"/>
          <w:sz w:val="18"/>
          <w:szCs w:val="18"/>
        </w:rPr>
        <w:t xml:space="preserve">intensities [kg/MW] in neodymium-iron-boron (NdFeB) permanent magnets in </w:t>
      </w:r>
      <w:proofErr w:type="spellStart"/>
      <w:r w:rsidRPr="00F05D5B">
        <w:rPr>
          <w:color w:val="0E2841"/>
          <w:sz w:val="18"/>
          <w:szCs w:val="18"/>
        </w:rPr>
        <w:t>dirent</w:t>
      </w:r>
      <w:proofErr w:type="spellEnd"/>
      <w:r w:rsidRPr="00F05D5B">
        <w:rPr>
          <w:color w:val="0E2841"/>
          <w:sz w:val="18"/>
          <w:szCs w:val="18"/>
        </w:rPr>
        <w:t>-drive systems (DD-PMSG) reported in previous studies.</w:t>
      </w:r>
    </w:p>
    <w:tbl>
      <w:tblPr>
        <w:tblW w:w="8359"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413"/>
        <w:gridCol w:w="1565"/>
        <w:gridCol w:w="1537"/>
        <w:gridCol w:w="1014"/>
        <w:gridCol w:w="733"/>
        <w:gridCol w:w="2097"/>
      </w:tblGrid>
      <w:tr w:rsidR="00250E9B" w:rsidRPr="00F73297" w14:paraId="53D34056" w14:textId="77777777">
        <w:trPr>
          <w:trHeight w:val="23"/>
          <w:jc w:val="center"/>
        </w:trPr>
        <w:tc>
          <w:tcPr>
            <w:tcW w:w="1413" w:type="dxa"/>
            <w:vAlign w:val="center"/>
          </w:tcPr>
          <w:p w14:paraId="075EA52B"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Sub-technology</w:t>
            </w:r>
          </w:p>
        </w:tc>
        <w:tc>
          <w:tcPr>
            <w:tcW w:w="1565" w:type="dxa"/>
            <w:vAlign w:val="center"/>
          </w:tcPr>
          <w:p w14:paraId="54F315F2"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Material</w:t>
            </w:r>
          </w:p>
        </w:tc>
        <w:tc>
          <w:tcPr>
            <w:tcW w:w="1537" w:type="dxa"/>
            <w:noWrap/>
            <w:vAlign w:val="center"/>
          </w:tcPr>
          <w:p w14:paraId="0C9DCF04"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NdFeB Magnet Kg/MW</w:t>
            </w:r>
          </w:p>
        </w:tc>
        <w:tc>
          <w:tcPr>
            <w:tcW w:w="1014" w:type="dxa"/>
            <w:noWrap/>
            <w:vAlign w:val="center"/>
          </w:tcPr>
          <w:p w14:paraId="1D1B87B9"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Kg/MW</w:t>
            </w:r>
          </w:p>
        </w:tc>
        <w:tc>
          <w:tcPr>
            <w:tcW w:w="733" w:type="dxa"/>
            <w:noWrap/>
            <w:vAlign w:val="center"/>
          </w:tcPr>
          <w:p w14:paraId="443291AF"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%w</w:t>
            </w:r>
          </w:p>
        </w:tc>
        <w:tc>
          <w:tcPr>
            <w:tcW w:w="2097" w:type="dxa"/>
            <w:noWrap/>
            <w:vAlign w:val="center"/>
          </w:tcPr>
          <w:p w14:paraId="630BB95E"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Source</w:t>
            </w:r>
          </w:p>
        </w:tc>
      </w:tr>
      <w:tr w:rsidR="00250E9B" w:rsidRPr="00F73297" w14:paraId="6B85D617" w14:textId="77777777">
        <w:trPr>
          <w:trHeight w:val="23"/>
          <w:jc w:val="center"/>
        </w:trPr>
        <w:tc>
          <w:tcPr>
            <w:tcW w:w="1413" w:type="dxa"/>
            <w:vMerge w:val="restart"/>
            <w:vAlign w:val="center"/>
            <w:hideMark/>
          </w:tcPr>
          <w:p w14:paraId="6A580060"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DD-PMSG</w:t>
            </w:r>
          </w:p>
        </w:tc>
        <w:tc>
          <w:tcPr>
            <w:tcW w:w="1565" w:type="dxa"/>
            <w:vMerge w:val="restart"/>
            <w:vAlign w:val="center"/>
            <w:hideMark/>
          </w:tcPr>
          <w:p w14:paraId="4D135A9C"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Praseodymium</w:t>
            </w:r>
            <w:r w:rsidRPr="00F73297">
              <w:rPr>
                <w:rFonts w:eastAsia="Aptos"/>
                <w:i/>
                <w:color w:val="0E2841"/>
                <w:kern w:val="2"/>
                <w:sz w:val="18"/>
                <w:szCs w:val="18"/>
              </w:rPr>
              <w:br/>
            </w:r>
            <w:proofErr w:type="spellStart"/>
            <w:r w:rsidRPr="00F73297">
              <w:rPr>
                <w:rFonts w:eastAsia="Aptos"/>
                <w:i/>
                <w:color w:val="0E2841"/>
                <w:kern w:val="2"/>
                <w:sz w:val="18"/>
                <w:szCs w:val="18"/>
              </w:rPr>
              <w:t>Pr</w:t>
            </w:r>
            <w:proofErr w:type="spellEnd"/>
          </w:p>
        </w:tc>
        <w:tc>
          <w:tcPr>
            <w:tcW w:w="1537" w:type="dxa"/>
            <w:noWrap/>
            <w:vAlign w:val="center"/>
          </w:tcPr>
          <w:p w14:paraId="7A87F68C"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650</w:t>
            </w:r>
          </w:p>
        </w:tc>
        <w:tc>
          <w:tcPr>
            <w:tcW w:w="1014" w:type="dxa"/>
            <w:noWrap/>
            <w:vAlign w:val="center"/>
          </w:tcPr>
          <w:p w14:paraId="4D0A5DEE"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13</w:t>
            </w:r>
          </w:p>
        </w:tc>
        <w:tc>
          <w:tcPr>
            <w:tcW w:w="733" w:type="dxa"/>
            <w:noWrap/>
            <w:vAlign w:val="center"/>
          </w:tcPr>
          <w:p w14:paraId="21C26415"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2%</w:t>
            </w:r>
          </w:p>
        </w:tc>
        <w:tc>
          <w:tcPr>
            <w:tcW w:w="2097" w:type="dxa"/>
            <w:noWrap/>
            <w:vAlign w:val="center"/>
          </w:tcPr>
          <w:p w14:paraId="39862D55" w14:textId="5BEA9448"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{"citationID":"0MfYormd","properties":{"formattedCitation":"(Imholte et al., 2018)","plainCitation":"(Imholte et al., 2018)","noteIndex":0},"citationItems":[{"id":15297,"uris":["http://zotero.org/groups/4945499/items/C6VKLB3M"],"itemData":{"id":15297,"type":"article-journal","abstract":"Global initiatives are focused on deploying clean energy technologies, such as wind energy, to reduce greenhouse gas emissions. U.S. onshore and oﬀshore wind targets have been particularly aggressive. Some wind energy technologies, such as direct-drive wind turbines, rely on a volatile and Chinese-concentrated rare earth element (REE) supply chain. Global eﬀorts have been made to develop new sources of REEs, with limited success. This lack of rare earth availability has been suggested to inhibit direct-drive adoption, despite its energy eﬃciency beneﬁts. However, it is unclear if new U.S. REE supply could adequately support onshore and oﬀshore direct-drive wind energy growth, and help meet U.S. wind energy targets. This analysis estimates U.S. and Chinese REE availability that could support U.S. direct-drive and other REE demand. Results indicated that U.S. wind installation targets with solely direct-drive designs could only require 4–12% of maximum light rare earth production from Mountain Pass, Bear Lodge and phosphate rock mines. When considering market dynamics and hypothetical U.S. production, U.S. light REE production capacity was not able to provide suﬃcient light rare earths to achieve wind energy targets. U.S. wind energy targets could be achieved by prioritizing 3–17% of U.S. light REE production for direct-drive wind energy.","container-title":"Energy Policy","DOI":"10.1016/j.enpol.2017.11.001","ISSN":"03014215","journalAbbreviation":"Energy Policy","language":"en","page":"294-305","source":"DOI.org (Crossref)","title":"An assessment of U.S. rare earth availability for supporting U.S. wind energy growth targets","volume":"113","author":[{"family":"Imholte","given":"D.D."},{"family":"Nguyen","given":"R.T."},{"family":"Vedantam","given":"A."},{"family":"Brown","given":"M."},{"family":"Iyer","given":"A."},{"family":"Smith","given":"B.J."},{"family":"Collins","given":"J.W."},{"family":"Anderson","given":"C.G."},{"family":"O’Kelley","given":"B."}],"issued":{"date-parts":[["2018",2]]}}}],"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(Imholte et al., 2018)</w:t>
            </w:r>
            <w:r w:rsidRPr="00F73297">
              <w:rPr>
                <w:rFonts w:eastAsia="Aptos"/>
                <w:color w:val="0E2841"/>
                <w:kern w:val="2"/>
                <w:sz w:val="18"/>
                <w:szCs w:val="18"/>
              </w:rPr>
              <w:fldChar w:fldCharType="end"/>
            </w:r>
          </w:p>
        </w:tc>
      </w:tr>
      <w:tr w:rsidR="00250E9B" w:rsidRPr="00F73297" w14:paraId="0DF59BCD" w14:textId="77777777">
        <w:trPr>
          <w:trHeight w:val="23"/>
          <w:jc w:val="center"/>
        </w:trPr>
        <w:tc>
          <w:tcPr>
            <w:tcW w:w="1413" w:type="dxa"/>
            <w:vMerge/>
            <w:vAlign w:val="center"/>
            <w:hideMark/>
          </w:tcPr>
          <w:p w14:paraId="087323C0" w14:textId="77777777" w:rsidR="00250E9B" w:rsidRPr="00F73297" w:rsidRDefault="00250E9B">
            <w:pPr>
              <w:jc w:val="center"/>
              <w:rPr>
                <w:rFonts w:eastAsia="Aptos"/>
                <w:i/>
                <w:color w:val="0E2841"/>
                <w:kern w:val="2"/>
                <w:sz w:val="18"/>
                <w:szCs w:val="18"/>
              </w:rPr>
            </w:pPr>
          </w:p>
        </w:tc>
        <w:tc>
          <w:tcPr>
            <w:tcW w:w="1565" w:type="dxa"/>
            <w:vMerge/>
            <w:vAlign w:val="center"/>
            <w:hideMark/>
          </w:tcPr>
          <w:p w14:paraId="442F25BC" w14:textId="77777777" w:rsidR="00250E9B" w:rsidRPr="00F73297" w:rsidRDefault="00250E9B">
            <w:pPr>
              <w:jc w:val="center"/>
              <w:rPr>
                <w:rFonts w:eastAsia="Aptos"/>
                <w:i/>
                <w:color w:val="0E2841"/>
                <w:kern w:val="2"/>
                <w:sz w:val="18"/>
                <w:szCs w:val="18"/>
              </w:rPr>
            </w:pPr>
          </w:p>
        </w:tc>
        <w:tc>
          <w:tcPr>
            <w:tcW w:w="1537" w:type="dxa"/>
            <w:noWrap/>
            <w:vAlign w:val="center"/>
          </w:tcPr>
          <w:p w14:paraId="5FC784D9"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650</w:t>
            </w:r>
          </w:p>
        </w:tc>
        <w:tc>
          <w:tcPr>
            <w:tcW w:w="1014" w:type="dxa"/>
            <w:noWrap/>
            <w:vAlign w:val="center"/>
          </w:tcPr>
          <w:p w14:paraId="044053B9"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43.875</w:t>
            </w:r>
          </w:p>
        </w:tc>
        <w:tc>
          <w:tcPr>
            <w:tcW w:w="733" w:type="dxa"/>
            <w:noWrap/>
            <w:vAlign w:val="center"/>
          </w:tcPr>
          <w:p w14:paraId="32D8A059"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7%</w:t>
            </w:r>
          </w:p>
        </w:tc>
        <w:tc>
          <w:tcPr>
            <w:tcW w:w="2097" w:type="dxa"/>
            <w:noWrap/>
            <w:vAlign w:val="center"/>
          </w:tcPr>
          <w:p w14:paraId="3B8C3C64" w14:textId="5C5B58CD"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{"citationID":"X20tZrz0","properties":{"formattedCitation":"(J. Li et al., 2020)","plainCitation":"(J. Li et al., 2020)","noteIndex":0},"citationItems":[{"id":16633,"uris":["http://zotero.org/groups/5509458/items/SG24R7JJ"],"itemData":{"id":16633,"type":"article-journal","container-title":"One Earth","DOI":"10.1016/j.oneear.2020.06.009","ISSN":"25903322","issue":"1","journalAbbreviation":"One Earth","language":"en","page":"116-125","source":"DOI.org (Crossref)","title":"Critical Rare-Earth Elements Mismatch Global Wind-Power Ambitions","volume":"3","author":[{"family":"Li","given":"Jiashuo"},{"family":"Peng","given":"Kun"},{"family":"Wang","given":"Peng"},{"family":"Zhang","given":"Ning"},{"family":"Feng","given":"Kuishuang"},{"family":"Guan","given":"Dabo"},{"family":"Meng","given":"Jing"},{"family":"Wei","given":"Wendong"},{"family":"Yang","given":"Qing"}],"issued":{"date-parts":[["2020",7]]}}}],"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(J. Li et al., 2020)</w:t>
            </w:r>
            <w:r w:rsidRPr="00F73297">
              <w:rPr>
                <w:rFonts w:eastAsia="Aptos"/>
                <w:color w:val="0E2841"/>
                <w:kern w:val="2"/>
                <w:sz w:val="18"/>
                <w:szCs w:val="18"/>
              </w:rPr>
              <w:fldChar w:fldCharType="end"/>
            </w:r>
          </w:p>
        </w:tc>
      </w:tr>
      <w:tr w:rsidR="00250E9B" w:rsidRPr="00F73297" w14:paraId="586D5578" w14:textId="77777777">
        <w:trPr>
          <w:trHeight w:val="23"/>
          <w:jc w:val="center"/>
        </w:trPr>
        <w:tc>
          <w:tcPr>
            <w:tcW w:w="1413" w:type="dxa"/>
            <w:vMerge/>
            <w:vAlign w:val="center"/>
            <w:hideMark/>
          </w:tcPr>
          <w:p w14:paraId="2266C84A" w14:textId="77777777" w:rsidR="00250E9B" w:rsidRPr="00F73297" w:rsidRDefault="00250E9B">
            <w:pPr>
              <w:jc w:val="center"/>
              <w:rPr>
                <w:rFonts w:eastAsia="Aptos"/>
                <w:i/>
                <w:color w:val="0E2841"/>
                <w:kern w:val="2"/>
                <w:sz w:val="18"/>
                <w:szCs w:val="18"/>
              </w:rPr>
            </w:pPr>
          </w:p>
        </w:tc>
        <w:tc>
          <w:tcPr>
            <w:tcW w:w="1565" w:type="dxa"/>
            <w:vMerge/>
            <w:vAlign w:val="center"/>
            <w:hideMark/>
          </w:tcPr>
          <w:p w14:paraId="5C1E76EE" w14:textId="77777777" w:rsidR="00250E9B" w:rsidRPr="00F73297" w:rsidRDefault="00250E9B">
            <w:pPr>
              <w:jc w:val="center"/>
              <w:rPr>
                <w:rFonts w:eastAsia="Aptos"/>
                <w:i/>
                <w:color w:val="0E2841"/>
                <w:kern w:val="2"/>
                <w:sz w:val="18"/>
                <w:szCs w:val="18"/>
              </w:rPr>
            </w:pPr>
          </w:p>
        </w:tc>
        <w:tc>
          <w:tcPr>
            <w:tcW w:w="1537" w:type="dxa"/>
            <w:noWrap/>
            <w:vAlign w:val="center"/>
          </w:tcPr>
          <w:p w14:paraId="17C55D35"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650</w:t>
            </w:r>
          </w:p>
        </w:tc>
        <w:tc>
          <w:tcPr>
            <w:tcW w:w="1014" w:type="dxa"/>
            <w:noWrap/>
            <w:vAlign w:val="center"/>
          </w:tcPr>
          <w:p w14:paraId="09957E71"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36.4</w:t>
            </w:r>
          </w:p>
        </w:tc>
        <w:tc>
          <w:tcPr>
            <w:tcW w:w="733" w:type="dxa"/>
            <w:noWrap/>
            <w:vAlign w:val="center"/>
          </w:tcPr>
          <w:p w14:paraId="472073C4"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6%</w:t>
            </w:r>
          </w:p>
        </w:tc>
        <w:tc>
          <w:tcPr>
            <w:tcW w:w="2097" w:type="dxa"/>
            <w:noWrap/>
            <w:vAlign w:val="center"/>
          </w:tcPr>
          <w:p w14:paraId="43060151" w14:textId="31786B6B"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{"citationID":"UHboLurv","properties":{"formattedCitation":"(Kumari et al., 2018)","plainCitation":"(Kumari et al., 2018)","noteIndex":0},"citationItems":[{"id":16624,"uris":["http://zotero.org/groups/5509458/items/EQLBQ5YA"],"itemData":{"id":16624,"type":"article-journal","container-title":"Waste Management","DOI":"10.1016/j.wasman.2018.01.033","ISSN":"0956053X","journalAbbreviation":"Waste Management","language":"en","page":"486-498","source":"DOI.org (Crossref)","title":"Recovery of rare earths from spent NdFeB magnets of wind turbine: Leaching and kinetic aspects","title-short":"Recovery of rare earths from spent NdFeB magnets of wind turbine","volume":"75","author":[{"family":"Kumari","given":"Aarti"},{"family":"Sinha","given":"Manish Kumar"},{"family":"Pramanik","given":"Swati"},{"family":"Sahu","given":"Sushanta Kumar"}],"issued":{"date-parts":[["2018",5]]}}}],"schema":"https://github.com/citation-style-language/schema/raw/master/csl-citation.json"}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(Kumari et al., 2018)</w:t>
            </w:r>
            <w:r w:rsidRPr="00F73297">
              <w:rPr>
                <w:rFonts w:eastAsia="Aptos"/>
                <w:color w:val="0E2841"/>
                <w:kern w:val="2"/>
                <w:sz w:val="18"/>
                <w:szCs w:val="18"/>
              </w:rPr>
              <w:fldChar w:fldCharType="end"/>
            </w:r>
          </w:p>
        </w:tc>
      </w:tr>
      <w:tr w:rsidR="00250E9B" w:rsidRPr="00F73297" w14:paraId="227C0D39" w14:textId="77777777">
        <w:trPr>
          <w:trHeight w:val="23"/>
          <w:jc w:val="center"/>
        </w:trPr>
        <w:tc>
          <w:tcPr>
            <w:tcW w:w="1413" w:type="dxa"/>
            <w:vMerge/>
            <w:vAlign w:val="center"/>
          </w:tcPr>
          <w:p w14:paraId="7574BCA6" w14:textId="77777777" w:rsidR="00250E9B" w:rsidRPr="00F73297" w:rsidRDefault="00250E9B">
            <w:pPr>
              <w:jc w:val="center"/>
              <w:rPr>
                <w:rFonts w:eastAsia="Aptos"/>
                <w:i/>
                <w:color w:val="0E2841"/>
                <w:kern w:val="2"/>
                <w:sz w:val="18"/>
                <w:szCs w:val="18"/>
              </w:rPr>
            </w:pPr>
          </w:p>
        </w:tc>
        <w:tc>
          <w:tcPr>
            <w:tcW w:w="1565" w:type="dxa"/>
            <w:vMerge/>
            <w:vAlign w:val="center"/>
          </w:tcPr>
          <w:p w14:paraId="1A762744" w14:textId="77777777" w:rsidR="00250E9B" w:rsidRPr="00F73297" w:rsidRDefault="00250E9B">
            <w:pPr>
              <w:jc w:val="center"/>
              <w:rPr>
                <w:rFonts w:eastAsia="Aptos"/>
                <w:i/>
                <w:color w:val="0E2841"/>
                <w:kern w:val="2"/>
                <w:sz w:val="18"/>
                <w:szCs w:val="18"/>
              </w:rPr>
            </w:pPr>
          </w:p>
        </w:tc>
        <w:tc>
          <w:tcPr>
            <w:tcW w:w="1537" w:type="dxa"/>
            <w:noWrap/>
            <w:vAlign w:val="center"/>
          </w:tcPr>
          <w:p w14:paraId="41CD1207"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450</w:t>
            </w:r>
          </w:p>
        </w:tc>
        <w:tc>
          <w:tcPr>
            <w:tcW w:w="1014" w:type="dxa"/>
            <w:noWrap/>
            <w:vAlign w:val="center"/>
          </w:tcPr>
          <w:p w14:paraId="73396477"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48</w:t>
            </w:r>
          </w:p>
        </w:tc>
        <w:tc>
          <w:tcPr>
            <w:tcW w:w="733" w:type="dxa"/>
            <w:noWrap/>
            <w:vAlign w:val="center"/>
          </w:tcPr>
          <w:p w14:paraId="7BD025D5"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11%</w:t>
            </w:r>
          </w:p>
        </w:tc>
        <w:tc>
          <w:tcPr>
            <w:tcW w:w="2097" w:type="dxa"/>
            <w:noWrap/>
            <w:vAlign w:val="center"/>
          </w:tcPr>
          <w:p w14:paraId="7B485F46" w14:textId="26392B9E"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{"citationID":"DJoN5LeG","properties":{"formattedCitation":"(Elshkaki &amp; Shen, 2019)","plainCitation":"(Elshkaki &amp; Shen, 2019)","noteIndex":0},"citationItems":[{"id":16580,"uris":["http://zotero.org/groups/5509458/items/29GCVUC4"],"itemData":{"id":16580,"type":"article-journal","container-title":"Energy","DOI":"10.1016/j.energy.2019.05.156","ISSN":"03605442","journalAbbreviation":"Energy","language":"en","page":"903-917","source":"DOI.org (Crossref)","title":"Energy-material nexus: The impacts of national and international energy scenarios on critical metals use in China up to 2050 and their global implications","title-short":"Energy-material nexus","volume":"180","author":[{"family":"Elshkaki","given":"Ayman"},{"family":"Shen","given":"Lei"}],"issued":{"date-parts":[["2019",8]]}}}],"schema":"https://github.com/citation-style-language/schema/raw/master/csl-citation.json"}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w:t>
            </w:r>
            <w:proofErr w:type="spellStart"/>
            <w:r w:rsidR="008836FB">
              <w:rPr>
                <w:rFonts w:eastAsia="Aptos"/>
                <w:i/>
                <w:color w:val="0E2841"/>
                <w:kern w:val="2"/>
                <w:sz w:val="18"/>
                <w:szCs w:val="18"/>
              </w:rPr>
              <w:t>Elshkaki</w:t>
            </w:r>
            <w:proofErr w:type="spellEnd"/>
            <w:r w:rsidR="008836FB">
              <w:rPr>
                <w:rFonts w:eastAsia="Aptos"/>
                <w:i/>
                <w:color w:val="0E2841"/>
                <w:kern w:val="2"/>
                <w:sz w:val="18"/>
                <w:szCs w:val="18"/>
              </w:rPr>
              <w:t xml:space="preserve"> &amp; Shen, 2019)</w:t>
            </w:r>
            <w:r w:rsidRPr="00F73297">
              <w:rPr>
                <w:rFonts w:eastAsia="Aptos"/>
                <w:color w:val="0E2841"/>
                <w:kern w:val="2"/>
                <w:sz w:val="18"/>
                <w:szCs w:val="18"/>
              </w:rPr>
              <w:fldChar w:fldCharType="end"/>
            </w:r>
          </w:p>
        </w:tc>
      </w:tr>
    </w:tbl>
    <w:p w14:paraId="0C1402E0" w14:textId="77777777" w:rsidR="00250E9B" w:rsidRDefault="00250E9B" w:rsidP="00250E9B">
      <w:pPr>
        <w:jc w:val="both"/>
        <w:rPr>
          <w:sz w:val="22"/>
          <w:szCs w:val="22"/>
        </w:rPr>
      </w:pPr>
    </w:p>
    <w:p w14:paraId="76BF0391" w14:textId="77777777" w:rsidR="00250E9B" w:rsidRDefault="00250E9B" w:rsidP="00250E9B">
      <w:pPr>
        <w:jc w:val="both"/>
        <w:rPr>
          <w:sz w:val="22"/>
          <w:szCs w:val="22"/>
        </w:rPr>
      </w:pPr>
    </w:p>
    <w:p w14:paraId="18F8DAB9" w14:textId="77777777" w:rsidR="00250E9B" w:rsidRDefault="00250E9B" w:rsidP="00250E9B">
      <w:pPr>
        <w:jc w:val="both"/>
        <w:rPr>
          <w:sz w:val="22"/>
          <w:szCs w:val="22"/>
        </w:rPr>
      </w:pPr>
    </w:p>
    <w:p w14:paraId="1DEBA73A" w14:textId="77777777" w:rsidR="00250E9B" w:rsidRDefault="00250E9B" w:rsidP="00250E9B">
      <w:pPr>
        <w:jc w:val="both"/>
        <w:rPr>
          <w:sz w:val="22"/>
          <w:szCs w:val="22"/>
        </w:rPr>
      </w:pPr>
    </w:p>
    <w:p w14:paraId="747B2280" w14:textId="77777777" w:rsidR="00250E9B" w:rsidRDefault="00250E9B" w:rsidP="00250E9B">
      <w:pPr>
        <w:jc w:val="both"/>
        <w:rPr>
          <w:sz w:val="22"/>
          <w:szCs w:val="22"/>
        </w:rPr>
      </w:pPr>
    </w:p>
    <w:p w14:paraId="32E77ED0" w14:textId="1482BC1F" w:rsidR="00250E9B" w:rsidRPr="007D628B" w:rsidRDefault="00250E9B" w:rsidP="00250E9B">
      <w:pPr>
        <w:jc w:val="center"/>
        <w:rPr>
          <w:color w:val="0E2841"/>
          <w:sz w:val="18"/>
          <w:szCs w:val="18"/>
        </w:rPr>
      </w:pPr>
      <w:r w:rsidRPr="00F05D5B">
        <w:rPr>
          <w:b/>
          <w:color w:val="0E2841"/>
          <w:sz w:val="18"/>
          <w:szCs w:val="18"/>
        </w:rPr>
        <w:t>Table S</w:t>
      </w:r>
      <w:r>
        <w:rPr>
          <w:b/>
          <w:color w:val="0E2841"/>
          <w:sz w:val="18"/>
          <w:szCs w:val="18"/>
        </w:rPr>
        <w:t>1.1</w:t>
      </w:r>
      <w:r w:rsidR="0029776D">
        <w:rPr>
          <w:b/>
          <w:color w:val="0E2841"/>
          <w:sz w:val="18"/>
          <w:szCs w:val="18"/>
        </w:rPr>
        <w:t>4</w:t>
      </w:r>
      <w:r w:rsidRPr="00F05D5B">
        <w:rPr>
          <w:b/>
          <w:color w:val="0E2841"/>
          <w:sz w:val="18"/>
          <w:szCs w:val="18"/>
        </w:rPr>
        <w:t>:</w:t>
      </w:r>
      <w:r>
        <w:rPr>
          <w:color w:val="0E2841"/>
          <w:sz w:val="18"/>
          <w:szCs w:val="18"/>
        </w:rPr>
        <w:t xml:space="preserve"> D</w:t>
      </w:r>
      <w:r w:rsidRPr="00F05D5B">
        <w:rPr>
          <w:color w:val="0E2841"/>
          <w:sz w:val="18"/>
          <w:szCs w:val="18"/>
        </w:rPr>
        <w:t>ysprosium</w:t>
      </w:r>
      <w:r w:rsidR="009033A9">
        <w:rPr>
          <w:color w:val="0E2841"/>
          <w:sz w:val="18"/>
          <w:szCs w:val="18"/>
        </w:rPr>
        <w:t xml:space="preserve"> </w:t>
      </w:r>
      <w:r w:rsidRPr="00F05D5B">
        <w:rPr>
          <w:color w:val="0E2841"/>
          <w:sz w:val="18"/>
          <w:szCs w:val="18"/>
        </w:rPr>
        <w:t xml:space="preserve">intensities [kg/MW] in neodymium-iron-boron (NdFeB) permanent magnets in </w:t>
      </w:r>
      <w:proofErr w:type="spellStart"/>
      <w:r w:rsidRPr="00F05D5B">
        <w:rPr>
          <w:color w:val="0E2841"/>
          <w:sz w:val="18"/>
          <w:szCs w:val="18"/>
        </w:rPr>
        <w:t>dirent</w:t>
      </w:r>
      <w:proofErr w:type="spellEnd"/>
      <w:r w:rsidRPr="00F05D5B">
        <w:rPr>
          <w:color w:val="0E2841"/>
          <w:sz w:val="18"/>
          <w:szCs w:val="18"/>
        </w:rPr>
        <w:t>-drive systems (DD-PMSG) reported in previous studies.</w:t>
      </w:r>
    </w:p>
    <w:tbl>
      <w:tblPr>
        <w:tblW w:w="8359"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413"/>
        <w:gridCol w:w="1565"/>
        <w:gridCol w:w="1537"/>
        <w:gridCol w:w="1014"/>
        <w:gridCol w:w="733"/>
        <w:gridCol w:w="2097"/>
      </w:tblGrid>
      <w:tr w:rsidR="00250E9B" w:rsidRPr="00F73297" w14:paraId="7C5F3536" w14:textId="77777777">
        <w:trPr>
          <w:trHeight w:val="23"/>
          <w:jc w:val="center"/>
        </w:trPr>
        <w:tc>
          <w:tcPr>
            <w:tcW w:w="1413" w:type="dxa"/>
            <w:vAlign w:val="center"/>
          </w:tcPr>
          <w:p w14:paraId="75F8C435"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Sub-technology</w:t>
            </w:r>
          </w:p>
        </w:tc>
        <w:tc>
          <w:tcPr>
            <w:tcW w:w="1565" w:type="dxa"/>
            <w:vAlign w:val="center"/>
          </w:tcPr>
          <w:p w14:paraId="638C0C81"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Material</w:t>
            </w:r>
          </w:p>
        </w:tc>
        <w:tc>
          <w:tcPr>
            <w:tcW w:w="1537" w:type="dxa"/>
            <w:noWrap/>
            <w:vAlign w:val="center"/>
          </w:tcPr>
          <w:p w14:paraId="0EC89665"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NdFeB Magnet Kg/MW</w:t>
            </w:r>
          </w:p>
        </w:tc>
        <w:tc>
          <w:tcPr>
            <w:tcW w:w="1014" w:type="dxa"/>
            <w:noWrap/>
            <w:vAlign w:val="center"/>
          </w:tcPr>
          <w:p w14:paraId="403E58E3"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Kg/MW</w:t>
            </w:r>
          </w:p>
        </w:tc>
        <w:tc>
          <w:tcPr>
            <w:tcW w:w="733" w:type="dxa"/>
            <w:noWrap/>
            <w:vAlign w:val="center"/>
          </w:tcPr>
          <w:p w14:paraId="32E4DF26"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%w</w:t>
            </w:r>
          </w:p>
        </w:tc>
        <w:tc>
          <w:tcPr>
            <w:tcW w:w="2097" w:type="dxa"/>
            <w:noWrap/>
            <w:vAlign w:val="center"/>
          </w:tcPr>
          <w:p w14:paraId="115170C0"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Source</w:t>
            </w:r>
          </w:p>
        </w:tc>
      </w:tr>
      <w:tr w:rsidR="00250E9B" w:rsidRPr="00F73297" w14:paraId="53B0E60B" w14:textId="77777777">
        <w:trPr>
          <w:trHeight w:val="23"/>
          <w:jc w:val="center"/>
        </w:trPr>
        <w:tc>
          <w:tcPr>
            <w:tcW w:w="1413" w:type="dxa"/>
            <w:vMerge w:val="restart"/>
            <w:vAlign w:val="center"/>
          </w:tcPr>
          <w:p w14:paraId="6B89530C"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DD-PMSG</w:t>
            </w:r>
          </w:p>
        </w:tc>
        <w:tc>
          <w:tcPr>
            <w:tcW w:w="1565" w:type="dxa"/>
            <w:vMerge w:val="restart"/>
            <w:vAlign w:val="center"/>
          </w:tcPr>
          <w:p w14:paraId="0E43EC12"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Dysprosium</w:t>
            </w:r>
            <w:r w:rsidRPr="00F73297">
              <w:rPr>
                <w:rFonts w:eastAsia="Aptos"/>
                <w:i/>
                <w:color w:val="0E2841"/>
                <w:kern w:val="2"/>
                <w:sz w:val="18"/>
                <w:szCs w:val="18"/>
              </w:rPr>
              <w:br/>
              <w:t>Dy</w:t>
            </w:r>
          </w:p>
        </w:tc>
        <w:tc>
          <w:tcPr>
            <w:tcW w:w="1537" w:type="dxa"/>
            <w:noWrap/>
            <w:vAlign w:val="center"/>
          </w:tcPr>
          <w:p w14:paraId="5EC439FE"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650</w:t>
            </w:r>
          </w:p>
        </w:tc>
        <w:tc>
          <w:tcPr>
            <w:tcW w:w="1014" w:type="dxa"/>
            <w:noWrap/>
            <w:vAlign w:val="center"/>
          </w:tcPr>
          <w:p w14:paraId="28F19BBE"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19.5</w:t>
            </w:r>
          </w:p>
        </w:tc>
        <w:tc>
          <w:tcPr>
            <w:tcW w:w="733" w:type="dxa"/>
            <w:noWrap/>
            <w:vAlign w:val="center"/>
          </w:tcPr>
          <w:p w14:paraId="57F09307"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3%</w:t>
            </w:r>
          </w:p>
        </w:tc>
        <w:tc>
          <w:tcPr>
            <w:tcW w:w="2097" w:type="dxa"/>
            <w:noWrap/>
            <w:vAlign w:val="center"/>
          </w:tcPr>
          <w:p w14:paraId="43454690" w14:textId="100F83F5"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{"citationID":"ff2Q4PMk","properties":{"formattedCitation":"(Imholte et al., 2018)","plainCitation":"(Imholte et al., 2018)","noteIndex":0},"citationItems":[{"id":15297,"uris":["http://zotero.org/groups/4945499/items/C6VKLB3M"],"itemData":{"id":15297,"type":"article-journal","abstract":"Global initiatives are focused on deploying clean energy technologies, such as wind energy, to reduce greenhouse gas emissions. U.S. onshore and oﬀshore wind targets have been particularly aggressive. Some wind energy technologies, such as direct-drive wind turbines, rely on a volatile and Chinese-concentrated rare earth element (REE) supply chain. Global eﬀorts have been made to develop new sources of REEs, with limited success. This lack of rare earth availability has been suggested to inhibit direct-drive adoption, despite its energy eﬃciency beneﬁts. However, it is unclear if new U.S. REE supply could adequately support onshore and oﬀshore direct-drive wind energy growth, and help meet U.S. wind energy targets. This analysis estimates U.S. and Chinese REE availability that could support U.S. direct-drive and other REE demand. Results indicated that U.S. wind installation targets with solely direct-drive designs could only require 4–12% of maximum light rare earth production from Mountain Pass, Bear Lodge and phosphate rock mines. When considering market dynamics and hypothetical U.S. production, U.S. light REE production capacity was not able to provide suﬃcient light rare earths to achieve wind energy targets. U.S. wind energy targets could be achieved by prioritizing 3–17% of U.S. light REE production for direct-drive wind energy.","container-title":"Energy Policy","DOI":"10.1016/j.enpol.2017.11.001","ISSN":"03014215","journalAbbreviation":"Energy Policy","language":"en","page":"294-305","source":"DOI.org (Crossref)","title":"An assessment of U.S. rare earth availability for supporting U.S. wind energy growth targets","volume":"113","author":[{"family":"Imholte","given":"D.D."},{"family":"Nguyen","given":"R.T."},{"family":"Vedantam","given":"A."},{"family":"Brown","given":"M."},{"family":"Iyer","given":"A."},{"family":"Smith","given":"B.J."},{"family":"Collins","given":"J.W."},{"family":"Anderson","given":"C.G."},{"family":"O’Kelley","given":"B."}],"issued":{"date-parts":[["2018",2]]}}}],"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(Imholte et al., 2018)</w:t>
            </w:r>
            <w:r w:rsidRPr="00F73297">
              <w:rPr>
                <w:rFonts w:eastAsia="Aptos"/>
                <w:color w:val="0E2841"/>
                <w:kern w:val="2"/>
                <w:sz w:val="18"/>
                <w:szCs w:val="18"/>
              </w:rPr>
              <w:fldChar w:fldCharType="end"/>
            </w:r>
          </w:p>
        </w:tc>
      </w:tr>
      <w:tr w:rsidR="00250E9B" w:rsidRPr="00F73297" w14:paraId="51F76F74" w14:textId="77777777">
        <w:trPr>
          <w:trHeight w:val="23"/>
          <w:jc w:val="center"/>
        </w:trPr>
        <w:tc>
          <w:tcPr>
            <w:tcW w:w="1413" w:type="dxa"/>
            <w:vMerge/>
            <w:vAlign w:val="center"/>
            <w:hideMark/>
          </w:tcPr>
          <w:p w14:paraId="447604C5" w14:textId="77777777" w:rsidR="00250E9B" w:rsidRPr="00F73297" w:rsidRDefault="00250E9B">
            <w:pPr>
              <w:jc w:val="center"/>
              <w:rPr>
                <w:rFonts w:eastAsia="Aptos"/>
                <w:i/>
                <w:color w:val="0E2841"/>
                <w:kern w:val="2"/>
                <w:sz w:val="18"/>
                <w:szCs w:val="18"/>
              </w:rPr>
            </w:pPr>
          </w:p>
        </w:tc>
        <w:tc>
          <w:tcPr>
            <w:tcW w:w="1565" w:type="dxa"/>
            <w:vMerge/>
            <w:vAlign w:val="center"/>
          </w:tcPr>
          <w:p w14:paraId="7EA1CC0F" w14:textId="77777777" w:rsidR="00250E9B" w:rsidRPr="00F73297" w:rsidRDefault="00250E9B">
            <w:pPr>
              <w:jc w:val="center"/>
              <w:rPr>
                <w:rFonts w:eastAsia="Aptos"/>
                <w:i/>
                <w:color w:val="0E2841"/>
                <w:kern w:val="2"/>
                <w:sz w:val="18"/>
                <w:szCs w:val="18"/>
              </w:rPr>
            </w:pPr>
          </w:p>
        </w:tc>
        <w:tc>
          <w:tcPr>
            <w:tcW w:w="1537" w:type="dxa"/>
            <w:noWrap/>
            <w:vAlign w:val="center"/>
          </w:tcPr>
          <w:p w14:paraId="201E5B21"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650</w:t>
            </w:r>
          </w:p>
        </w:tc>
        <w:tc>
          <w:tcPr>
            <w:tcW w:w="1014" w:type="dxa"/>
            <w:noWrap/>
            <w:vAlign w:val="center"/>
          </w:tcPr>
          <w:p w14:paraId="479AC83F"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29.25</w:t>
            </w:r>
          </w:p>
        </w:tc>
        <w:tc>
          <w:tcPr>
            <w:tcW w:w="733" w:type="dxa"/>
            <w:noWrap/>
            <w:vAlign w:val="center"/>
          </w:tcPr>
          <w:p w14:paraId="1800E8C3"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5%</w:t>
            </w:r>
          </w:p>
        </w:tc>
        <w:tc>
          <w:tcPr>
            <w:tcW w:w="2097" w:type="dxa"/>
            <w:noWrap/>
            <w:vAlign w:val="center"/>
          </w:tcPr>
          <w:p w14:paraId="75EE4C71" w14:textId="052FA0E0"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{"citationID":"LxN2cIiZ","properties":{"formattedCitation":"(J. Li et al., 2020)","plainCitation":"(J. Li et al., 2020)","noteIndex":0},"citationItems":[{"id":16633,"uris":["http://zotero.org/groups/5509458/items/SG24R7JJ"],"itemData":{"id":16633,"type":"article-journal","container-title":"One Earth","DOI":"10.1016/j.oneear.2020.06.009","ISSN":"25903322","issue":"1","journalAbbreviation":"One Earth","language":"en","page":"116-125","source":"DOI.org (Crossref)","title":"Critical Rare-Earth Elements Mismatch Global Wind-Power Ambitions","volume":"3","author":[{"family":"Li","given":"Jiashuo"},{"family":"Peng","given":"Kun"},{"family":"Wang","given":"Peng"},{"family":"Zhang","given":"Ning"},{"family":"Feng","given":"Kuishuang"},{"family":"Guan","given":"Dabo"},{"family":"Meng","given":"Jing"},{"family":"Wei","given":"Wendong"},{"family":"Yang","given":"Qing"}],"issued":{"date-parts":[["2020",7]]}}}],"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(J. Li et al., 2020)</w:t>
            </w:r>
            <w:r w:rsidRPr="00F73297">
              <w:rPr>
                <w:rFonts w:eastAsia="Aptos"/>
                <w:color w:val="0E2841"/>
                <w:kern w:val="2"/>
                <w:sz w:val="18"/>
                <w:szCs w:val="18"/>
              </w:rPr>
              <w:fldChar w:fldCharType="end"/>
            </w:r>
          </w:p>
        </w:tc>
      </w:tr>
      <w:tr w:rsidR="00250E9B" w:rsidRPr="00F73297" w14:paraId="39000E44" w14:textId="77777777">
        <w:trPr>
          <w:trHeight w:val="23"/>
          <w:jc w:val="center"/>
        </w:trPr>
        <w:tc>
          <w:tcPr>
            <w:tcW w:w="1413" w:type="dxa"/>
            <w:vMerge/>
            <w:vAlign w:val="center"/>
            <w:hideMark/>
          </w:tcPr>
          <w:p w14:paraId="1C7B9E44" w14:textId="77777777" w:rsidR="00250E9B" w:rsidRPr="00F73297" w:rsidRDefault="00250E9B">
            <w:pPr>
              <w:jc w:val="center"/>
              <w:rPr>
                <w:rFonts w:eastAsia="Aptos"/>
                <w:i/>
                <w:color w:val="0E2841"/>
                <w:kern w:val="2"/>
                <w:sz w:val="18"/>
                <w:szCs w:val="18"/>
              </w:rPr>
            </w:pPr>
          </w:p>
        </w:tc>
        <w:tc>
          <w:tcPr>
            <w:tcW w:w="1565" w:type="dxa"/>
            <w:vMerge/>
            <w:vAlign w:val="center"/>
          </w:tcPr>
          <w:p w14:paraId="4D736A79" w14:textId="77777777" w:rsidR="00250E9B" w:rsidRPr="00F73297" w:rsidRDefault="00250E9B">
            <w:pPr>
              <w:jc w:val="center"/>
              <w:rPr>
                <w:rFonts w:eastAsia="Aptos"/>
                <w:i/>
                <w:color w:val="0E2841"/>
                <w:kern w:val="2"/>
                <w:sz w:val="18"/>
                <w:szCs w:val="18"/>
              </w:rPr>
            </w:pPr>
          </w:p>
        </w:tc>
        <w:tc>
          <w:tcPr>
            <w:tcW w:w="1537" w:type="dxa"/>
            <w:noWrap/>
            <w:vAlign w:val="center"/>
          </w:tcPr>
          <w:p w14:paraId="5FC880A4"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650</w:t>
            </w:r>
          </w:p>
        </w:tc>
        <w:tc>
          <w:tcPr>
            <w:tcW w:w="1014" w:type="dxa"/>
            <w:noWrap/>
            <w:vAlign w:val="center"/>
          </w:tcPr>
          <w:p w14:paraId="29FC07DE"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27.3</w:t>
            </w:r>
          </w:p>
        </w:tc>
        <w:tc>
          <w:tcPr>
            <w:tcW w:w="733" w:type="dxa"/>
            <w:noWrap/>
            <w:vAlign w:val="center"/>
          </w:tcPr>
          <w:p w14:paraId="44C6A5E4"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4%</w:t>
            </w:r>
          </w:p>
        </w:tc>
        <w:tc>
          <w:tcPr>
            <w:tcW w:w="2097" w:type="dxa"/>
            <w:noWrap/>
            <w:vAlign w:val="center"/>
          </w:tcPr>
          <w:p w14:paraId="13D6F84B" w14:textId="0B1E9909"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{"citationID":"Dl5rCBXE","properties":{"formattedCitation":"(Kumari et al., 2018)","plainCitation":"(Kumari et al., 2018)","noteIndex":0},"citationItems":[{"id":16624,"uris":["http://zotero.org/groups/5509458/items/EQLBQ5YA"],"itemData":{"id":16624,"type":"article-journal","container-title":"Waste Management","DOI":"10.1016/j.wasman.2018.01.033","ISSN":"0956053X","journalAbbreviation":"Waste Management","language":"en","page":"486-498","source":"DOI.org (Crossref)","title":"Recovery of rare earths from spent NdFeB magnets of wind turbine: Leaching and kinetic aspects","title-short":"Recovery of rare earths from spent NdFeB magnets of wind turbine","volume":"75","author":[{"family":"Kumari","given":"Aarti"},{"family":"Sinha","given":"Manish Kumar"},{"family":"Pramanik","given":"Swati"},{"family":"Sahu","given":"Sushanta Kumar"}],"issued":{"date-parts":[["2018",5]]}}}],"schema":"https://github.com/citation-style-language/schema/raw/master/csl-citation.json"}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(Kumari et al., 2018)</w:t>
            </w:r>
            <w:r w:rsidRPr="00F73297">
              <w:rPr>
                <w:rFonts w:eastAsia="Aptos"/>
                <w:color w:val="0E2841"/>
                <w:kern w:val="2"/>
                <w:sz w:val="18"/>
                <w:szCs w:val="18"/>
              </w:rPr>
              <w:fldChar w:fldCharType="end"/>
            </w:r>
          </w:p>
        </w:tc>
      </w:tr>
      <w:tr w:rsidR="00250E9B" w:rsidRPr="00F73297" w14:paraId="39A9F7F8" w14:textId="77777777">
        <w:trPr>
          <w:trHeight w:val="23"/>
          <w:jc w:val="center"/>
        </w:trPr>
        <w:tc>
          <w:tcPr>
            <w:tcW w:w="1413" w:type="dxa"/>
            <w:vMerge/>
            <w:vAlign w:val="center"/>
            <w:hideMark/>
          </w:tcPr>
          <w:p w14:paraId="5230294F" w14:textId="77777777" w:rsidR="00250E9B" w:rsidRPr="00F73297" w:rsidRDefault="00250E9B">
            <w:pPr>
              <w:jc w:val="center"/>
              <w:rPr>
                <w:rFonts w:eastAsia="Aptos"/>
                <w:i/>
                <w:color w:val="0E2841"/>
                <w:kern w:val="2"/>
                <w:sz w:val="18"/>
                <w:szCs w:val="18"/>
              </w:rPr>
            </w:pPr>
          </w:p>
        </w:tc>
        <w:tc>
          <w:tcPr>
            <w:tcW w:w="1565" w:type="dxa"/>
            <w:vMerge/>
            <w:vAlign w:val="center"/>
          </w:tcPr>
          <w:p w14:paraId="1CAD970A" w14:textId="77777777" w:rsidR="00250E9B" w:rsidRPr="00F73297" w:rsidRDefault="00250E9B">
            <w:pPr>
              <w:jc w:val="center"/>
              <w:rPr>
                <w:rFonts w:eastAsia="Aptos"/>
                <w:i/>
                <w:color w:val="0E2841"/>
                <w:kern w:val="2"/>
                <w:sz w:val="18"/>
                <w:szCs w:val="18"/>
              </w:rPr>
            </w:pPr>
          </w:p>
        </w:tc>
        <w:tc>
          <w:tcPr>
            <w:tcW w:w="1537" w:type="dxa"/>
            <w:noWrap/>
            <w:vAlign w:val="center"/>
          </w:tcPr>
          <w:p w14:paraId="4A881E38"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616</w:t>
            </w:r>
          </w:p>
        </w:tc>
        <w:tc>
          <w:tcPr>
            <w:tcW w:w="1014" w:type="dxa"/>
            <w:noWrap/>
            <w:vAlign w:val="center"/>
          </w:tcPr>
          <w:p w14:paraId="62FC1E09"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27.7</w:t>
            </w:r>
          </w:p>
        </w:tc>
        <w:tc>
          <w:tcPr>
            <w:tcW w:w="733" w:type="dxa"/>
            <w:noWrap/>
            <w:vAlign w:val="center"/>
          </w:tcPr>
          <w:p w14:paraId="7D193B59"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5%</w:t>
            </w:r>
          </w:p>
        </w:tc>
        <w:tc>
          <w:tcPr>
            <w:tcW w:w="2097" w:type="dxa"/>
            <w:noWrap/>
            <w:vAlign w:val="center"/>
          </w:tcPr>
          <w:p w14:paraId="4C06BDBE" w14:textId="4EF8F80D"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{"citationID":"VCk51KoC","properties":{"formattedCitation":"(Hoenderdaal et al., 2013)","plainCitation":"(Hoenderdaal et al., 2013)","noteIndex":0},"citationItems":[{"id":16623,"uris":["http://zotero.org/groups/5509458/items/NVSRHB82"],"itemData":{"id":16623,"type":"article-journal","container-title":"Energy","DOI":"10.1016/j.energy.2012.10.043","ISSN":"03605442","journalAbbreviation":"Energy","language":"en","license":"https://www.elsevier.com/tdm/userlicense/1.0/","page":"344-355","source":"DOI.org (Crossref)","title":"Can a dysprosium shortage threaten green energy technologies?","volume":"49","author":[{"family":"Hoenderdaal","given":"Sander"},{"family":"Tercero Espinoza","given":"Luis"},{"family":"Marscheider-Weidemann","given":"Frank"},{"family":"Graus","given":"Wina"}],"issued":{"date-parts":[["2013",1]]}}}],"schema":"https://github.com/citation-style-language/schema/raw/master/csl-citation.json"}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w:t>
            </w:r>
            <w:proofErr w:type="spellStart"/>
            <w:r w:rsidR="008836FB">
              <w:rPr>
                <w:rFonts w:eastAsia="Aptos"/>
                <w:i/>
                <w:color w:val="0E2841"/>
                <w:kern w:val="2"/>
                <w:sz w:val="18"/>
                <w:szCs w:val="18"/>
              </w:rPr>
              <w:t>Hoenderdaal</w:t>
            </w:r>
            <w:proofErr w:type="spellEnd"/>
            <w:r w:rsidR="008836FB">
              <w:rPr>
                <w:rFonts w:eastAsia="Aptos"/>
                <w:i/>
                <w:color w:val="0E2841"/>
                <w:kern w:val="2"/>
                <w:sz w:val="18"/>
                <w:szCs w:val="18"/>
              </w:rPr>
              <w:t xml:space="preserve"> et al., 2013)</w:t>
            </w:r>
            <w:r w:rsidRPr="00F73297">
              <w:rPr>
                <w:rFonts w:eastAsia="Aptos"/>
                <w:color w:val="0E2841"/>
                <w:kern w:val="2"/>
                <w:sz w:val="18"/>
                <w:szCs w:val="18"/>
              </w:rPr>
              <w:fldChar w:fldCharType="end"/>
            </w:r>
          </w:p>
        </w:tc>
      </w:tr>
      <w:tr w:rsidR="00250E9B" w:rsidRPr="00F73297" w14:paraId="1DEBE989" w14:textId="77777777">
        <w:trPr>
          <w:trHeight w:val="23"/>
          <w:jc w:val="center"/>
        </w:trPr>
        <w:tc>
          <w:tcPr>
            <w:tcW w:w="1413" w:type="dxa"/>
            <w:vMerge/>
            <w:vAlign w:val="center"/>
          </w:tcPr>
          <w:p w14:paraId="489AA5AF" w14:textId="77777777" w:rsidR="00250E9B" w:rsidRPr="00F73297" w:rsidRDefault="00250E9B">
            <w:pPr>
              <w:jc w:val="center"/>
              <w:rPr>
                <w:rFonts w:eastAsia="Aptos"/>
                <w:i/>
                <w:color w:val="0E2841"/>
                <w:kern w:val="2"/>
                <w:sz w:val="18"/>
                <w:szCs w:val="18"/>
              </w:rPr>
            </w:pPr>
          </w:p>
        </w:tc>
        <w:tc>
          <w:tcPr>
            <w:tcW w:w="1565" w:type="dxa"/>
            <w:vMerge/>
            <w:vAlign w:val="center"/>
          </w:tcPr>
          <w:p w14:paraId="6FD2F414" w14:textId="77777777" w:rsidR="00250E9B" w:rsidRPr="00F73297" w:rsidRDefault="00250E9B">
            <w:pPr>
              <w:jc w:val="center"/>
              <w:rPr>
                <w:rFonts w:eastAsia="Aptos"/>
                <w:i/>
                <w:color w:val="0E2841"/>
                <w:kern w:val="2"/>
                <w:sz w:val="18"/>
                <w:szCs w:val="18"/>
              </w:rPr>
            </w:pPr>
          </w:p>
        </w:tc>
        <w:tc>
          <w:tcPr>
            <w:tcW w:w="1537" w:type="dxa"/>
            <w:noWrap/>
            <w:vAlign w:val="center"/>
          </w:tcPr>
          <w:p w14:paraId="0AEA8460"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450</w:t>
            </w:r>
          </w:p>
        </w:tc>
        <w:tc>
          <w:tcPr>
            <w:tcW w:w="1014" w:type="dxa"/>
            <w:noWrap/>
            <w:vAlign w:val="center"/>
          </w:tcPr>
          <w:p w14:paraId="61E519EF"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29</w:t>
            </w:r>
          </w:p>
        </w:tc>
        <w:tc>
          <w:tcPr>
            <w:tcW w:w="733" w:type="dxa"/>
            <w:noWrap/>
            <w:vAlign w:val="center"/>
          </w:tcPr>
          <w:p w14:paraId="2D20D578"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6%</w:t>
            </w:r>
          </w:p>
        </w:tc>
        <w:tc>
          <w:tcPr>
            <w:tcW w:w="2097" w:type="dxa"/>
            <w:noWrap/>
            <w:vAlign w:val="center"/>
          </w:tcPr>
          <w:p w14:paraId="5FAA28CB" w14:textId="0659258D"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{"citationID":"VZXlzolA","properties":{"formattedCitation":"(Elshkaki &amp; Shen, 2019)","plainCitation":"(Elshkaki &amp; Shen, 2019)","noteIndex":0},"citationItems":[{"id":16580,"uris":["http://zotero.org/groups/5509458/items/29GCVUC4"],"itemData":{"id":16580,"type":"article-journal","container-title":"Energy","DOI":"10.1016/j.energy.2019.05.156","ISSN":"03605442","journalAbbreviation":"Energy","language":"en","page":"903-917","source":"DOI.org (Crossref)","title":"Energy-material nexus: The impacts of national and international energy scenarios on critical metals use in China up to 2050 and their global implications","title-short":"Energy-material nexus","volume":"180","author":[{"family":"Elshkaki","given":"Ayman"},{"family":"Shen","given":"Lei"}],"issued":{"date-parts":[["2019",8]]}}}],"schema":"https://github.com/citation-style-language/schema/raw/master/csl-citation.json"}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w:t>
            </w:r>
            <w:proofErr w:type="spellStart"/>
            <w:r w:rsidR="008836FB">
              <w:rPr>
                <w:rFonts w:eastAsia="Aptos"/>
                <w:i/>
                <w:color w:val="0E2841"/>
                <w:kern w:val="2"/>
                <w:sz w:val="18"/>
                <w:szCs w:val="18"/>
              </w:rPr>
              <w:t>Elshkaki</w:t>
            </w:r>
            <w:proofErr w:type="spellEnd"/>
            <w:r w:rsidR="008836FB">
              <w:rPr>
                <w:rFonts w:eastAsia="Aptos"/>
                <w:i/>
                <w:color w:val="0E2841"/>
                <w:kern w:val="2"/>
                <w:sz w:val="18"/>
                <w:szCs w:val="18"/>
              </w:rPr>
              <w:t xml:space="preserve"> &amp; Shen, 2019)</w:t>
            </w:r>
            <w:r w:rsidRPr="00F73297">
              <w:rPr>
                <w:rFonts w:eastAsia="Aptos"/>
                <w:color w:val="0E2841"/>
                <w:kern w:val="2"/>
                <w:sz w:val="18"/>
                <w:szCs w:val="18"/>
              </w:rPr>
              <w:fldChar w:fldCharType="end"/>
            </w:r>
          </w:p>
        </w:tc>
      </w:tr>
    </w:tbl>
    <w:p w14:paraId="7E6AF4EC" w14:textId="77777777" w:rsidR="00250E9B" w:rsidRDefault="00250E9B" w:rsidP="00250E9B">
      <w:pPr>
        <w:jc w:val="both"/>
        <w:rPr>
          <w:sz w:val="22"/>
          <w:szCs w:val="22"/>
        </w:rPr>
      </w:pPr>
    </w:p>
    <w:p w14:paraId="6842FEDD" w14:textId="77777777" w:rsidR="00250E9B" w:rsidRDefault="00250E9B" w:rsidP="00250E9B">
      <w:pPr>
        <w:jc w:val="both"/>
        <w:rPr>
          <w:sz w:val="22"/>
          <w:szCs w:val="22"/>
        </w:rPr>
      </w:pPr>
    </w:p>
    <w:p w14:paraId="6D384B4F" w14:textId="7677A376" w:rsidR="00250E9B" w:rsidRPr="007D628B" w:rsidRDefault="00250E9B" w:rsidP="00250E9B">
      <w:pPr>
        <w:jc w:val="center"/>
        <w:rPr>
          <w:color w:val="0E2841"/>
          <w:sz w:val="18"/>
          <w:szCs w:val="18"/>
        </w:rPr>
      </w:pPr>
      <w:r w:rsidRPr="00F05D5B">
        <w:rPr>
          <w:b/>
          <w:color w:val="0E2841"/>
          <w:sz w:val="18"/>
          <w:szCs w:val="18"/>
        </w:rPr>
        <w:t>Table S</w:t>
      </w:r>
      <w:r>
        <w:rPr>
          <w:b/>
          <w:color w:val="0E2841"/>
          <w:sz w:val="18"/>
          <w:szCs w:val="18"/>
        </w:rPr>
        <w:t>1.1</w:t>
      </w:r>
      <w:r w:rsidR="0029776D">
        <w:rPr>
          <w:b/>
          <w:color w:val="0E2841"/>
          <w:sz w:val="18"/>
          <w:szCs w:val="18"/>
        </w:rPr>
        <w:t>5</w:t>
      </w:r>
      <w:r w:rsidRPr="00F05D5B">
        <w:rPr>
          <w:b/>
          <w:color w:val="0E2841"/>
          <w:sz w:val="18"/>
          <w:szCs w:val="18"/>
        </w:rPr>
        <w:t>:</w:t>
      </w:r>
      <w:r w:rsidRPr="00F05D5B">
        <w:rPr>
          <w:color w:val="0E2841"/>
          <w:sz w:val="18"/>
          <w:szCs w:val="18"/>
        </w:rPr>
        <w:t xml:space="preserve"> </w:t>
      </w:r>
      <w:r>
        <w:rPr>
          <w:color w:val="0E2841"/>
          <w:sz w:val="18"/>
          <w:szCs w:val="18"/>
        </w:rPr>
        <w:t>T</w:t>
      </w:r>
      <w:r w:rsidRPr="00F05D5B">
        <w:rPr>
          <w:color w:val="0E2841"/>
          <w:sz w:val="18"/>
          <w:szCs w:val="18"/>
        </w:rPr>
        <w:t xml:space="preserve">erbium intensities [kg/MW] in neodymium-iron-boron (NdFeB) permanent magnets in </w:t>
      </w:r>
      <w:proofErr w:type="spellStart"/>
      <w:r w:rsidRPr="00F05D5B">
        <w:rPr>
          <w:color w:val="0E2841"/>
          <w:sz w:val="18"/>
          <w:szCs w:val="18"/>
        </w:rPr>
        <w:t>dirent</w:t>
      </w:r>
      <w:proofErr w:type="spellEnd"/>
      <w:r w:rsidRPr="00F05D5B">
        <w:rPr>
          <w:color w:val="0E2841"/>
          <w:sz w:val="18"/>
          <w:szCs w:val="18"/>
        </w:rPr>
        <w:t>-drive systems (DD-PMSG) reported in previous studies.</w:t>
      </w:r>
    </w:p>
    <w:tbl>
      <w:tblPr>
        <w:tblW w:w="8359"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413"/>
        <w:gridCol w:w="1565"/>
        <w:gridCol w:w="1537"/>
        <w:gridCol w:w="1014"/>
        <w:gridCol w:w="733"/>
        <w:gridCol w:w="2097"/>
      </w:tblGrid>
      <w:tr w:rsidR="00250E9B" w:rsidRPr="00F73297" w14:paraId="064C8E64" w14:textId="77777777">
        <w:trPr>
          <w:trHeight w:val="23"/>
          <w:jc w:val="center"/>
        </w:trPr>
        <w:tc>
          <w:tcPr>
            <w:tcW w:w="1413" w:type="dxa"/>
            <w:vAlign w:val="center"/>
          </w:tcPr>
          <w:p w14:paraId="23AE0C8A"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Sub-technology</w:t>
            </w:r>
          </w:p>
        </w:tc>
        <w:tc>
          <w:tcPr>
            <w:tcW w:w="1565" w:type="dxa"/>
            <w:vAlign w:val="center"/>
          </w:tcPr>
          <w:p w14:paraId="6723C0E7"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Material</w:t>
            </w:r>
          </w:p>
        </w:tc>
        <w:tc>
          <w:tcPr>
            <w:tcW w:w="1537" w:type="dxa"/>
            <w:noWrap/>
            <w:vAlign w:val="center"/>
          </w:tcPr>
          <w:p w14:paraId="61AC55A7"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NdFeB Magnet Kg/MW</w:t>
            </w:r>
          </w:p>
        </w:tc>
        <w:tc>
          <w:tcPr>
            <w:tcW w:w="1014" w:type="dxa"/>
            <w:noWrap/>
            <w:vAlign w:val="center"/>
          </w:tcPr>
          <w:p w14:paraId="2B5ECB8D"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Kg/MW</w:t>
            </w:r>
          </w:p>
        </w:tc>
        <w:tc>
          <w:tcPr>
            <w:tcW w:w="733" w:type="dxa"/>
            <w:noWrap/>
            <w:vAlign w:val="center"/>
          </w:tcPr>
          <w:p w14:paraId="6EB39891"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%w</w:t>
            </w:r>
          </w:p>
        </w:tc>
        <w:tc>
          <w:tcPr>
            <w:tcW w:w="2097" w:type="dxa"/>
            <w:noWrap/>
            <w:vAlign w:val="center"/>
          </w:tcPr>
          <w:p w14:paraId="7AF0E34A"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Source</w:t>
            </w:r>
          </w:p>
        </w:tc>
      </w:tr>
      <w:tr w:rsidR="00250E9B" w:rsidRPr="00F73297" w14:paraId="3EDCCBE5" w14:textId="77777777">
        <w:trPr>
          <w:trHeight w:val="23"/>
          <w:jc w:val="center"/>
        </w:trPr>
        <w:tc>
          <w:tcPr>
            <w:tcW w:w="1413" w:type="dxa"/>
            <w:vMerge w:val="restart"/>
            <w:vAlign w:val="center"/>
            <w:hideMark/>
          </w:tcPr>
          <w:p w14:paraId="41FF3339"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DD-PMSG</w:t>
            </w:r>
          </w:p>
        </w:tc>
        <w:tc>
          <w:tcPr>
            <w:tcW w:w="1565" w:type="dxa"/>
            <w:vMerge w:val="restart"/>
            <w:vAlign w:val="center"/>
            <w:hideMark/>
          </w:tcPr>
          <w:p w14:paraId="765CE194"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Terbium</w:t>
            </w:r>
          </w:p>
          <w:p w14:paraId="6446DCBB"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Tb</w:t>
            </w:r>
          </w:p>
        </w:tc>
        <w:tc>
          <w:tcPr>
            <w:tcW w:w="1537" w:type="dxa"/>
            <w:noWrap/>
            <w:vAlign w:val="center"/>
            <w:hideMark/>
          </w:tcPr>
          <w:p w14:paraId="0D8ED66A"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650</w:t>
            </w:r>
          </w:p>
        </w:tc>
        <w:tc>
          <w:tcPr>
            <w:tcW w:w="1014" w:type="dxa"/>
            <w:noWrap/>
            <w:vAlign w:val="center"/>
            <w:hideMark/>
          </w:tcPr>
          <w:p w14:paraId="3BC46A3D"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6.5</w:t>
            </w:r>
          </w:p>
        </w:tc>
        <w:tc>
          <w:tcPr>
            <w:tcW w:w="733" w:type="dxa"/>
            <w:noWrap/>
            <w:vAlign w:val="center"/>
            <w:hideMark/>
          </w:tcPr>
          <w:p w14:paraId="792C75CE"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w:t>
            </w:r>
          </w:p>
        </w:tc>
        <w:tc>
          <w:tcPr>
            <w:tcW w:w="2097" w:type="dxa"/>
            <w:noWrap/>
            <w:vAlign w:val="center"/>
          </w:tcPr>
          <w:p w14:paraId="39B06343" w14:textId="6348DC0A"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{"citationID":"Tagrp34m","properties":{"formattedCitation":"(Pavel et al., 2017)","plainCitation":"(Pavel et al., 2017)","noteIndex":0},"citationItems":[{"id":15520,"uris":["http://zotero.org/groups/4945499/items/TJJSPLP3"],"itemData":{"id":15520,"type":"article-journal","container-title":"Resources Policy","DOI":"10.1016/j.resourpol.2017.04.010","ISSN":"03014207","journalAbbreviation":"Resources Policy","language":"en","page":"349-357","source":"DOI.org (Crossref)","title":"Substitution strategies for reducing the use of rare earths in wind turbines","volume":"52","author":[{"family":"Pavel","given":"Claudiu C."},{"family":"Lacal-Arántegui","given":"Roberto"},{"family":"Marmier","given":"Alain"},{"family":"Schüler","given":"Doris"},{"family":"Tzimas","given":"Evangelos"},{"family":"Buchert","given":"Matthias"},{"family":"Jenseit","given":"Wolfgang"},{"family":"Blagoeva","given":"Darina"}],"issued":{"date-parts":[["2017",6]]}}}],"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(Pavel et al., 2017)</w:t>
            </w:r>
            <w:r w:rsidRPr="00F73297">
              <w:rPr>
                <w:rFonts w:eastAsia="Aptos"/>
                <w:color w:val="0E2841"/>
                <w:kern w:val="2"/>
                <w:sz w:val="18"/>
                <w:szCs w:val="18"/>
              </w:rPr>
              <w:fldChar w:fldCharType="end"/>
            </w:r>
          </w:p>
        </w:tc>
      </w:tr>
      <w:tr w:rsidR="00250E9B" w:rsidRPr="00F73297" w14:paraId="4E338DDE" w14:textId="77777777">
        <w:trPr>
          <w:trHeight w:val="23"/>
          <w:jc w:val="center"/>
        </w:trPr>
        <w:tc>
          <w:tcPr>
            <w:tcW w:w="1413" w:type="dxa"/>
            <w:vMerge/>
            <w:vAlign w:val="center"/>
            <w:hideMark/>
          </w:tcPr>
          <w:p w14:paraId="3786DFC4" w14:textId="77777777" w:rsidR="00250E9B" w:rsidRPr="00F73297" w:rsidRDefault="00250E9B">
            <w:pPr>
              <w:jc w:val="center"/>
              <w:rPr>
                <w:rFonts w:eastAsia="Aptos"/>
                <w:i/>
                <w:color w:val="0E2841"/>
                <w:kern w:val="2"/>
                <w:sz w:val="18"/>
                <w:szCs w:val="18"/>
              </w:rPr>
            </w:pPr>
          </w:p>
        </w:tc>
        <w:tc>
          <w:tcPr>
            <w:tcW w:w="1565" w:type="dxa"/>
            <w:vMerge/>
            <w:vAlign w:val="center"/>
            <w:hideMark/>
          </w:tcPr>
          <w:p w14:paraId="4C43384C" w14:textId="77777777" w:rsidR="00250E9B" w:rsidRPr="00F73297" w:rsidRDefault="00250E9B">
            <w:pPr>
              <w:jc w:val="center"/>
              <w:rPr>
                <w:rFonts w:eastAsia="Aptos"/>
                <w:i/>
                <w:color w:val="0E2841"/>
                <w:kern w:val="2"/>
                <w:sz w:val="18"/>
                <w:szCs w:val="18"/>
              </w:rPr>
            </w:pPr>
          </w:p>
        </w:tc>
        <w:tc>
          <w:tcPr>
            <w:tcW w:w="1537" w:type="dxa"/>
            <w:noWrap/>
            <w:vAlign w:val="center"/>
            <w:hideMark/>
          </w:tcPr>
          <w:p w14:paraId="49D38A22"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450</w:t>
            </w:r>
          </w:p>
        </w:tc>
        <w:tc>
          <w:tcPr>
            <w:tcW w:w="1014" w:type="dxa"/>
            <w:noWrap/>
            <w:vAlign w:val="center"/>
            <w:hideMark/>
          </w:tcPr>
          <w:p w14:paraId="536721FA"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1.3</w:t>
            </w:r>
          </w:p>
        </w:tc>
        <w:tc>
          <w:tcPr>
            <w:tcW w:w="733" w:type="dxa"/>
            <w:noWrap/>
            <w:vAlign w:val="center"/>
            <w:hideMark/>
          </w:tcPr>
          <w:p w14:paraId="368F55AD"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0.3%</w:t>
            </w:r>
          </w:p>
        </w:tc>
        <w:tc>
          <w:tcPr>
            <w:tcW w:w="2097" w:type="dxa"/>
            <w:noWrap/>
            <w:vAlign w:val="center"/>
            <w:hideMark/>
          </w:tcPr>
          <w:p w14:paraId="33D6B03B" w14:textId="64701260"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{"citationID":"NxYmnJE1","properties":{"formattedCitation":"(Elshkaki &amp; Shen, 2019)","plainCitation":"(Elshkaki &amp; Shen, 2019)","noteIndex":0},"citationItems":[{"id":16580,"uris":["http://zotero.org/groups/5509458/items/29GCVUC4"],"itemData":{"id":16580,"type":"article-journal","container-title":"Energy","DOI":"10.1016/j.energy.2019.05.156","ISSN":"03605442","journalAbbreviation":"Energy","language":"en","page":"903-917","source":"DOI.org (Crossref)","title":"Energy-material nexus: The impacts of national and international energy scenarios on critical metals use in China up to 2050 and their global implications","title-short":"Energy-material nexus","volume":"180","author":[{"family":"Elshkaki","given":"Ayman"},{"family":"Shen","given":"Lei"}],"issued":{"date-parts":[["2019",8]]}}}],"schema":"https://github.com/citation-style-language/schema/raw/master/csl-citation.json"}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w:t>
            </w:r>
            <w:proofErr w:type="spellStart"/>
            <w:r w:rsidR="008836FB">
              <w:rPr>
                <w:rFonts w:eastAsia="Aptos"/>
                <w:i/>
                <w:color w:val="0E2841"/>
                <w:kern w:val="2"/>
                <w:sz w:val="18"/>
                <w:szCs w:val="18"/>
              </w:rPr>
              <w:t>Elshkaki</w:t>
            </w:r>
            <w:proofErr w:type="spellEnd"/>
            <w:r w:rsidR="008836FB">
              <w:rPr>
                <w:rFonts w:eastAsia="Aptos"/>
                <w:i/>
                <w:color w:val="0E2841"/>
                <w:kern w:val="2"/>
                <w:sz w:val="18"/>
                <w:szCs w:val="18"/>
              </w:rPr>
              <w:t xml:space="preserve"> &amp; Shen, 2019)</w:t>
            </w:r>
            <w:r w:rsidRPr="00F73297">
              <w:rPr>
                <w:rFonts w:eastAsia="Aptos"/>
                <w:color w:val="0E2841"/>
                <w:kern w:val="2"/>
                <w:sz w:val="18"/>
                <w:szCs w:val="18"/>
              </w:rPr>
              <w:fldChar w:fldCharType="end"/>
            </w:r>
          </w:p>
        </w:tc>
      </w:tr>
      <w:tr w:rsidR="00250E9B" w:rsidRPr="00F73297" w14:paraId="1E615F45" w14:textId="77777777">
        <w:trPr>
          <w:trHeight w:val="23"/>
          <w:jc w:val="center"/>
        </w:trPr>
        <w:tc>
          <w:tcPr>
            <w:tcW w:w="1413" w:type="dxa"/>
            <w:vMerge/>
            <w:vAlign w:val="center"/>
          </w:tcPr>
          <w:p w14:paraId="2AD64D99" w14:textId="77777777" w:rsidR="00250E9B" w:rsidRPr="00F73297" w:rsidRDefault="00250E9B">
            <w:pPr>
              <w:jc w:val="center"/>
              <w:rPr>
                <w:rFonts w:eastAsia="Aptos"/>
                <w:i/>
                <w:color w:val="0E2841"/>
                <w:kern w:val="2"/>
                <w:sz w:val="18"/>
                <w:szCs w:val="18"/>
              </w:rPr>
            </w:pPr>
          </w:p>
        </w:tc>
        <w:tc>
          <w:tcPr>
            <w:tcW w:w="1565" w:type="dxa"/>
            <w:vMerge/>
            <w:vAlign w:val="center"/>
          </w:tcPr>
          <w:p w14:paraId="7A6BB926" w14:textId="77777777" w:rsidR="00250E9B" w:rsidRPr="00F73297" w:rsidRDefault="00250E9B">
            <w:pPr>
              <w:jc w:val="center"/>
              <w:rPr>
                <w:rFonts w:eastAsia="Aptos"/>
                <w:i/>
                <w:color w:val="0E2841"/>
                <w:kern w:val="2"/>
                <w:sz w:val="18"/>
                <w:szCs w:val="18"/>
              </w:rPr>
            </w:pPr>
          </w:p>
        </w:tc>
        <w:tc>
          <w:tcPr>
            <w:tcW w:w="1537" w:type="dxa"/>
            <w:noWrap/>
            <w:vAlign w:val="center"/>
          </w:tcPr>
          <w:p w14:paraId="11AAED74"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650</w:t>
            </w:r>
          </w:p>
        </w:tc>
        <w:tc>
          <w:tcPr>
            <w:tcW w:w="1014" w:type="dxa"/>
            <w:noWrap/>
            <w:vAlign w:val="center"/>
          </w:tcPr>
          <w:p w14:paraId="65643E59"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7</w:t>
            </w:r>
          </w:p>
        </w:tc>
        <w:tc>
          <w:tcPr>
            <w:tcW w:w="733" w:type="dxa"/>
            <w:noWrap/>
            <w:vAlign w:val="center"/>
          </w:tcPr>
          <w:p w14:paraId="51B8D9E9"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w:t>
            </w:r>
          </w:p>
        </w:tc>
        <w:tc>
          <w:tcPr>
            <w:tcW w:w="2097" w:type="dxa"/>
            <w:noWrap/>
            <w:vAlign w:val="center"/>
          </w:tcPr>
          <w:p w14:paraId="3B8CA9F8" w14:textId="4D084D4D"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{"citationID":"d0EndqGQ","properties":{"formattedCitation":"(Carrara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(Carrara et al., 2020)</w:t>
            </w:r>
            <w:r w:rsidRPr="00F73297">
              <w:rPr>
                <w:rFonts w:eastAsia="Aptos"/>
                <w:color w:val="0E2841"/>
                <w:kern w:val="2"/>
                <w:sz w:val="18"/>
                <w:szCs w:val="18"/>
              </w:rPr>
              <w:fldChar w:fldCharType="end"/>
            </w:r>
          </w:p>
        </w:tc>
      </w:tr>
      <w:tr w:rsidR="00250E9B" w:rsidRPr="00F73297" w14:paraId="5635B722" w14:textId="77777777">
        <w:trPr>
          <w:trHeight w:val="23"/>
          <w:jc w:val="center"/>
        </w:trPr>
        <w:tc>
          <w:tcPr>
            <w:tcW w:w="1413" w:type="dxa"/>
            <w:vMerge/>
            <w:vAlign w:val="center"/>
          </w:tcPr>
          <w:p w14:paraId="18909B2F" w14:textId="77777777" w:rsidR="00250E9B" w:rsidRPr="00F73297" w:rsidRDefault="00250E9B">
            <w:pPr>
              <w:jc w:val="center"/>
              <w:rPr>
                <w:rFonts w:eastAsia="Aptos"/>
                <w:i/>
                <w:color w:val="0E2841"/>
                <w:kern w:val="2"/>
                <w:sz w:val="18"/>
                <w:szCs w:val="18"/>
              </w:rPr>
            </w:pPr>
          </w:p>
        </w:tc>
        <w:tc>
          <w:tcPr>
            <w:tcW w:w="1565" w:type="dxa"/>
            <w:vMerge/>
            <w:vAlign w:val="center"/>
          </w:tcPr>
          <w:p w14:paraId="7E9E07A1" w14:textId="77777777" w:rsidR="00250E9B" w:rsidRPr="00F73297" w:rsidRDefault="00250E9B">
            <w:pPr>
              <w:jc w:val="center"/>
              <w:rPr>
                <w:rFonts w:eastAsia="Aptos"/>
                <w:i/>
                <w:color w:val="0E2841"/>
                <w:kern w:val="2"/>
                <w:sz w:val="18"/>
                <w:szCs w:val="18"/>
              </w:rPr>
            </w:pPr>
          </w:p>
        </w:tc>
        <w:tc>
          <w:tcPr>
            <w:tcW w:w="1537" w:type="dxa"/>
            <w:noWrap/>
            <w:vAlign w:val="center"/>
          </w:tcPr>
          <w:p w14:paraId="0F97961D"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650</w:t>
            </w:r>
          </w:p>
        </w:tc>
        <w:tc>
          <w:tcPr>
            <w:tcW w:w="1014" w:type="dxa"/>
            <w:noWrap/>
            <w:vAlign w:val="center"/>
          </w:tcPr>
          <w:p w14:paraId="45669C4B"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8</w:t>
            </w:r>
          </w:p>
        </w:tc>
        <w:tc>
          <w:tcPr>
            <w:tcW w:w="733" w:type="dxa"/>
            <w:noWrap/>
            <w:vAlign w:val="center"/>
          </w:tcPr>
          <w:p w14:paraId="0C86C736"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w:t>
            </w:r>
          </w:p>
        </w:tc>
        <w:tc>
          <w:tcPr>
            <w:tcW w:w="2097" w:type="dxa"/>
            <w:noWrap/>
            <w:vAlign w:val="center"/>
          </w:tcPr>
          <w:p w14:paraId="29950D8E" w14:textId="66C6DA8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7A5582">
              <w:rPr>
                <w:rFonts w:eastAsia="Aptos"/>
                <w:i/>
                <w:color w:val="0E2841"/>
                <w:kern w:val="2"/>
                <w:sz w:val="18"/>
                <w:szCs w:val="18"/>
              </w:rPr>
              <w:instrText xml:space="preserve"> ADDIN ZOTERO_ITEM CSL_CITATION {"citationID":"aghhfh4j0","properties":{"formattedCitation":"\\uldash{(Leader, Gaustad, and Babbitt 2019)}","plainCitation":"(Leader, Gaustad, and Babbitt 2019)","dontUpdate":true,"noteIndex":0},"citationItems":[{"id":16761,"uris":["http://zotero.org/groups/5509458/items/BCG7VE24"],"itemData":{"id":16761,"type":"article-journal","container-title":"Materials for Renewable and Sustainable Energy","DOI":"10.1007/s40243-019-0146-z","ISSN":"2194-1459, 2194-1467","issue":"2","journalAbbreviation":"Mater Renew Sustain Energy","language":"en","page":"8","source":"DOI.org (Crossref)","title":"The effect of critical material prices on the competitiveness of clean energy technologies","volume":"8","author":[{"family":"Leader","given":"Alexandra"},{"family":"Gaustad","given":"Gabrielle"},{"family":"Babbitt","given":"Callie"}],"issued":{"date-parts":[["2019",6]]}}}],"schema":"https://github.com/citation-style-language/schema/raw/master/csl-citation.json"} </w:instrText>
            </w:r>
            <w:r w:rsidRPr="00F73297">
              <w:rPr>
                <w:rFonts w:eastAsia="Aptos"/>
                <w:i/>
                <w:color w:val="0E2841"/>
                <w:kern w:val="2"/>
                <w:sz w:val="18"/>
                <w:szCs w:val="18"/>
              </w:rPr>
              <w:fldChar w:fldCharType="separate"/>
            </w:r>
            <w:r w:rsidR="004265B8" w:rsidRPr="004265B8">
              <w:rPr>
                <w:color w:val="008080"/>
                <w:sz w:val="18"/>
                <w:szCs w:val="24"/>
                <w:u w:val="dash"/>
                <w:lang w:val="en-GB" w:eastAsia="en-GB"/>
              </w:rPr>
              <w:t>(Leader</w:t>
            </w:r>
            <w:r w:rsidR="004265B8">
              <w:rPr>
                <w:color w:val="008080"/>
                <w:sz w:val="18"/>
                <w:szCs w:val="24"/>
                <w:u w:val="dash"/>
                <w:lang w:val="en-GB" w:eastAsia="en-GB"/>
              </w:rPr>
              <w:t xml:space="preserve"> et al. </w:t>
            </w:r>
            <w:r w:rsidR="004265B8" w:rsidRPr="004265B8">
              <w:rPr>
                <w:color w:val="008080"/>
                <w:sz w:val="18"/>
                <w:szCs w:val="24"/>
                <w:u w:val="dash"/>
                <w:lang w:val="en-GB" w:eastAsia="en-GB"/>
              </w:rPr>
              <w:t>2019)</w:t>
            </w:r>
            <w:r w:rsidRPr="00F73297">
              <w:rPr>
                <w:rFonts w:eastAsia="Aptos"/>
                <w:color w:val="0E2841"/>
                <w:kern w:val="2"/>
                <w:sz w:val="18"/>
                <w:szCs w:val="18"/>
              </w:rPr>
              <w:fldChar w:fldCharType="end"/>
            </w:r>
          </w:p>
        </w:tc>
      </w:tr>
    </w:tbl>
    <w:p w14:paraId="65BF762E" w14:textId="77777777" w:rsidR="00250E9B" w:rsidRDefault="00250E9B" w:rsidP="00250E9B">
      <w:pPr>
        <w:jc w:val="both"/>
        <w:rPr>
          <w:sz w:val="22"/>
          <w:szCs w:val="22"/>
        </w:rPr>
      </w:pPr>
    </w:p>
    <w:p w14:paraId="7D25B2F3" w14:textId="77777777" w:rsidR="00250E9B" w:rsidRDefault="00250E9B" w:rsidP="00250E9B">
      <w:pPr>
        <w:jc w:val="both"/>
        <w:rPr>
          <w:sz w:val="22"/>
          <w:szCs w:val="22"/>
        </w:rPr>
      </w:pPr>
    </w:p>
    <w:p w14:paraId="2A4F183A" w14:textId="75BA6633" w:rsidR="00250E9B" w:rsidRPr="00F05D5B" w:rsidRDefault="00250E9B" w:rsidP="00250E9B">
      <w:pPr>
        <w:jc w:val="center"/>
        <w:rPr>
          <w:color w:val="0E2841"/>
          <w:sz w:val="18"/>
          <w:szCs w:val="18"/>
        </w:rPr>
      </w:pPr>
      <w:r w:rsidRPr="00F05D5B">
        <w:rPr>
          <w:b/>
          <w:color w:val="0E2841"/>
          <w:sz w:val="18"/>
          <w:szCs w:val="18"/>
        </w:rPr>
        <w:t>Table S</w:t>
      </w:r>
      <w:r>
        <w:rPr>
          <w:b/>
          <w:color w:val="0E2841"/>
          <w:sz w:val="18"/>
          <w:szCs w:val="18"/>
        </w:rPr>
        <w:t>1.1</w:t>
      </w:r>
      <w:r w:rsidR="0029776D">
        <w:rPr>
          <w:b/>
          <w:color w:val="0E2841"/>
          <w:sz w:val="18"/>
          <w:szCs w:val="18"/>
        </w:rPr>
        <w:t>6</w:t>
      </w:r>
      <w:r w:rsidRPr="00F05D5B">
        <w:rPr>
          <w:b/>
          <w:color w:val="0E2841"/>
          <w:sz w:val="18"/>
          <w:szCs w:val="18"/>
        </w:rPr>
        <w:t>:</w:t>
      </w:r>
      <w:r w:rsidRPr="00F05D5B">
        <w:rPr>
          <w:color w:val="0E2841"/>
          <w:sz w:val="18"/>
          <w:szCs w:val="18"/>
        </w:rPr>
        <w:t xml:space="preserve"> Neodymium</w:t>
      </w:r>
      <w:r>
        <w:rPr>
          <w:color w:val="0E2841"/>
          <w:sz w:val="18"/>
          <w:szCs w:val="18"/>
        </w:rPr>
        <w:t xml:space="preserve"> </w:t>
      </w:r>
      <w:r w:rsidRPr="00F05D5B">
        <w:rPr>
          <w:color w:val="0E2841"/>
          <w:sz w:val="18"/>
          <w:szCs w:val="18"/>
        </w:rPr>
        <w:t>intensities [kg/MW] in neodymium-iron-boron (NdFeB) permanent magnets in gearbox systems (GB-PMSG) reported in previous studies.</w:t>
      </w:r>
    </w:p>
    <w:tbl>
      <w:tblPr>
        <w:tblW w:w="8359"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413"/>
        <w:gridCol w:w="1565"/>
        <w:gridCol w:w="1537"/>
        <w:gridCol w:w="1014"/>
        <w:gridCol w:w="733"/>
        <w:gridCol w:w="2097"/>
      </w:tblGrid>
      <w:tr w:rsidR="00250E9B" w:rsidRPr="00F73297" w14:paraId="4E6356CE" w14:textId="77777777">
        <w:trPr>
          <w:trHeight w:val="23"/>
          <w:jc w:val="center"/>
        </w:trPr>
        <w:tc>
          <w:tcPr>
            <w:tcW w:w="1413" w:type="dxa"/>
            <w:vAlign w:val="center"/>
            <w:hideMark/>
          </w:tcPr>
          <w:p w14:paraId="37613DF7" w14:textId="77777777" w:rsidR="00250E9B" w:rsidRPr="00F73297" w:rsidRDefault="00250E9B">
            <w:pPr>
              <w:jc w:val="center"/>
              <w:rPr>
                <w:rFonts w:eastAsia="Aptos"/>
                <w:b/>
                <w:i/>
                <w:color w:val="0E2841"/>
                <w:kern w:val="2"/>
                <w:sz w:val="18"/>
                <w:szCs w:val="18"/>
              </w:rPr>
            </w:pPr>
            <w:r w:rsidRPr="00F73297">
              <w:rPr>
                <w:rFonts w:eastAsia="Aptos"/>
                <w:b/>
                <w:i/>
                <w:color w:val="0E2841"/>
                <w:kern w:val="2"/>
                <w:sz w:val="18"/>
                <w:szCs w:val="18"/>
              </w:rPr>
              <w:t>Sub-technology</w:t>
            </w:r>
          </w:p>
        </w:tc>
        <w:tc>
          <w:tcPr>
            <w:tcW w:w="1565" w:type="dxa"/>
            <w:vAlign w:val="center"/>
            <w:hideMark/>
          </w:tcPr>
          <w:p w14:paraId="2892FEDB" w14:textId="77777777" w:rsidR="00250E9B" w:rsidRPr="00F73297" w:rsidRDefault="00250E9B">
            <w:pPr>
              <w:jc w:val="center"/>
              <w:rPr>
                <w:rFonts w:eastAsia="Aptos"/>
                <w:b/>
                <w:i/>
                <w:color w:val="0E2841"/>
                <w:kern w:val="2"/>
                <w:sz w:val="18"/>
                <w:szCs w:val="18"/>
              </w:rPr>
            </w:pPr>
            <w:r w:rsidRPr="00F73297">
              <w:rPr>
                <w:rFonts w:eastAsia="Aptos"/>
                <w:b/>
                <w:i/>
                <w:color w:val="0E2841"/>
                <w:kern w:val="2"/>
                <w:sz w:val="18"/>
                <w:szCs w:val="18"/>
              </w:rPr>
              <w:t>Material</w:t>
            </w:r>
          </w:p>
        </w:tc>
        <w:tc>
          <w:tcPr>
            <w:tcW w:w="1537" w:type="dxa"/>
            <w:vAlign w:val="center"/>
            <w:hideMark/>
          </w:tcPr>
          <w:p w14:paraId="2A47CE08" w14:textId="77777777" w:rsidR="00250E9B" w:rsidRPr="00F73297" w:rsidRDefault="00250E9B">
            <w:pPr>
              <w:jc w:val="center"/>
              <w:rPr>
                <w:rFonts w:eastAsia="Aptos"/>
                <w:b/>
                <w:i/>
                <w:color w:val="0E2841"/>
                <w:kern w:val="2"/>
                <w:sz w:val="18"/>
                <w:szCs w:val="18"/>
              </w:rPr>
            </w:pPr>
            <w:r w:rsidRPr="00F73297">
              <w:rPr>
                <w:rFonts w:eastAsia="Aptos"/>
                <w:b/>
                <w:i/>
                <w:color w:val="0E2841"/>
                <w:kern w:val="2"/>
                <w:sz w:val="18"/>
                <w:szCs w:val="18"/>
              </w:rPr>
              <w:t>NdFeB Magnet Kg/MW</w:t>
            </w:r>
          </w:p>
        </w:tc>
        <w:tc>
          <w:tcPr>
            <w:tcW w:w="1014" w:type="dxa"/>
            <w:vAlign w:val="center"/>
            <w:hideMark/>
          </w:tcPr>
          <w:p w14:paraId="1FB7E4C5" w14:textId="77777777" w:rsidR="00250E9B" w:rsidRPr="00F73297" w:rsidRDefault="00250E9B">
            <w:pPr>
              <w:jc w:val="center"/>
              <w:rPr>
                <w:rFonts w:eastAsia="Aptos"/>
                <w:b/>
                <w:i/>
                <w:color w:val="0E2841"/>
                <w:kern w:val="2"/>
                <w:sz w:val="18"/>
                <w:szCs w:val="18"/>
              </w:rPr>
            </w:pPr>
            <w:r w:rsidRPr="00F73297">
              <w:rPr>
                <w:rFonts w:eastAsia="Aptos"/>
                <w:b/>
                <w:i/>
                <w:color w:val="0E2841"/>
                <w:kern w:val="2"/>
                <w:sz w:val="18"/>
                <w:szCs w:val="18"/>
              </w:rPr>
              <w:t>Kg/MW</w:t>
            </w:r>
          </w:p>
        </w:tc>
        <w:tc>
          <w:tcPr>
            <w:tcW w:w="733" w:type="dxa"/>
            <w:vAlign w:val="center"/>
            <w:hideMark/>
          </w:tcPr>
          <w:p w14:paraId="6CD02790" w14:textId="77777777" w:rsidR="00250E9B" w:rsidRPr="00F73297" w:rsidRDefault="00250E9B">
            <w:pPr>
              <w:jc w:val="center"/>
              <w:rPr>
                <w:rFonts w:eastAsia="Aptos"/>
                <w:b/>
                <w:i/>
                <w:color w:val="0E2841"/>
                <w:kern w:val="2"/>
                <w:sz w:val="18"/>
                <w:szCs w:val="18"/>
              </w:rPr>
            </w:pPr>
            <w:r w:rsidRPr="00F73297">
              <w:rPr>
                <w:rFonts w:eastAsia="Aptos"/>
                <w:b/>
                <w:i/>
                <w:color w:val="0E2841"/>
                <w:kern w:val="2"/>
                <w:sz w:val="18"/>
                <w:szCs w:val="18"/>
              </w:rPr>
              <w:t>%w</w:t>
            </w:r>
          </w:p>
        </w:tc>
        <w:tc>
          <w:tcPr>
            <w:tcW w:w="2097" w:type="dxa"/>
            <w:vAlign w:val="center"/>
            <w:hideMark/>
          </w:tcPr>
          <w:p w14:paraId="088AC2E4" w14:textId="77777777" w:rsidR="00250E9B" w:rsidRPr="00F73297" w:rsidRDefault="00250E9B">
            <w:pPr>
              <w:jc w:val="center"/>
              <w:rPr>
                <w:rFonts w:eastAsia="Aptos"/>
                <w:b/>
                <w:i/>
                <w:color w:val="0E2841"/>
                <w:kern w:val="2"/>
                <w:sz w:val="18"/>
                <w:szCs w:val="18"/>
              </w:rPr>
            </w:pPr>
            <w:r w:rsidRPr="00F73297">
              <w:rPr>
                <w:rFonts w:eastAsia="Aptos"/>
                <w:b/>
                <w:i/>
                <w:color w:val="0E2841"/>
                <w:kern w:val="2"/>
                <w:sz w:val="18"/>
                <w:szCs w:val="18"/>
              </w:rPr>
              <w:t>Source</w:t>
            </w:r>
          </w:p>
        </w:tc>
      </w:tr>
      <w:tr w:rsidR="00250E9B" w:rsidRPr="00F73297" w14:paraId="381CFB58" w14:textId="77777777">
        <w:trPr>
          <w:trHeight w:val="23"/>
          <w:jc w:val="center"/>
        </w:trPr>
        <w:tc>
          <w:tcPr>
            <w:tcW w:w="1413" w:type="dxa"/>
            <w:vMerge w:val="restart"/>
            <w:noWrap/>
            <w:vAlign w:val="center"/>
            <w:hideMark/>
          </w:tcPr>
          <w:p w14:paraId="5405FC98"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GB-PMSG</w:t>
            </w:r>
          </w:p>
        </w:tc>
        <w:tc>
          <w:tcPr>
            <w:tcW w:w="1565" w:type="dxa"/>
            <w:vMerge w:val="restart"/>
            <w:vAlign w:val="center"/>
            <w:hideMark/>
          </w:tcPr>
          <w:p w14:paraId="04B8324F"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Neodymium</w:t>
            </w:r>
            <w:r w:rsidRPr="00F73297">
              <w:rPr>
                <w:rFonts w:eastAsia="Aptos"/>
                <w:i/>
                <w:color w:val="0E2841"/>
                <w:kern w:val="2"/>
                <w:sz w:val="18"/>
                <w:szCs w:val="18"/>
              </w:rPr>
              <w:br/>
              <w:t>Nd</w:t>
            </w:r>
          </w:p>
        </w:tc>
        <w:tc>
          <w:tcPr>
            <w:tcW w:w="1537" w:type="dxa"/>
            <w:noWrap/>
            <w:vAlign w:val="center"/>
            <w:hideMark/>
          </w:tcPr>
          <w:p w14:paraId="296EA112"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120</w:t>
            </w:r>
          </w:p>
        </w:tc>
        <w:tc>
          <w:tcPr>
            <w:tcW w:w="1014" w:type="dxa"/>
            <w:noWrap/>
            <w:vAlign w:val="center"/>
            <w:hideMark/>
          </w:tcPr>
          <w:p w14:paraId="1425F500"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27.84</w:t>
            </w:r>
          </w:p>
        </w:tc>
        <w:tc>
          <w:tcPr>
            <w:tcW w:w="733" w:type="dxa"/>
            <w:noWrap/>
            <w:vAlign w:val="center"/>
            <w:hideMark/>
          </w:tcPr>
          <w:p w14:paraId="0F34C317"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23%</w:t>
            </w:r>
          </w:p>
        </w:tc>
        <w:tc>
          <w:tcPr>
            <w:tcW w:w="2097" w:type="dxa"/>
            <w:noWrap/>
            <w:vAlign w:val="center"/>
            <w:hideMark/>
          </w:tcPr>
          <w:p w14:paraId="762D04C5" w14:textId="324C1B6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{"citationID":"ZOpNWTpO","properties":{"formattedCitation":"(Kumari et al., 2018)","plainCitation":"(Kumari et al., 2018)","noteIndex":0},"citationItems":[{"id":16624,"uris":["http://zotero.org/groups/5509458/items/EQLBQ5YA"],"itemData":{"id":16624,"type":"article-journal","container-title":"Waste Management","DOI":"10.1016/j.wasman.2018.01.033","ISSN":"0956053X","journalAbbreviation":"Waste Management","language":"en","page":"486-498","source":"DOI.org (Crossref)","title":"Recovery of rare earths from spent NdFeB magnets of wind turbine: Leaching and kinetic aspects","title-short":"Recovery of rare earths from spent NdFeB magnets of wind turbine","volume":"75","author":[{"family":"Kumari","given":"Aarti"},{"family":"Sinha","given":"Manish Kumar"},{"family":"Pramanik","given":"Swati"},{"family":"Sahu","given":"Sushanta Kumar"}],"issued":{"date-parts":[["2018",5]]}}}],"schema":"https://github.com/citation-style-language/schema/raw/master/csl-citation.json"}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(Kumari et al., 2018)</w:t>
            </w:r>
            <w:r w:rsidRPr="00F73297">
              <w:rPr>
                <w:rFonts w:eastAsia="Aptos"/>
                <w:color w:val="0E2841"/>
                <w:kern w:val="2"/>
                <w:sz w:val="18"/>
                <w:szCs w:val="18"/>
              </w:rPr>
              <w:fldChar w:fldCharType="end"/>
            </w:r>
          </w:p>
        </w:tc>
      </w:tr>
      <w:tr w:rsidR="00250E9B" w:rsidRPr="00F73297" w14:paraId="7D2DA4F3" w14:textId="77777777">
        <w:trPr>
          <w:trHeight w:val="23"/>
          <w:jc w:val="center"/>
        </w:trPr>
        <w:tc>
          <w:tcPr>
            <w:tcW w:w="1413" w:type="dxa"/>
            <w:vMerge/>
            <w:vAlign w:val="center"/>
            <w:hideMark/>
          </w:tcPr>
          <w:p w14:paraId="4AE32986" w14:textId="77777777" w:rsidR="00250E9B" w:rsidRPr="00F73297" w:rsidRDefault="00250E9B">
            <w:pPr>
              <w:jc w:val="center"/>
              <w:rPr>
                <w:rFonts w:eastAsia="Aptos"/>
                <w:i/>
                <w:color w:val="0E2841"/>
                <w:kern w:val="2"/>
                <w:sz w:val="18"/>
                <w:szCs w:val="18"/>
              </w:rPr>
            </w:pPr>
          </w:p>
        </w:tc>
        <w:tc>
          <w:tcPr>
            <w:tcW w:w="1565" w:type="dxa"/>
            <w:vMerge/>
            <w:vAlign w:val="center"/>
            <w:hideMark/>
          </w:tcPr>
          <w:p w14:paraId="07BCC942" w14:textId="77777777" w:rsidR="00250E9B" w:rsidRPr="00F73297" w:rsidRDefault="00250E9B">
            <w:pPr>
              <w:jc w:val="center"/>
              <w:rPr>
                <w:rFonts w:eastAsia="Aptos"/>
                <w:i/>
                <w:color w:val="0E2841"/>
                <w:kern w:val="2"/>
                <w:sz w:val="18"/>
                <w:szCs w:val="18"/>
              </w:rPr>
            </w:pPr>
          </w:p>
        </w:tc>
        <w:tc>
          <w:tcPr>
            <w:tcW w:w="1537" w:type="dxa"/>
            <w:noWrap/>
            <w:vAlign w:val="center"/>
            <w:hideMark/>
          </w:tcPr>
          <w:p w14:paraId="708198B4"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160</w:t>
            </w:r>
          </w:p>
        </w:tc>
        <w:tc>
          <w:tcPr>
            <w:tcW w:w="1014" w:type="dxa"/>
            <w:noWrap/>
            <w:vAlign w:val="center"/>
            <w:hideMark/>
          </w:tcPr>
          <w:p w14:paraId="36CC2648"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43.2</w:t>
            </w:r>
          </w:p>
        </w:tc>
        <w:tc>
          <w:tcPr>
            <w:tcW w:w="733" w:type="dxa"/>
            <w:noWrap/>
            <w:vAlign w:val="center"/>
            <w:hideMark/>
          </w:tcPr>
          <w:p w14:paraId="50E5596B"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27%</w:t>
            </w:r>
          </w:p>
        </w:tc>
        <w:tc>
          <w:tcPr>
            <w:tcW w:w="2097" w:type="dxa"/>
            <w:noWrap/>
            <w:vAlign w:val="center"/>
            <w:hideMark/>
          </w:tcPr>
          <w:p w14:paraId="09A43FBB" w14:textId="40F99EAF"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{"citationID":"r6ATFvfM","properties":{"formattedCitation":"(Imholte et al., 2018)","plainCitation":"(Imholte et al., 2018)","noteIndex":0},"citationItems":[{"id":15297,"uris":["http://zotero.org/groups/4945499/items/C6VKLB3M"],"itemData":{"id":15297,"type":"article-journal","abstract":"Global initiatives are focused on deploying clean energy technologies, such as wind energy, to reduce greenhouse gas emissions. U.S. onshore and oﬀshore wind targets have been particularly aggressive. Some wind energy technologies, such as direct-drive wind turbines, rely on a volatile and Chinese-concentrated rare earth element (REE) supply chain. Global eﬀorts have been made to develop new sources of REEs, with limited success. This lack of rare earth availability has been suggested to inhibit direct-drive adoption, despite its energy eﬃciency beneﬁts. However, it is unclear if new U.S. REE supply could adequately support onshore and oﬀshore direct-drive wind energy growth, and help meet U.S. wind energy targets. This analysis estimates U.S. and Chinese REE availability that could support U.S. direct-drive and other REE demand. Results indicated that U.S. wind installation targets with solely direct-drive designs could only require 4–12% of maximum light rare earth production from Mountain Pass, Bear Lodge and phosphate rock mines. When considering market dynamics and hypothetical U.S. production, U.S. light REE production capacity was not able to provide suﬃcient light rare earths to achieve wind energy targets. U.S. wind energy targets could be achieved by prioritizing 3–17% of U.S. light REE production for direct-drive wind energy.","container-title":"Energy Policy","DOI":"10.1016/j.enpol.2017.11.001","ISSN":"03014215","journalAbbreviation":"Energy Policy","language":"en","page":"294-305","source":"DOI.org (Crossref)","title":"An assessment of U.S. rare earth availability for supporting U.S. wind energy growth targets","volume":"113","author":[{"family":"Imholte","given":"D.D."},{"family":"Nguyen","given":"R.T."},{"family":"Vedantam","given":"A."},{"family":"Brown","given":"M."},{"family":"Iyer","given":"A."},{"family":"Smith","given":"B.J."},{"family":"Collins","given":"J.W."},{"family":"Anderson","given":"C.G."},{"family":"O’Kelley","given":"B."}],"issued":{"date-parts":[["2018",2]]}}}],"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(Imholte et al., 2018)</w:t>
            </w:r>
            <w:r w:rsidRPr="00F73297">
              <w:rPr>
                <w:rFonts w:eastAsia="Aptos"/>
                <w:color w:val="0E2841"/>
                <w:kern w:val="2"/>
                <w:sz w:val="18"/>
                <w:szCs w:val="18"/>
              </w:rPr>
              <w:fldChar w:fldCharType="end"/>
            </w:r>
          </w:p>
        </w:tc>
      </w:tr>
      <w:tr w:rsidR="00250E9B" w:rsidRPr="00F73297" w14:paraId="246D6A54" w14:textId="77777777">
        <w:trPr>
          <w:trHeight w:val="23"/>
          <w:jc w:val="center"/>
        </w:trPr>
        <w:tc>
          <w:tcPr>
            <w:tcW w:w="1413" w:type="dxa"/>
            <w:vMerge/>
            <w:vAlign w:val="center"/>
            <w:hideMark/>
          </w:tcPr>
          <w:p w14:paraId="5B1DEB12" w14:textId="77777777" w:rsidR="00250E9B" w:rsidRPr="00F73297" w:rsidRDefault="00250E9B">
            <w:pPr>
              <w:jc w:val="center"/>
              <w:rPr>
                <w:rFonts w:eastAsia="Aptos"/>
                <w:i/>
                <w:color w:val="0E2841"/>
                <w:kern w:val="2"/>
                <w:sz w:val="18"/>
                <w:szCs w:val="18"/>
              </w:rPr>
            </w:pPr>
          </w:p>
        </w:tc>
        <w:tc>
          <w:tcPr>
            <w:tcW w:w="1565" w:type="dxa"/>
            <w:vMerge/>
            <w:vAlign w:val="center"/>
            <w:hideMark/>
          </w:tcPr>
          <w:p w14:paraId="25D007DA" w14:textId="77777777" w:rsidR="00250E9B" w:rsidRPr="00F73297" w:rsidRDefault="00250E9B">
            <w:pPr>
              <w:jc w:val="center"/>
              <w:rPr>
                <w:rFonts w:eastAsia="Aptos"/>
                <w:i/>
                <w:color w:val="0E2841"/>
                <w:kern w:val="2"/>
                <w:sz w:val="18"/>
                <w:szCs w:val="18"/>
              </w:rPr>
            </w:pPr>
          </w:p>
        </w:tc>
        <w:tc>
          <w:tcPr>
            <w:tcW w:w="1537" w:type="dxa"/>
            <w:noWrap/>
            <w:vAlign w:val="center"/>
            <w:hideMark/>
          </w:tcPr>
          <w:p w14:paraId="38CA08C4"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120</w:t>
            </w:r>
          </w:p>
        </w:tc>
        <w:tc>
          <w:tcPr>
            <w:tcW w:w="1014" w:type="dxa"/>
            <w:noWrap/>
            <w:vAlign w:val="center"/>
            <w:hideMark/>
          </w:tcPr>
          <w:p w14:paraId="39BF277D"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32.4</w:t>
            </w:r>
          </w:p>
        </w:tc>
        <w:tc>
          <w:tcPr>
            <w:tcW w:w="733" w:type="dxa"/>
            <w:noWrap/>
            <w:vAlign w:val="center"/>
            <w:hideMark/>
          </w:tcPr>
          <w:p w14:paraId="755AA98B"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27%</w:t>
            </w:r>
          </w:p>
        </w:tc>
        <w:tc>
          <w:tcPr>
            <w:tcW w:w="2097" w:type="dxa"/>
            <w:noWrap/>
            <w:vAlign w:val="center"/>
            <w:hideMark/>
          </w:tcPr>
          <w:p w14:paraId="3227301C" w14:textId="4471544E"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{"citationID":"dLHEsvbk","properties":{"formattedCitation":"(J. Li et al., 2020)","plainCitation":"(J. Li et al., 2020)","noteIndex":0},"citationItems":[{"id":16633,"uris":["http://zotero.org/groups/5509458/items/SG24R7JJ"],"itemData":{"id":16633,"type":"article-journal","container-title":"One Earth","DOI":"10.1016/j.oneear.2020.06.009","ISSN":"25903322","issue":"1","journalAbbreviation":"One Earth","language":"en","page":"116-125","source":"DOI.org (Crossref)","title":"Critical Rare-Earth Elements Mismatch Global Wind-Power Ambitions","volume":"3","author":[{"family":"Li","given":"Jiashuo"},{"family":"Peng","given":"Kun"},{"family":"Wang","given":"Peng"},{"family":"Zhang","given":"Ning"},{"family":"Feng","given":"Kuishuang"},{"family":"Guan","given":"Dabo"},{"family":"Meng","given":"Jing"},{"family":"Wei","given":"Wendong"},{"family":"Yang","given":"Qing"}],"issued":{"date-parts":[["2020",7]]}}}],"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(J. Li et al., 2020)</w:t>
            </w:r>
            <w:r w:rsidRPr="00F73297">
              <w:rPr>
                <w:rFonts w:eastAsia="Aptos"/>
                <w:color w:val="0E2841"/>
                <w:kern w:val="2"/>
                <w:sz w:val="18"/>
                <w:szCs w:val="18"/>
              </w:rPr>
              <w:fldChar w:fldCharType="end"/>
            </w:r>
          </w:p>
        </w:tc>
      </w:tr>
    </w:tbl>
    <w:p w14:paraId="1494EF49" w14:textId="77777777" w:rsidR="00250E9B" w:rsidRDefault="00250E9B" w:rsidP="00250E9B">
      <w:pPr>
        <w:jc w:val="center"/>
        <w:rPr>
          <w:color w:val="0E2841"/>
          <w:sz w:val="18"/>
          <w:szCs w:val="18"/>
        </w:rPr>
      </w:pPr>
    </w:p>
    <w:p w14:paraId="30AC8409" w14:textId="77777777" w:rsidR="00250E9B" w:rsidRDefault="00250E9B" w:rsidP="00250E9B">
      <w:pPr>
        <w:jc w:val="center"/>
        <w:rPr>
          <w:color w:val="0E2841"/>
          <w:sz w:val="18"/>
          <w:szCs w:val="18"/>
        </w:rPr>
      </w:pPr>
    </w:p>
    <w:p w14:paraId="65520FCE" w14:textId="0AEFA7B8" w:rsidR="00250E9B" w:rsidRDefault="00250E9B" w:rsidP="00250E9B">
      <w:pPr>
        <w:jc w:val="center"/>
        <w:rPr>
          <w:color w:val="0E2841"/>
          <w:sz w:val="18"/>
          <w:szCs w:val="18"/>
        </w:rPr>
      </w:pPr>
      <w:r w:rsidRPr="00F05D5B">
        <w:rPr>
          <w:b/>
          <w:color w:val="0E2841"/>
          <w:sz w:val="18"/>
          <w:szCs w:val="18"/>
        </w:rPr>
        <w:t>Table S</w:t>
      </w:r>
      <w:r>
        <w:rPr>
          <w:b/>
          <w:color w:val="0E2841"/>
          <w:sz w:val="18"/>
          <w:szCs w:val="18"/>
        </w:rPr>
        <w:t>1.1</w:t>
      </w:r>
      <w:r w:rsidR="003419FF">
        <w:rPr>
          <w:b/>
          <w:color w:val="0E2841"/>
          <w:sz w:val="18"/>
          <w:szCs w:val="18"/>
        </w:rPr>
        <w:t>7</w:t>
      </w:r>
      <w:r w:rsidRPr="00F05D5B">
        <w:rPr>
          <w:b/>
          <w:color w:val="0E2841"/>
          <w:sz w:val="18"/>
          <w:szCs w:val="18"/>
        </w:rPr>
        <w:t>:</w:t>
      </w:r>
      <w:r w:rsidRPr="00F05D5B">
        <w:rPr>
          <w:color w:val="0E2841"/>
          <w:sz w:val="18"/>
          <w:szCs w:val="18"/>
        </w:rPr>
        <w:t xml:space="preserve"> </w:t>
      </w:r>
      <w:r>
        <w:rPr>
          <w:color w:val="0E2841"/>
          <w:sz w:val="18"/>
          <w:szCs w:val="18"/>
        </w:rPr>
        <w:t>P</w:t>
      </w:r>
      <w:r w:rsidRPr="00F05D5B">
        <w:rPr>
          <w:color w:val="0E2841"/>
          <w:sz w:val="18"/>
          <w:szCs w:val="18"/>
        </w:rPr>
        <w:t>raseodymium</w:t>
      </w:r>
      <w:r>
        <w:rPr>
          <w:color w:val="0E2841"/>
          <w:sz w:val="18"/>
          <w:szCs w:val="18"/>
        </w:rPr>
        <w:t xml:space="preserve"> </w:t>
      </w:r>
      <w:r w:rsidRPr="00F05D5B">
        <w:rPr>
          <w:color w:val="0E2841"/>
          <w:sz w:val="18"/>
          <w:szCs w:val="18"/>
        </w:rPr>
        <w:t>intensities [kg/MW] in neodymium-iron-boron (NdFeB) permanent magnets in gearbox systems (GB-PMSG) reported in previous studies.</w:t>
      </w:r>
    </w:p>
    <w:tbl>
      <w:tblPr>
        <w:tblW w:w="8359"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413"/>
        <w:gridCol w:w="1565"/>
        <w:gridCol w:w="1537"/>
        <w:gridCol w:w="1014"/>
        <w:gridCol w:w="733"/>
        <w:gridCol w:w="2097"/>
      </w:tblGrid>
      <w:tr w:rsidR="00250E9B" w:rsidRPr="00F73297" w14:paraId="5DB3F39E" w14:textId="77777777">
        <w:trPr>
          <w:trHeight w:val="23"/>
          <w:jc w:val="center"/>
        </w:trPr>
        <w:tc>
          <w:tcPr>
            <w:tcW w:w="1413" w:type="dxa"/>
            <w:vAlign w:val="center"/>
          </w:tcPr>
          <w:p w14:paraId="18353711"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Sub-technology</w:t>
            </w:r>
          </w:p>
        </w:tc>
        <w:tc>
          <w:tcPr>
            <w:tcW w:w="1565" w:type="dxa"/>
            <w:vAlign w:val="center"/>
          </w:tcPr>
          <w:p w14:paraId="4C8E49DD"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Material</w:t>
            </w:r>
          </w:p>
        </w:tc>
        <w:tc>
          <w:tcPr>
            <w:tcW w:w="1537" w:type="dxa"/>
            <w:noWrap/>
            <w:vAlign w:val="center"/>
          </w:tcPr>
          <w:p w14:paraId="09B47017"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NdFeB Magnet Kg/MW</w:t>
            </w:r>
          </w:p>
        </w:tc>
        <w:tc>
          <w:tcPr>
            <w:tcW w:w="1014" w:type="dxa"/>
            <w:noWrap/>
            <w:vAlign w:val="center"/>
          </w:tcPr>
          <w:p w14:paraId="6A3CDCCC"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Kg/MW</w:t>
            </w:r>
          </w:p>
        </w:tc>
        <w:tc>
          <w:tcPr>
            <w:tcW w:w="733" w:type="dxa"/>
            <w:noWrap/>
            <w:vAlign w:val="center"/>
          </w:tcPr>
          <w:p w14:paraId="3BEF7206"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%w</w:t>
            </w:r>
          </w:p>
        </w:tc>
        <w:tc>
          <w:tcPr>
            <w:tcW w:w="2097" w:type="dxa"/>
            <w:noWrap/>
            <w:vAlign w:val="center"/>
          </w:tcPr>
          <w:p w14:paraId="6BF629F1"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Source</w:t>
            </w:r>
          </w:p>
        </w:tc>
      </w:tr>
      <w:tr w:rsidR="00250E9B" w:rsidRPr="00F73297" w14:paraId="7D5117B4" w14:textId="77777777">
        <w:trPr>
          <w:trHeight w:val="23"/>
          <w:jc w:val="center"/>
        </w:trPr>
        <w:tc>
          <w:tcPr>
            <w:tcW w:w="1413" w:type="dxa"/>
            <w:vMerge w:val="restart"/>
            <w:vAlign w:val="center"/>
            <w:hideMark/>
          </w:tcPr>
          <w:p w14:paraId="5B95D1FC"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GB-PMSG</w:t>
            </w:r>
          </w:p>
        </w:tc>
        <w:tc>
          <w:tcPr>
            <w:tcW w:w="1565" w:type="dxa"/>
            <w:vMerge w:val="restart"/>
            <w:vAlign w:val="center"/>
            <w:hideMark/>
          </w:tcPr>
          <w:p w14:paraId="1DA5855E"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Praseodymium</w:t>
            </w:r>
            <w:r w:rsidRPr="00F73297">
              <w:rPr>
                <w:rFonts w:eastAsia="Aptos"/>
                <w:i/>
                <w:color w:val="0E2841"/>
                <w:kern w:val="2"/>
                <w:sz w:val="18"/>
                <w:szCs w:val="18"/>
              </w:rPr>
              <w:br/>
            </w:r>
            <w:proofErr w:type="spellStart"/>
            <w:r w:rsidRPr="00F73297">
              <w:rPr>
                <w:rFonts w:eastAsia="Aptos"/>
                <w:i/>
                <w:color w:val="0E2841"/>
                <w:kern w:val="2"/>
                <w:sz w:val="18"/>
                <w:szCs w:val="18"/>
              </w:rPr>
              <w:t>Pr</w:t>
            </w:r>
            <w:proofErr w:type="spellEnd"/>
          </w:p>
        </w:tc>
        <w:tc>
          <w:tcPr>
            <w:tcW w:w="1537" w:type="dxa"/>
            <w:noWrap/>
            <w:vAlign w:val="center"/>
            <w:hideMark/>
          </w:tcPr>
          <w:p w14:paraId="71FA324C"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160</w:t>
            </w:r>
          </w:p>
        </w:tc>
        <w:tc>
          <w:tcPr>
            <w:tcW w:w="1014" w:type="dxa"/>
            <w:noWrap/>
            <w:vAlign w:val="center"/>
            <w:hideMark/>
          </w:tcPr>
          <w:p w14:paraId="266894EF"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3.2</w:t>
            </w:r>
          </w:p>
        </w:tc>
        <w:tc>
          <w:tcPr>
            <w:tcW w:w="733" w:type="dxa"/>
            <w:noWrap/>
            <w:vAlign w:val="center"/>
            <w:hideMark/>
          </w:tcPr>
          <w:p w14:paraId="15264A1A"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2%</w:t>
            </w:r>
          </w:p>
        </w:tc>
        <w:tc>
          <w:tcPr>
            <w:tcW w:w="2097" w:type="dxa"/>
            <w:noWrap/>
            <w:vAlign w:val="center"/>
            <w:hideMark/>
          </w:tcPr>
          <w:p w14:paraId="78F5808A" w14:textId="4A2653AF"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{"citationID":"dch04uUI","properties":{"formattedCitation":"(Imholte et al., 2018)","plainCitation":"(Imholte et al., 2018)","noteIndex":0},"citationItems":[{"id":15297,"uris":["http://zotero.org/groups/4945499/items/C6VKLB3M"],"itemData":{"id":15297,"type":"article-journal","abstract":"Global initiatives are focused on deploying clean energy technologies, such as wind energy, to reduce greenhouse gas emissions. U.S. onshore and oﬀshore wind targets have been particularly aggressive. Some wind energy technologies, such as direct-drive wind turbines, rely on a volatile and Chinese-concentrated rare earth element (REE) supply chain. Global eﬀorts have been made to develop new sources of REEs, with limited success. This lack of rare earth availability has been suggested to inhibit direct-drive adoption, despite its energy eﬃciency beneﬁts. However, it is unclear if new U.S. REE supply could adequately support onshore and oﬀshore direct-drive wind energy growth, and help meet U.S. wind energy targets. This analysis estimates U.S. and Chinese REE availability that could support U.S. direct-drive and other REE demand. Results indicated that U.S. wind installation targets with solely direct-drive designs could only require 4–12% of maximum light rare earth production from Mountain Pass, Bear Lodge and phosphate rock mines. When considering market dynamics and hypothetical U.S. production, U.S. light REE production capacity was not able to provide suﬃcient light rare earths to achieve wind energy targets. U.S. wind energy targets could be achieved by prioritizing 3–17% of U.S. light REE production for direct-drive wind energy.","container-title":"Energy Policy","DOI":"10.1016/j.enpol.2017.11.001","ISSN":"03014215","journalAbbreviation":"Energy Policy","language":"en","page":"294-305","source":"DOI.org (Crossref)","title":"An assessment of U.S. rare earth availability for supporting U.S. wind energy growth targets","volume":"113","author":[{"family":"Imholte","given":"D.D."},{"family":"Nguyen","given":"R.T."},{"family":"Vedantam","given":"A."},{"family":"Brown","given":"M."},{"family":"Iyer","given":"A."},{"family":"Smith","given":"B.J."},{"family":"Collins","given":"J.W."},{"family":"Anderson","given":"C.G."},{"family":"O’Kelley","given":"B."}],"issued":{"date-parts":[["2018",2]]}}}],"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(Imholte et al., 2018)</w:t>
            </w:r>
            <w:r w:rsidRPr="00F73297">
              <w:rPr>
                <w:rFonts w:eastAsia="Aptos"/>
                <w:color w:val="0E2841"/>
                <w:kern w:val="2"/>
                <w:sz w:val="18"/>
                <w:szCs w:val="18"/>
              </w:rPr>
              <w:fldChar w:fldCharType="end"/>
            </w:r>
          </w:p>
        </w:tc>
      </w:tr>
      <w:tr w:rsidR="00250E9B" w:rsidRPr="00F73297" w14:paraId="4528F2C9" w14:textId="77777777">
        <w:trPr>
          <w:trHeight w:val="23"/>
          <w:jc w:val="center"/>
        </w:trPr>
        <w:tc>
          <w:tcPr>
            <w:tcW w:w="1413" w:type="dxa"/>
            <w:vMerge/>
            <w:vAlign w:val="center"/>
            <w:hideMark/>
          </w:tcPr>
          <w:p w14:paraId="2B07520C" w14:textId="77777777" w:rsidR="00250E9B" w:rsidRPr="00F73297" w:rsidRDefault="00250E9B">
            <w:pPr>
              <w:jc w:val="center"/>
              <w:rPr>
                <w:rFonts w:eastAsia="Aptos"/>
                <w:i/>
                <w:color w:val="0E2841"/>
                <w:kern w:val="2"/>
                <w:sz w:val="18"/>
                <w:szCs w:val="18"/>
              </w:rPr>
            </w:pPr>
          </w:p>
        </w:tc>
        <w:tc>
          <w:tcPr>
            <w:tcW w:w="1565" w:type="dxa"/>
            <w:vMerge/>
            <w:vAlign w:val="center"/>
            <w:hideMark/>
          </w:tcPr>
          <w:p w14:paraId="52E3615D" w14:textId="77777777" w:rsidR="00250E9B" w:rsidRPr="00F73297" w:rsidRDefault="00250E9B">
            <w:pPr>
              <w:jc w:val="center"/>
              <w:rPr>
                <w:rFonts w:eastAsia="Aptos"/>
                <w:i/>
                <w:color w:val="0E2841"/>
                <w:kern w:val="2"/>
                <w:sz w:val="18"/>
                <w:szCs w:val="18"/>
              </w:rPr>
            </w:pPr>
          </w:p>
        </w:tc>
        <w:tc>
          <w:tcPr>
            <w:tcW w:w="1537" w:type="dxa"/>
            <w:noWrap/>
            <w:vAlign w:val="center"/>
            <w:hideMark/>
          </w:tcPr>
          <w:p w14:paraId="781AFFCD"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120</w:t>
            </w:r>
          </w:p>
        </w:tc>
        <w:tc>
          <w:tcPr>
            <w:tcW w:w="1014" w:type="dxa"/>
            <w:noWrap/>
            <w:vAlign w:val="center"/>
            <w:hideMark/>
          </w:tcPr>
          <w:p w14:paraId="3ED46591"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8.1</w:t>
            </w:r>
          </w:p>
        </w:tc>
        <w:tc>
          <w:tcPr>
            <w:tcW w:w="733" w:type="dxa"/>
            <w:noWrap/>
            <w:vAlign w:val="center"/>
            <w:hideMark/>
          </w:tcPr>
          <w:p w14:paraId="75493C85"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7%</w:t>
            </w:r>
          </w:p>
        </w:tc>
        <w:tc>
          <w:tcPr>
            <w:tcW w:w="2097" w:type="dxa"/>
            <w:noWrap/>
            <w:vAlign w:val="center"/>
            <w:hideMark/>
          </w:tcPr>
          <w:p w14:paraId="15A3BA26" w14:textId="6567A205"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{"citationID":"D1uMgSLk","properties":{"formattedCitation":"(J. Li et al., 2020)","plainCitation":"(J. Li et al., 2020)","noteIndex":0},"citationItems":[{"id":16633,"uris":["http://zotero.org/groups/5509458/items/SG24R7JJ"],"itemData":{"id":16633,"type":"article-journal","container-title":"One Earth","DOI":"10.1016/j.oneear.2020.06.009","ISSN":"25903322","issue":"1","journalAbbreviation":"One Earth","language":"en","page":"116-125","source":"DOI.org (Crossref)","title":"Critical Rare-Earth Elements Mismatch Global Wind-Power Ambitions","volume":"3","author":[{"family":"Li","given":"Jiashuo"},{"family":"Peng","given":"Kun"},{"family":"Wang","given":"Peng"},{"family":"Zhang","given":"Ning"},{"family":"Feng","given":"Kuishuang"},{"family":"Guan","given":"Dabo"},{"family":"Meng","given":"Jing"},{"family":"Wei","given":"Wendong"},{"family":"Yang","given":"Qing"}],"issued":{"date-parts":[["2020",7]]}}}],"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(J. Li et al., 2020)</w:t>
            </w:r>
            <w:r w:rsidRPr="00F73297">
              <w:rPr>
                <w:rFonts w:eastAsia="Aptos"/>
                <w:color w:val="0E2841"/>
                <w:kern w:val="2"/>
                <w:sz w:val="18"/>
                <w:szCs w:val="18"/>
              </w:rPr>
              <w:fldChar w:fldCharType="end"/>
            </w:r>
          </w:p>
        </w:tc>
      </w:tr>
      <w:tr w:rsidR="00250E9B" w:rsidRPr="00F73297" w14:paraId="3EEF26ED" w14:textId="77777777">
        <w:trPr>
          <w:trHeight w:val="23"/>
          <w:jc w:val="center"/>
        </w:trPr>
        <w:tc>
          <w:tcPr>
            <w:tcW w:w="1413" w:type="dxa"/>
            <w:vMerge/>
            <w:vAlign w:val="center"/>
            <w:hideMark/>
          </w:tcPr>
          <w:p w14:paraId="4EF6DE96" w14:textId="77777777" w:rsidR="00250E9B" w:rsidRPr="00F73297" w:rsidRDefault="00250E9B">
            <w:pPr>
              <w:jc w:val="center"/>
              <w:rPr>
                <w:rFonts w:eastAsia="Aptos"/>
                <w:i/>
                <w:color w:val="0E2841"/>
                <w:kern w:val="2"/>
                <w:sz w:val="18"/>
                <w:szCs w:val="18"/>
              </w:rPr>
            </w:pPr>
          </w:p>
        </w:tc>
        <w:tc>
          <w:tcPr>
            <w:tcW w:w="1565" w:type="dxa"/>
            <w:vMerge/>
            <w:vAlign w:val="center"/>
            <w:hideMark/>
          </w:tcPr>
          <w:p w14:paraId="6FC60AF6" w14:textId="77777777" w:rsidR="00250E9B" w:rsidRPr="00F73297" w:rsidRDefault="00250E9B">
            <w:pPr>
              <w:jc w:val="center"/>
              <w:rPr>
                <w:rFonts w:eastAsia="Aptos"/>
                <w:i/>
                <w:color w:val="0E2841"/>
                <w:kern w:val="2"/>
                <w:sz w:val="18"/>
                <w:szCs w:val="18"/>
              </w:rPr>
            </w:pPr>
          </w:p>
        </w:tc>
        <w:tc>
          <w:tcPr>
            <w:tcW w:w="1537" w:type="dxa"/>
            <w:noWrap/>
            <w:vAlign w:val="center"/>
            <w:hideMark/>
          </w:tcPr>
          <w:p w14:paraId="1B9F83D8"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160</w:t>
            </w:r>
          </w:p>
        </w:tc>
        <w:tc>
          <w:tcPr>
            <w:tcW w:w="1014" w:type="dxa"/>
            <w:noWrap/>
            <w:vAlign w:val="center"/>
            <w:hideMark/>
          </w:tcPr>
          <w:p w14:paraId="5191AE57"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8.96</w:t>
            </w:r>
          </w:p>
        </w:tc>
        <w:tc>
          <w:tcPr>
            <w:tcW w:w="733" w:type="dxa"/>
            <w:noWrap/>
            <w:vAlign w:val="center"/>
            <w:hideMark/>
          </w:tcPr>
          <w:p w14:paraId="5CDA1446"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6%</w:t>
            </w:r>
          </w:p>
        </w:tc>
        <w:tc>
          <w:tcPr>
            <w:tcW w:w="2097" w:type="dxa"/>
            <w:noWrap/>
            <w:vAlign w:val="center"/>
            <w:hideMark/>
          </w:tcPr>
          <w:p w14:paraId="3548A503" w14:textId="391C61F6"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{"citationID":"d39RBBES","properties":{"formattedCitation":"(Kumari et al., 2018)","plainCitation":"(Kumari et al., 2018)","noteIndex":0},"citationItems":[{"id":16624,"uris":["http://zotero.org/groups/5509458/items/EQLBQ5YA"],"itemData":{"id":16624,"type":"article-journal","container-title":"Waste Management","DOI":"10.1016/j.wasman.2018.01.033","ISSN":"0956053X","journalAbbreviation":"Waste Management","language":"en","page":"486-498","source":"DOI.org (Crossref)","title":"Recovery of rare earths from spent NdFeB magnets of wind turbine: Leaching and kinetic aspects","title-short":"Recovery of rare earths from spent NdFeB magnets of wind turbine","volume":"75","author":[{"family":"Kumari","given":"Aarti"},{"family":"Sinha","given":"Manish Kumar"},{"family":"Pramanik","given":"Swati"},{"family":"Sahu","given":"Sushanta Kumar"}],"issued":{"date-parts":[["2018",5]]}}}],"schema":"https://github.com/citation-style-language/schema/raw/master/csl-citation.json"}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(Kumari et al., 2018)</w:t>
            </w:r>
            <w:r w:rsidRPr="00F73297">
              <w:rPr>
                <w:rFonts w:eastAsia="Aptos"/>
                <w:color w:val="0E2841"/>
                <w:kern w:val="2"/>
                <w:sz w:val="18"/>
                <w:szCs w:val="18"/>
              </w:rPr>
              <w:fldChar w:fldCharType="end"/>
            </w:r>
          </w:p>
        </w:tc>
      </w:tr>
    </w:tbl>
    <w:p w14:paraId="77B52CD5" w14:textId="77777777" w:rsidR="00250E9B" w:rsidRDefault="00250E9B" w:rsidP="00250E9B">
      <w:pPr>
        <w:jc w:val="center"/>
        <w:rPr>
          <w:color w:val="0E2841"/>
          <w:sz w:val="18"/>
          <w:szCs w:val="18"/>
        </w:rPr>
      </w:pPr>
    </w:p>
    <w:p w14:paraId="7C85E64E" w14:textId="77777777" w:rsidR="00250E9B" w:rsidRDefault="00250E9B" w:rsidP="00250E9B">
      <w:pPr>
        <w:jc w:val="center"/>
        <w:rPr>
          <w:color w:val="0E2841"/>
          <w:sz w:val="18"/>
          <w:szCs w:val="18"/>
        </w:rPr>
      </w:pPr>
    </w:p>
    <w:p w14:paraId="37E13326" w14:textId="2701F49E" w:rsidR="00250E9B" w:rsidRDefault="00250E9B" w:rsidP="00250E9B">
      <w:pPr>
        <w:jc w:val="center"/>
        <w:rPr>
          <w:color w:val="0E2841"/>
          <w:sz w:val="18"/>
          <w:szCs w:val="18"/>
        </w:rPr>
      </w:pPr>
      <w:r w:rsidRPr="00F05D5B">
        <w:rPr>
          <w:b/>
          <w:color w:val="0E2841"/>
          <w:sz w:val="18"/>
          <w:szCs w:val="18"/>
        </w:rPr>
        <w:t>Table S</w:t>
      </w:r>
      <w:r>
        <w:rPr>
          <w:b/>
          <w:color w:val="0E2841"/>
          <w:sz w:val="18"/>
          <w:szCs w:val="18"/>
        </w:rPr>
        <w:t>1.1</w:t>
      </w:r>
      <w:r w:rsidR="003419FF">
        <w:rPr>
          <w:b/>
          <w:color w:val="0E2841"/>
          <w:sz w:val="18"/>
          <w:szCs w:val="18"/>
        </w:rPr>
        <w:t>8</w:t>
      </w:r>
      <w:r w:rsidRPr="00F05D5B">
        <w:rPr>
          <w:b/>
          <w:color w:val="0E2841"/>
          <w:sz w:val="18"/>
          <w:szCs w:val="18"/>
        </w:rPr>
        <w:t>:</w:t>
      </w:r>
      <w:r w:rsidRPr="00F05D5B">
        <w:rPr>
          <w:color w:val="0E2841"/>
          <w:sz w:val="18"/>
          <w:szCs w:val="18"/>
        </w:rPr>
        <w:t xml:space="preserve"> </w:t>
      </w:r>
      <w:r>
        <w:rPr>
          <w:color w:val="0E2841"/>
          <w:sz w:val="18"/>
          <w:szCs w:val="18"/>
        </w:rPr>
        <w:t>D</w:t>
      </w:r>
      <w:r w:rsidRPr="00F05D5B">
        <w:rPr>
          <w:color w:val="0E2841"/>
          <w:sz w:val="18"/>
          <w:szCs w:val="18"/>
        </w:rPr>
        <w:t>ysprosium</w:t>
      </w:r>
      <w:r>
        <w:rPr>
          <w:color w:val="0E2841"/>
          <w:sz w:val="18"/>
          <w:szCs w:val="18"/>
        </w:rPr>
        <w:t xml:space="preserve"> </w:t>
      </w:r>
      <w:r w:rsidRPr="00F05D5B">
        <w:rPr>
          <w:color w:val="0E2841"/>
          <w:sz w:val="18"/>
          <w:szCs w:val="18"/>
        </w:rPr>
        <w:t>intensities [kg/MW] in neodymium-iron-boron (NdFeB) permanent magnets in gearbox systems (GB-PMSG) reported in previous studies.</w:t>
      </w:r>
    </w:p>
    <w:tbl>
      <w:tblPr>
        <w:tblW w:w="8359"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413"/>
        <w:gridCol w:w="1565"/>
        <w:gridCol w:w="1537"/>
        <w:gridCol w:w="1014"/>
        <w:gridCol w:w="733"/>
        <w:gridCol w:w="2097"/>
      </w:tblGrid>
      <w:tr w:rsidR="00250E9B" w:rsidRPr="00F73297" w14:paraId="3A7FD871" w14:textId="77777777">
        <w:trPr>
          <w:trHeight w:val="23"/>
          <w:jc w:val="center"/>
        </w:trPr>
        <w:tc>
          <w:tcPr>
            <w:tcW w:w="1413" w:type="dxa"/>
            <w:vAlign w:val="center"/>
          </w:tcPr>
          <w:p w14:paraId="55741989"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Sub-technology</w:t>
            </w:r>
          </w:p>
        </w:tc>
        <w:tc>
          <w:tcPr>
            <w:tcW w:w="1565" w:type="dxa"/>
            <w:vAlign w:val="center"/>
          </w:tcPr>
          <w:p w14:paraId="620489B7"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Material</w:t>
            </w:r>
          </w:p>
        </w:tc>
        <w:tc>
          <w:tcPr>
            <w:tcW w:w="1537" w:type="dxa"/>
            <w:noWrap/>
            <w:vAlign w:val="center"/>
          </w:tcPr>
          <w:p w14:paraId="63240F5D"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NdFeB Magnet Kg/MW</w:t>
            </w:r>
          </w:p>
        </w:tc>
        <w:tc>
          <w:tcPr>
            <w:tcW w:w="1014" w:type="dxa"/>
            <w:noWrap/>
            <w:vAlign w:val="center"/>
          </w:tcPr>
          <w:p w14:paraId="796E5379"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Kg/MW</w:t>
            </w:r>
          </w:p>
        </w:tc>
        <w:tc>
          <w:tcPr>
            <w:tcW w:w="733" w:type="dxa"/>
            <w:noWrap/>
            <w:vAlign w:val="center"/>
          </w:tcPr>
          <w:p w14:paraId="1885505B"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%w</w:t>
            </w:r>
          </w:p>
        </w:tc>
        <w:tc>
          <w:tcPr>
            <w:tcW w:w="2097" w:type="dxa"/>
            <w:noWrap/>
            <w:vAlign w:val="center"/>
          </w:tcPr>
          <w:p w14:paraId="4D686F3A"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Source</w:t>
            </w:r>
          </w:p>
        </w:tc>
      </w:tr>
      <w:tr w:rsidR="00250E9B" w:rsidRPr="00F73297" w14:paraId="79F2D900" w14:textId="77777777">
        <w:trPr>
          <w:trHeight w:val="23"/>
          <w:jc w:val="center"/>
        </w:trPr>
        <w:tc>
          <w:tcPr>
            <w:tcW w:w="1413" w:type="dxa"/>
            <w:vMerge w:val="restart"/>
            <w:vAlign w:val="center"/>
            <w:hideMark/>
          </w:tcPr>
          <w:p w14:paraId="559F2EC2"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GB-PMSG</w:t>
            </w:r>
          </w:p>
        </w:tc>
        <w:tc>
          <w:tcPr>
            <w:tcW w:w="1565" w:type="dxa"/>
            <w:vMerge w:val="restart"/>
            <w:vAlign w:val="center"/>
            <w:hideMark/>
          </w:tcPr>
          <w:p w14:paraId="56D19BCC"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Dysprosium</w:t>
            </w:r>
            <w:r w:rsidRPr="00F73297">
              <w:rPr>
                <w:rFonts w:eastAsia="Aptos"/>
                <w:i/>
                <w:color w:val="0E2841"/>
                <w:kern w:val="2"/>
                <w:sz w:val="18"/>
                <w:szCs w:val="18"/>
              </w:rPr>
              <w:br/>
              <w:t>Dy</w:t>
            </w:r>
          </w:p>
        </w:tc>
        <w:tc>
          <w:tcPr>
            <w:tcW w:w="1537" w:type="dxa"/>
            <w:noWrap/>
            <w:vAlign w:val="center"/>
            <w:hideMark/>
          </w:tcPr>
          <w:p w14:paraId="4252BA59"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160</w:t>
            </w:r>
          </w:p>
        </w:tc>
        <w:tc>
          <w:tcPr>
            <w:tcW w:w="1014" w:type="dxa"/>
            <w:noWrap/>
            <w:vAlign w:val="center"/>
            <w:hideMark/>
          </w:tcPr>
          <w:p w14:paraId="7AC3CEFB"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4.8</w:t>
            </w:r>
          </w:p>
        </w:tc>
        <w:tc>
          <w:tcPr>
            <w:tcW w:w="733" w:type="dxa"/>
            <w:noWrap/>
            <w:vAlign w:val="center"/>
            <w:hideMark/>
          </w:tcPr>
          <w:p w14:paraId="44E86D8B"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3%</w:t>
            </w:r>
          </w:p>
        </w:tc>
        <w:tc>
          <w:tcPr>
            <w:tcW w:w="2097" w:type="dxa"/>
            <w:noWrap/>
            <w:vAlign w:val="center"/>
            <w:hideMark/>
          </w:tcPr>
          <w:p w14:paraId="23BF38CD" w14:textId="6BB58924"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{"citationID":"DipXWrd6","properties":{"formattedCitation":"(Imholte et al., 2018)","plainCitation":"(Imholte et al., 2018)","noteIndex":0},"citationItems":[{"id":15297,"uris":["http://zotero.org/groups/4945499/items/C6VKLB3M"],"itemData":{"id":15297,"type":"article-journal","abstract":"Global initiatives are focused on deploying clean energy technologies, such as wind energy, to reduce greenhouse gas emissions. U.S. onshore and oﬀshore wind targets have been particularly aggressive. Some wind energy technologies, such as direct-drive wind turbines, rely on a volatile and Chinese-concentrated rare earth element (REE) supply chain. Global eﬀorts have been made to develop new sources of REEs, with limited success. This lack of rare earth availability has been suggested to inhibit direct-drive adoption, despite its energy eﬃciency beneﬁts. However, it is unclear if new U.S. REE supply could adequately support onshore and oﬀshore direct-drive wind energy growth, and help meet U.S. wind energy targets. This analysis estimates U.S. and Chinese REE availability that could support U.S. direct-drive and other REE demand. Results indicated that U.S. wind installation targets with solely direct-drive designs could only require 4–12% of maximum light rare earth production from Mountain Pass, Bear Lodge and phosphate rock mines. When considering market dynamics and hypothetical U.S. production, U.S. light REE production capacity was not able to provide suﬃcient light rare earths to achieve wind energy targets. U.S. wind energy targets could be achieved by prioritizing 3–17% of U.S. light REE production for direct-drive wind energy.","container-title":"Energy Policy","DOI":"10.1016/j.enpol.2017.11.001","ISSN":"03014215","journalAbbreviation":"Energy Policy","language":"en","page":"294-305","source":"DOI.org (Crossref)","title":"An assessment of U.S. rare earth availability for supporting U.S. wind energy growth targets","volume":"113","author":[{"family":"Imholte","given":"D.D."},{"family":"Nguyen","given":"R.T."},{"family":"Vedantam","given":"A."},{"family":"Brown","given":"M."},{"family":"Iyer","given":"A."},{"family":"Smith","given":"B.J."},{"family":"Collins","given":"J.W."},{"family":"Anderson","given":"C.G."},{"family":"O’Kelley","given":"B."}],"issued":{"date-parts":[["2018",2]]}}}],"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(Imholte et al., 2018)</w:t>
            </w:r>
            <w:r w:rsidRPr="00F73297">
              <w:rPr>
                <w:rFonts w:eastAsia="Aptos"/>
                <w:color w:val="0E2841"/>
                <w:kern w:val="2"/>
                <w:sz w:val="18"/>
                <w:szCs w:val="18"/>
              </w:rPr>
              <w:fldChar w:fldCharType="end"/>
            </w:r>
          </w:p>
        </w:tc>
      </w:tr>
      <w:tr w:rsidR="00250E9B" w:rsidRPr="00F73297" w14:paraId="5D0E2701" w14:textId="77777777">
        <w:trPr>
          <w:trHeight w:val="23"/>
          <w:jc w:val="center"/>
        </w:trPr>
        <w:tc>
          <w:tcPr>
            <w:tcW w:w="1413" w:type="dxa"/>
            <w:vMerge/>
            <w:vAlign w:val="center"/>
            <w:hideMark/>
          </w:tcPr>
          <w:p w14:paraId="747BCE9B" w14:textId="77777777" w:rsidR="00250E9B" w:rsidRPr="00F73297" w:rsidRDefault="00250E9B">
            <w:pPr>
              <w:jc w:val="center"/>
              <w:rPr>
                <w:rFonts w:eastAsia="Aptos"/>
                <w:i/>
                <w:color w:val="0E2841"/>
                <w:kern w:val="2"/>
                <w:sz w:val="18"/>
                <w:szCs w:val="18"/>
              </w:rPr>
            </w:pPr>
          </w:p>
        </w:tc>
        <w:tc>
          <w:tcPr>
            <w:tcW w:w="1565" w:type="dxa"/>
            <w:vMerge/>
            <w:vAlign w:val="center"/>
            <w:hideMark/>
          </w:tcPr>
          <w:p w14:paraId="4CB20905" w14:textId="77777777" w:rsidR="00250E9B" w:rsidRPr="00F73297" w:rsidRDefault="00250E9B">
            <w:pPr>
              <w:jc w:val="center"/>
              <w:rPr>
                <w:rFonts w:eastAsia="Aptos"/>
                <w:i/>
                <w:color w:val="0E2841"/>
                <w:kern w:val="2"/>
                <w:sz w:val="18"/>
                <w:szCs w:val="18"/>
              </w:rPr>
            </w:pPr>
          </w:p>
        </w:tc>
        <w:tc>
          <w:tcPr>
            <w:tcW w:w="1537" w:type="dxa"/>
            <w:noWrap/>
            <w:vAlign w:val="center"/>
            <w:hideMark/>
          </w:tcPr>
          <w:p w14:paraId="6510D044"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120</w:t>
            </w:r>
          </w:p>
        </w:tc>
        <w:tc>
          <w:tcPr>
            <w:tcW w:w="1014" w:type="dxa"/>
            <w:noWrap/>
            <w:vAlign w:val="center"/>
            <w:hideMark/>
          </w:tcPr>
          <w:p w14:paraId="5112BD88"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5.4</w:t>
            </w:r>
          </w:p>
        </w:tc>
        <w:tc>
          <w:tcPr>
            <w:tcW w:w="733" w:type="dxa"/>
            <w:noWrap/>
            <w:vAlign w:val="center"/>
            <w:hideMark/>
          </w:tcPr>
          <w:p w14:paraId="56FDFBC6"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5%</w:t>
            </w:r>
          </w:p>
        </w:tc>
        <w:tc>
          <w:tcPr>
            <w:tcW w:w="2097" w:type="dxa"/>
            <w:noWrap/>
            <w:vAlign w:val="center"/>
            <w:hideMark/>
          </w:tcPr>
          <w:p w14:paraId="68B0ADF3" w14:textId="5368DD39"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{"citationID":"vnPuL2N7","properties":{"formattedCitation":"(J. Li et al., 2020)","plainCitation":"(J. Li et al., 2020)","noteIndex":0},"citationItems":[{"id":16633,"uris":["http://zotero.org/groups/5509458/items/SG24R7JJ"],"itemData":{"id":16633,"type":"article-journal","container-title":"One Earth","DOI":"10.1016/j.oneear.2020.06.009","ISSN":"25903322","issue":"1","journalAbbreviation":"One Earth","language":"en","page":"116-125","source":"DOI.org (Crossref)","title":"Critical Rare-Earth Elements Mismatch Global Wind-Power Ambitions","volume":"3","author":[{"family":"Li","given":"Jiashuo"},{"family":"Peng","given":"Kun"},{"family":"Wang","given":"Peng"},{"family":"Zhang","given":"Ning"},{"family":"Feng","given":"Kuishuang"},{"family":"Guan","given":"Dabo"},{"family":"Meng","given":"Jing"},{"family":"Wei","given":"Wendong"},{"family":"Yang","given":"Qing"}],"issued":{"date-parts":[["2020",7]]}}}],"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(J. Li et al., 2020)</w:t>
            </w:r>
            <w:r w:rsidRPr="00F73297">
              <w:rPr>
                <w:rFonts w:eastAsia="Aptos"/>
                <w:color w:val="0E2841"/>
                <w:kern w:val="2"/>
                <w:sz w:val="18"/>
                <w:szCs w:val="18"/>
              </w:rPr>
              <w:fldChar w:fldCharType="end"/>
            </w:r>
          </w:p>
        </w:tc>
      </w:tr>
      <w:tr w:rsidR="00250E9B" w:rsidRPr="00F73297" w14:paraId="5FFA7B2B" w14:textId="77777777">
        <w:trPr>
          <w:trHeight w:val="23"/>
          <w:jc w:val="center"/>
        </w:trPr>
        <w:tc>
          <w:tcPr>
            <w:tcW w:w="1413" w:type="dxa"/>
            <w:vMerge/>
            <w:vAlign w:val="center"/>
            <w:hideMark/>
          </w:tcPr>
          <w:p w14:paraId="02FB4881" w14:textId="77777777" w:rsidR="00250E9B" w:rsidRPr="00F73297" w:rsidRDefault="00250E9B">
            <w:pPr>
              <w:jc w:val="center"/>
              <w:rPr>
                <w:rFonts w:eastAsia="Aptos"/>
                <w:i/>
                <w:color w:val="0E2841"/>
                <w:kern w:val="2"/>
                <w:sz w:val="18"/>
                <w:szCs w:val="18"/>
              </w:rPr>
            </w:pPr>
          </w:p>
        </w:tc>
        <w:tc>
          <w:tcPr>
            <w:tcW w:w="1565" w:type="dxa"/>
            <w:vMerge/>
            <w:vAlign w:val="center"/>
            <w:hideMark/>
          </w:tcPr>
          <w:p w14:paraId="7D1928FE" w14:textId="77777777" w:rsidR="00250E9B" w:rsidRPr="00F73297" w:rsidRDefault="00250E9B">
            <w:pPr>
              <w:jc w:val="center"/>
              <w:rPr>
                <w:rFonts w:eastAsia="Aptos"/>
                <w:i/>
                <w:color w:val="0E2841"/>
                <w:kern w:val="2"/>
                <w:sz w:val="18"/>
                <w:szCs w:val="18"/>
              </w:rPr>
            </w:pPr>
          </w:p>
        </w:tc>
        <w:tc>
          <w:tcPr>
            <w:tcW w:w="1537" w:type="dxa"/>
            <w:noWrap/>
            <w:vAlign w:val="center"/>
            <w:hideMark/>
          </w:tcPr>
          <w:p w14:paraId="494697F4"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120</w:t>
            </w:r>
          </w:p>
        </w:tc>
        <w:tc>
          <w:tcPr>
            <w:tcW w:w="1014" w:type="dxa"/>
            <w:noWrap/>
            <w:vAlign w:val="center"/>
            <w:hideMark/>
          </w:tcPr>
          <w:p w14:paraId="344049FA"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5.04</w:t>
            </w:r>
          </w:p>
        </w:tc>
        <w:tc>
          <w:tcPr>
            <w:tcW w:w="733" w:type="dxa"/>
            <w:noWrap/>
            <w:vAlign w:val="center"/>
            <w:hideMark/>
          </w:tcPr>
          <w:p w14:paraId="2162C999"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4%</w:t>
            </w:r>
          </w:p>
        </w:tc>
        <w:tc>
          <w:tcPr>
            <w:tcW w:w="2097" w:type="dxa"/>
            <w:noWrap/>
            <w:vAlign w:val="center"/>
            <w:hideMark/>
          </w:tcPr>
          <w:p w14:paraId="65DCBAE3" w14:textId="4FAC76CF"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{"citationID":"xbJGeXTT","properties":{"formattedCitation":"(Kumari et al., 2018)","plainCitation":"(Kumari et al., 2018)","noteIndex":0},"citationItems":[{"id":16624,"uris":["http://zotero.org/groups/5509458/items/EQLBQ5YA"],"itemData":{"id":16624,"type":"article-journal","container-title":"Waste Management","DOI":"10.1016/j.wasman.2018.01.033","ISSN":"0956053X","journalAbbreviation":"Waste Management","language":"en","page":"486-498","source":"DOI.org (Crossref)","title":"Recovery of rare earths from spent NdFeB magnets of wind turbine: Leaching and kinetic aspects","title-short":"Recovery of rare earths from spent NdFeB magnets of wind turbine","volume":"75","author":[{"family":"Kumari","given":"Aarti"},{"family":"Sinha","given":"Manish Kumar"},{"family":"Pramanik","given":"Swati"},{"family":"Sahu","given":"Sushanta Kumar"}],"issued":{"date-parts":[["2018",5]]}}}],"schema":"https://github.com/citation-style-language/schema/raw/master/csl-citation.json"}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(Kumari et al., 2018)</w:t>
            </w:r>
            <w:r w:rsidRPr="00F73297">
              <w:rPr>
                <w:rFonts w:eastAsia="Aptos"/>
                <w:color w:val="0E2841"/>
                <w:kern w:val="2"/>
                <w:sz w:val="18"/>
                <w:szCs w:val="18"/>
              </w:rPr>
              <w:fldChar w:fldCharType="end"/>
            </w:r>
          </w:p>
        </w:tc>
      </w:tr>
    </w:tbl>
    <w:p w14:paraId="2753FF42" w14:textId="77777777" w:rsidR="00250E9B" w:rsidRDefault="00250E9B" w:rsidP="00250E9B">
      <w:pPr>
        <w:jc w:val="center"/>
        <w:rPr>
          <w:b/>
          <w:color w:val="0E2841"/>
          <w:sz w:val="18"/>
          <w:szCs w:val="18"/>
        </w:rPr>
      </w:pPr>
    </w:p>
    <w:p w14:paraId="5C744A43" w14:textId="77777777" w:rsidR="00250E9B" w:rsidRDefault="00250E9B" w:rsidP="00250E9B">
      <w:pPr>
        <w:jc w:val="center"/>
        <w:rPr>
          <w:b/>
          <w:color w:val="0E2841"/>
          <w:sz w:val="18"/>
          <w:szCs w:val="18"/>
        </w:rPr>
      </w:pPr>
    </w:p>
    <w:p w14:paraId="7451CA86" w14:textId="111222C6" w:rsidR="00250E9B" w:rsidRDefault="00250E9B" w:rsidP="00250E9B">
      <w:pPr>
        <w:jc w:val="center"/>
        <w:rPr>
          <w:color w:val="0E2841"/>
          <w:sz w:val="18"/>
          <w:szCs w:val="18"/>
        </w:rPr>
      </w:pPr>
      <w:r w:rsidRPr="00F05D5B">
        <w:rPr>
          <w:b/>
          <w:color w:val="0E2841"/>
          <w:sz w:val="18"/>
          <w:szCs w:val="18"/>
        </w:rPr>
        <w:t>Table S</w:t>
      </w:r>
      <w:r>
        <w:rPr>
          <w:b/>
          <w:color w:val="0E2841"/>
          <w:sz w:val="18"/>
          <w:szCs w:val="18"/>
        </w:rPr>
        <w:t>1.1</w:t>
      </w:r>
      <w:r w:rsidR="003419FF">
        <w:rPr>
          <w:b/>
          <w:color w:val="0E2841"/>
          <w:sz w:val="18"/>
          <w:szCs w:val="18"/>
        </w:rPr>
        <w:t>9</w:t>
      </w:r>
      <w:r w:rsidRPr="00F05D5B">
        <w:rPr>
          <w:b/>
          <w:color w:val="0E2841"/>
          <w:sz w:val="18"/>
          <w:szCs w:val="18"/>
        </w:rPr>
        <w:t>:</w:t>
      </w:r>
      <w:r w:rsidRPr="00F05D5B">
        <w:rPr>
          <w:color w:val="0E2841"/>
          <w:sz w:val="18"/>
          <w:szCs w:val="18"/>
        </w:rPr>
        <w:t xml:space="preserve"> </w:t>
      </w:r>
      <w:r>
        <w:rPr>
          <w:color w:val="0E2841"/>
          <w:sz w:val="18"/>
          <w:szCs w:val="18"/>
        </w:rPr>
        <w:t>T</w:t>
      </w:r>
      <w:r w:rsidRPr="00F05D5B">
        <w:rPr>
          <w:color w:val="0E2841"/>
          <w:sz w:val="18"/>
          <w:szCs w:val="18"/>
        </w:rPr>
        <w:t>erbium intensities [kg/MW] in neodymium-iron-boron (NdFeB) permanent magnets in gearbox systems (GB-PMSG) reported in previous studies.</w:t>
      </w:r>
    </w:p>
    <w:tbl>
      <w:tblPr>
        <w:tblW w:w="8359"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413"/>
        <w:gridCol w:w="1565"/>
        <w:gridCol w:w="1537"/>
        <w:gridCol w:w="1014"/>
        <w:gridCol w:w="733"/>
        <w:gridCol w:w="2097"/>
      </w:tblGrid>
      <w:tr w:rsidR="00250E9B" w:rsidRPr="00F73297" w14:paraId="0FF6BDBF" w14:textId="77777777">
        <w:trPr>
          <w:trHeight w:val="23"/>
          <w:jc w:val="center"/>
        </w:trPr>
        <w:tc>
          <w:tcPr>
            <w:tcW w:w="1413" w:type="dxa"/>
            <w:vAlign w:val="center"/>
          </w:tcPr>
          <w:p w14:paraId="00D35CE3"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Sub-technology</w:t>
            </w:r>
          </w:p>
        </w:tc>
        <w:tc>
          <w:tcPr>
            <w:tcW w:w="1565" w:type="dxa"/>
            <w:vAlign w:val="center"/>
          </w:tcPr>
          <w:p w14:paraId="479F1AA6"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Material</w:t>
            </w:r>
          </w:p>
        </w:tc>
        <w:tc>
          <w:tcPr>
            <w:tcW w:w="1537" w:type="dxa"/>
            <w:noWrap/>
            <w:vAlign w:val="center"/>
          </w:tcPr>
          <w:p w14:paraId="3DCE3643"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NdFeB Magnet Kg/MW</w:t>
            </w:r>
          </w:p>
        </w:tc>
        <w:tc>
          <w:tcPr>
            <w:tcW w:w="1014" w:type="dxa"/>
            <w:noWrap/>
            <w:vAlign w:val="center"/>
          </w:tcPr>
          <w:p w14:paraId="2B04731F"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Kg/MW</w:t>
            </w:r>
          </w:p>
        </w:tc>
        <w:tc>
          <w:tcPr>
            <w:tcW w:w="733" w:type="dxa"/>
            <w:noWrap/>
            <w:vAlign w:val="center"/>
          </w:tcPr>
          <w:p w14:paraId="64C12A60"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%w</w:t>
            </w:r>
          </w:p>
        </w:tc>
        <w:tc>
          <w:tcPr>
            <w:tcW w:w="2097" w:type="dxa"/>
            <w:noWrap/>
            <w:vAlign w:val="center"/>
          </w:tcPr>
          <w:p w14:paraId="618394F7" w14:textId="77777777" w:rsidR="00250E9B" w:rsidRPr="00F73297" w:rsidRDefault="00250E9B">
            <w:pPr>
              <w:jc w:val="center"/>
              <w:rPr>
                <w:rFonts w:eastAsia="Aptos"/>
                <w:i/>
                <w:color w:val="0E2841"/>
                <w:kern w:val="2"/>
                <w:sz w:val="18"/>
                <w:szCs w:val="18"/>
              </w:rPr>
            </w:pPr>
            <w:r w:rsidRPr="00F73297">
              <w:rPr>
                <w:rFonts w:eastAsia="Aptos"/>
                <w:b/>
                <w:i/>
                <w:color w:val="0E2841"/>
                <w:kern w:val="2"/>
                <w:sz w:val="18"/>
                <w:szCs w:val="18"/>
              </w:rPr>
              <w:t>Source</w:t>
            </w:r>
          </w:p>
        </w:tc>
      </w:tr>
      <w:tr w:rsidR="00250E9B" w:rsidRPr="00F73297" w14:paraId="2F0D778C" w14:textId="77777777">
        <w:trPr>
          <w:trHeight w:val="23"/>
          <w:jc w:val="center"/>
        </w:trPr>
        <w:tc>
          <w:tcPr>
            <w:tcW w:w="1413" w:type="dxa"/>
            <w:vMerge w:val="restart"/>
            <w:vAlign w:val="center"/>
            <w:hideMark/>
          </w:tcPr>
          <w:p w14:paraId="07D9FF17"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GB-PMSG</w:t>
            </w:r>
          </w:p>
        </w:tc>
        <w:tc>
          <w:tcPr>
            <w:tcW w:w="1565" w:type="dxa"/>
            <w:vMerge w:val="restart"/>
            <w:vAlign w:val="center"/>
            <w:hideMark/>
          </w:tcPr>
          <w:p w14:paraId="511BB965"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Terbium</w:t>
            </w:r>
            <w:r w:rsidRPr="00F73297">
              <w:rPr>
                <w:rFonts w:eastAsia="Aptos"/>
                <w:i/>
                <w:color w:val="0E2841"/>
                <w:kern w:val="2"/>
                <w:sz w:val="18"/>
                <w:szCs w:val="18"/>
              </w:rPr>
              <w:br/>
              <w:t>Tb</w:t>
            </w:r>
          </w:p>
        </w:tc>
        <w:tc>
          <w:tcPr>
            <w:tcW w:w="1537" w:type="dxa"/>
            <w:noWrap/>
            <w:vAlign w:val="center"/>
            <w:hideMark/>
          </w:tcPr>
          <w:p w14:paraId="2FA43FB1"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160</w:t>
            </w:r>
          </w:p>
        </w:tc>
        <w:tc>
          <w:tcPr>
            <w:tcW w:w="1014" w:type="dxa"/>
            <w:noWrap/>
            <w:vAlign w:val="center"/>
            <w:hideMark/>
          </w:tcPr>
          <w:p w14:paraId="4B2C47A3"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w:t>
            </w:r>
          </w:p>
        </w:tc>
        <w:tc>
          <w:tcPr>
            <w:tcW w:w="733" w:type="dxa"/>
            <w:noWrap/>
            <w:vAlign w:val="center"/>
            <w:hideMark/>
          </w:tcPr>
          <w:p w14:paraId="7CC505FD"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w:t>
            </w:r>
          </w:p>
        </w:tc>
        <w:tc>
          <w:tcPr>
            <w:tcW w:w="2097" w:type="dxa"/>
            <w:noWrap/>
            <w:vAlign w:val="center"/>
            <w:hideMark/>
          </w:tcPr>
          <w:p w14:paraId="2D83A995" w14:textId="37938A26"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{"citationID":"z4yXXme4","properties":{"formattedCitation":"(Carrara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(Carrara et al., 2020)</w:t>
            </w:r>
            <w:r w:rsidRPr="00F73297">
              <w:rPr>
                <w:rFonts w:eastAsia="Aptos"/>
                <w:color w:val="0E2841"/>
                <w:kern w:val="2"/>
                <w:sz w:val="18"/>
                <w:szCs w:val="18"/>
              </w:rPr>
              <w:fldChar w:fldCharType="end"/>
            </w:r>
          </w:p>
        </w:tc>
      </w:tr>
      <w:tr w:rsidR="00250E9B" w:rsidRPr="00F73297" w14:paraId="49FE89E5" w14:textId="77777777">
        <w:trPr>
          <w:trHeight w:val="23"/>
          <w:jc w:val="center"/>
        </w:trPr>
        <w:tc>
          <w:tcPr>
            <w:tcW w:w="1413" w:type="dxa"/>
            <w:vMerge/>
            <w:vAlign w:val="center"/>
            <w:hideMark/>
          </w:tcPr>
          <w:p w14:paraId="32AFF51A" w14:textId="77777777" w:rsidR="00250E9B" w:rsidRPr="00F73297" w:rsidRDefault="00250E9B">
            <w:pPr>
              <w:jc w:val="center"/>
              <w:rPr>
                <w:rFonts w:eastAsia="Aptos"/>
                <w:i/>
                <w:color w:val="0E2841"/>
                <w:kern w:val="2"/>
                <w:sz w:val="18"/>
                <w:szCs w:val="18"/>
              </w:rPr>
            </w:pPr>
          </w:p>
        </w:tc>
        <w:tc>
          <w:tcPr>
            <w:tcW w:w="1565" w:type="dxa"/>
            <w:vMerge/>
            <w:vAlign w:val="center"/>
            <w:hideMark/>
          </w:tcPr>
          <w:p w14:paraId="235AA59D" w14:textId="77777777" w:rsidR="00250E9B" w:rsidRPr="00F73297" w:rsidRDefault="00250E9B">
            <w:pPr>
              <w:jc w:val="center"/>
              <w:rPr>
                <w:rFonts w:eastAsia="Aptos"/>
                <w:i/>
                <w:color w:val="0E2841"/>
                <w:kern w:val="2"/>
                <w:sz w:val="18"/>
                <w:szCs w:val="18"/>
              </w:rPr>
            </w:pPr>
          </w:p>
        </w:tc>
        <w:tc>
          <w:tcPr>
            <w:tcW w:w="1537" w:type="dxa"/>
            <w:noWrap/>
            <w:vAlign w:val="center"/>
            <w:hideMark/>
          </w:tcPr>
          <w:p w14:paraId="6790303B"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160</w:t>
            </w:r>
          </w:p>
        </w:tc>
        <w:tc>
          <w:tcPr>
            <w:tcW w:w="1014" w:type="dxa"/>
            <w:noWrap/>
            <w:vAlign w:val="center"/>
            <w:hideMark/>
          </w:tcPr>
          <w:p w14:paraId="21972A1E"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1.6</w:t>
            </w:r>
          </w:p>
        </w:tc>
        <w:tc>
          <w:tcPr>
            <w:tcW w:w="733" w:type="dxa"/>
            <w:noWrap/>
            <w:vAlign w:val="center"/>
            <w:hideMark/>
          </w:tcPr>
          <w:p w14:paraId="3F377CD7" w14:textId="77777777"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t>1%</w:t>
            </w:r>
          </w:p>
        </w:tc>
        <w:tc>
          <w:tcPr>
            <w:tcW w:w="2097" w:type="dxa"/>
            <w:noWrap/>
            <w:vAlign w:val="center"/>
            <w:hideMark/>
          </w:tcPr>
          <w:p w14:paraId="4EBD29EF" w14:textId="47CB5753" w:rsidR="00250E9B" w:rsidRPr="00F73297" w:rsidRDefault="00250E9B">
            <w:pPr>
              <w:jc w:val="center"/>
              <w:rPr>
                <w:rFonts w:eastAsia="Aptos"/>
                <w:i/>
                <w:color w:val="0E2841"/>
                <w:kern w:val="2"/>
                <w:sz w:val="18"/>
                <w:szCs w:val="18"/>
              </w:rPr>
            </w:pPr>
            <w:r w:rsidRPr="00F73297">
              <w:rPr>
                <w:rFonts w:eastAsia="Aptos"/>
                <w:i/>
                <w:color w:val="0E2841"/>
                <w:kern w:val="2"/>
                <w:sz w:val="18"/>
                <w:szCs w:val="18"/>
              </w:rPr>
              <w:fldChar w:fldCharType="begin"/>
            </w:r>
            <w:r w:rsidR="008836FB">
              <w:rPr>
                <w:rFonts w:eastAsia="Aptos"/>
                <w:i/>
                <w:color w:val="0E2841"/>
                <w:kern w:val="2"/>
                <w:sz w:val="18"/>
                <w:szCs w:val="18"/>
              </w:rPr>
              <w:instrText xml:space="preserve"> ADDIN ZOTERO_ITEM CSL_CITATION {"citationID":"ylKxbCaI","properties":{"formattedCitation":"(Pavel et al., 2017)","plainCitation":"(Pavel et al., 2017)","noteIndex":0},"citationItems":[{"id":15520,"uris":["http://zotero.org/groups/4945499/items/TJJSPLP3"],"itemData":{"id":15520,"type":"article-journal","container-title":"Resources Policy","DOI":"10.1016/j.resourpol.2017.04.010","ISSN":"03014207","journalAbbreviation":"Resources Policy","language":"en","page":"349-357","source":"DOI.org (Crossref)","title":"Substitution strategies for reducing the use of rare earths in wind turbines","volume":"52","author":[{"family":"Pavel","given":"Claudiu C."},{"family":"Lacal-Arántegui","given":"Roberto"},{"family":"Marmier","given":"Alain"},{"family":"Schüler","given":"Doris"},{"family":"Tzimas","given":"Evangelos"},{"family":"Buchert","given":"Matthias"},{"family":"Jenseit","given":"Wolfgang"},{"family":"Blagoeva","given":"Darina"}],"issued":{"date-parts":[["2017",6]]}}}],"schema":"https://github.com/citation-style-language/schema/raw/master/csl-citation.json"} </w:instrText>
            </w:r>
            <w:r w:rsidRPr="00F73297">
              <w:rPr>
                <w:rFonts w:eastAsia="Aptos"/>
                <w:i/>
                <w:color w:val="0E2841"/>
                <w:kern w:val="2"/>
                <w:sz w:val="18"/>
                <w:szCs w:val="18"/>
              </w:rPr>
              <w:fldChar w:fldCharType="separate"/>
            </w:r>
            <w:r w:rsidR="008836FB">
              <w:rPr>
                <w:rFonts w:eastAsia="Aptos"/>
                <w:i/>
                <w:color w:val="0E2841"/>
                <w:kern w:val="2"/>
                <w:sz w:val="18"/>
                <w:szCs w:val="18"/>
              </w:rPr>
              <w:t>(Pavel et al., 2017)</w:t>
            </w:r>
            <w:r w:rsidRPr="00F73297">
              <w:rPr>
                <w:rFonts w:eastAsia="Aptos"/>
                <w:color w:val="0E2841"/>
                <w:kern w:val="2"/>
                <w:sz w:val="18"/>
                <w:szCs w:val="18"/>
              </w:rPr>
              <w:fldChar w:fldCharType="end"/>
            </w:r>
          </w:p>
        </w:tc>
      </w:tr>
    </w:tbl>
    <w:p w14:paraId="44FCE863" w14:textId="77777777" w:rsidR="00250E9B" w:rsidRDefault="00250E9B" w:rsidP="00250E9B">
      <w:pPr>
        <w:jc w:val="both"/>
        <w:rPr>
          <w:sz w:val="22"/>
          <w:szCs w:val="22"/>
        </w:rPr>
      </w:pPr>
    </w:p>
    <w:p w14:paraId="356C01C5" w14:textId="77777777" w:rsidR="00250E9B" w:rsidRDefault="00250E9B" w:rsidP="00250E9B">
      <w:pPr>
        <w:jc w:val="both"/>
        <w:rPr>
          <w:sz w:val="22"/>
          <w:szCs w:val="22"/>
        </w:rPr>
      </w:pPr>
    </w:p>
    <w:p w14:paraId="0B8CBA50" w14:textId="77777777" w:rsidR="00250E9B" w:rsidRDefault="00250E9B" w:rsidP="00250E9B">
      <w:pPr>
        <w:jc w:val="both"/>
        <w:rPr>
          <w:sz w:val="22"/>
          <w:szCs w:val="22"/>
        </w:rPr>
      </w:pPr>
    </w:p>
    <w:p w14:paraId="30D43713" w14:textId="05073AF4" w:rsidR="00250E9B" w:rsidRPr="005B3DC2" w:rsidRDefault="00250E9B" w:rsidP="00250E9B">
      <w:pPr>
        <w:jc w:val="both"/>
        <w:rPr>
          <w:sz w:val="22"/>
          <w:szCs w:val="22"/>
        </w:rPr>
      </w:pPr>
      <w:r w:rsidRPr="005B3DC2">
        <w:rPr>
          <w:sz w:val="22"/>
          <w:szCs w:val="22"/>
        </w:rPr>
        <w:t xml:space="preserve">For the future, we assumed a 30% reduction in MI for the LREE (Nd and </w:t>
      </w:r>
      <w:proofErr w:type="spellStart"/>
      <w:r w:rsidRPr="005B3DC2">
        <w:rPr>
          <w:sz w:val="22"/>
          <w:szCs w:val="22"/>
        </w:rPr>
        <w:t>Pr</w:t>
      </w:r>
      <w:proofErr w:type="spellEnd"/>
      <w:r w:rsidRPr="005B3DC2">
        <w:rPr>
          <w:sz w:val="22"/>
          <w:szCs w:val="22"/>
        </w:rPr>
        <w:t xml:space="preserve">) by 2050, in accordance with Fishman and Graedel </w:t>
      </w:r>
      <w:r w:rsidRPr="005B3DC2">
        <w:rPr>
          <w:sz w:val="22"/>
          <w:szCs w:val="22"/>
        </w:rPr>
        <w:fldChar w:fldCharType="begin"/>
      </w:r>
      <w:r w:rsidRPr="005B3DC2">
        <w:rPr>
          <w:sz w:val="22"/>
          <w:szCs w:val="22"/>
        </w:rPr>
        <w:instrText xml:space="preserve"> ADDIN ZOTERO_ITEM CSL_CITATION {"citationID":"68SUOYWx","properties":{"formattedCitation":"(2019)","plainCitation":"(2019)","noteIndex":0},"citationItems":[{"id":15288,"uris":["http://zotero.org/groups/4945499/items/LD39MLHA"],"itemData":{"id":15288,"type":"article-journal","container-title":"Nature Sustainability","DOI":"10.1038/s41893-019-0252-z","ISSN":"2398-9629","issue":"4","journalAbbreviation":"Nat Sustain","language":"en","page":"332-338","source":"DOI.org (Crossref)","title":"Impact of the establishment of US offshore wind power on neodymium flows","volume":"2","author":[{"family":"Fishman","given":"Tomer"},{"family":"Graedel","given":"T. E."}],"issued":{"date-parts":[["2019",3,25]]}},"label":"page","suppress-author":true}],"schema":"https://github.com/citation-style-language/schema/raw/master/csl-citation.json"} </w:instrText>
      </w:r>
      <w:r w:rsidRPr="005B3DC2">
        <w:rPr>
          <w:sz w:val="22"/>
          <w:szCs w:val="22"/>
        </w:rPr>
        <w:fldChar w:fldCharType="separate"/>
      </w:r>
      <w:r w:rsidR="008836FB">
        <w:rPr>
          <w:sz w:val="22"/>
          <w:szCs w:val="22"/>
        </w:rPr>
        <w:t>(2019)</w:t>
      </w:r>
      <w:r w:rsidRPr="005B3DC2">
        <w:rPr>
          <w:sz w:val="22"/>
          <w:szCs w:val="22"/>
        </w:rPr>
        <w:fldChar w:fldCharType="end"/>
      </w:r>
      <w:r w:rsidRPr="005B3DC2">
        <w:rPr>
          <w:sz w:val="22"/>
          <w:szCs w:val="22"/>
        </w:rPr>
        <w:t xml:space="preserve"> and Wang et al. </w:t>
      </w:r>
      <w:r w:rsidRPr="005B3DC2">
        <w:rPr>
          <w:sz w:val="22"/>
          <w:szCs w:val="22"/>
        </w:rPr>
        <w:fldChar w:fldCharType="begin"/>
      </w:r>
      <w:r w:rsidRPr="005B3DC2">
        <w:rPr>
          <w:sz w:val="22"/>
          <w:szCs w:val="22"/>
        </w:rPr>
        <w:instrText xml:space="preserve"> ADDIN ZOTERO_ITEM CSL_CITATION {"citationID":"Dc1UCSb7","properties":{"formattedCitation":"(2024)","plainCitation":"(2024)","noteIndex":0},"citationItems":[{"id":16530,"uris":["http://zotero.org/groups/5033565/items/WUS5IDHG"],"itemData":{"id":16530,"type":"article-journal","container-title":"Nature Geoscience","DOI":"10.1038/s41561-023-01350-9","ISSN":"1752-0894, 1752-0908","issue":"1","journalAbbreviation":"Nat. Geosci.","language":"en","page":"94-102","source":"DOI.org (Crossref)","title":"Regional rare-earth element supply and demand balanced with circular economy strategies","volume":"17","author":[{"family":"Wang","given":"Peng"},{"family":"Yang","given":"Yu-Yao"},{"family":"Heidrich","given":"Oliver"},{"family":"Chen","given":"Li-Yang"},{"family":"Chen","given":"Li-Hua"},{"family":"Fishman","given":"Tomer"},{"family":"Chen","given":"Wei-Qiang"}],"issued":{"date-parts":[["2024",1]]}},"label":"page","suppress-author":true}],"schema":"https://github.com/citation-style-language/schema/raw/master/csl-citation.json"} </w:instrText>
      </w:r>
      <w:r w:rsidRPr="005B3DC2">
        <w:rPr>
          <w:sz w:val="22"/>
          <w:szCs w:val="22"/>
        </w:rPr>
        <w:fldChar w:fldCharType="separate"/>
      </w:r>
      <w:r w:rsidR="008836FB">
        <w:rPr>
          <w:sz w:val="22"/>
          <w:szCs w:val="22"/>
        </w:rPr>
        <w:t>(2024)</w:t>
      </w:r>
      <w:r w:rsidRPr="005B3DC2">
        <w:rPr>
          <w:sz w:val="22"/>
          <w:szCs w:val="22"/>
        </w:rPr>
        <w:fldChar w:fldCharType="end"/>
      </w:r>
      <w:r w:rsidRPr="005B3DC2">
        <w:rPr>
          <w:sz w:val="22"/>
          <w:szCs w:val="22"/>
        </w:rPr>
        <w:t xml:space="preserve">, and a 50% reduction in MI for the HREE (Dy and Tb) in accordance to Wang et al. </w:t>
      </w:r>
      <w:r w:rsidRPr="005B3DC2">
        <w:rPr>
          <w:sz w:val="22"/>
          <w:szCs w:val="22"/>
        </w:rPr>
        <w:fldChar w:fldCharType="begin"/>
      </w:r>
      <w:r w:rsidRPr="005B3DC2">
        <w:rPr>
          <w:sz w:val="22"/>
          <w:szCs w:val="22"/>
        </w:rPr>
        <w:instrText xml:space="preserve"> ADDIN ZOTERO_ITEM CSL_CITATION {"citationID":"jmpgiaFo","properties":{"formattedCitation":"(2024)","plainCitation":"(2024)","noteIndex":0},"citationItems":[{"id":16530,"uris":["http://zotero.org/groups/5033565/items/WUS5IDHG"],"itemData":{"id":16530,"type":"article-journal","container-title":"Nature Geoscience","DOI":"10.1038/s41561-023-01350-9","ISSN":"1752-0894, 1752-0908","issue":"1","journalAbbreviation":"Nat. Geosci.","language":"en","page":"94-102","source":"DOI.org (Crossref)","title":"Regional rare-earth element supply and demand balanced with circular economy strategies","volume":"17","author":[{"family":"Wang","given":"Peng"},{"family":"Yang","given":"Yu-Yao"},{"family":"Heidrich","given":"Oliver"},{"family":"Chen","given":"Li-Yang"},{"family":"Chen","given":"Li-Hua"},{"family":"Fishman","given":"Tomer"},{"family":"Chen","given":"Wei-Qiang"}],"issued":{"date-parts":[["2024",1]]}},"label":"page","suppress-author":true}],"schema":"https://github.com/citation-style-language/schema/raw/master/csl-citation.json"} </w:instrText>
      </w:r>
      <w:r w:rsidRPr="005B3DC2">
        <w:rPr>
          <w:sz w:val="22"/>
          <w:szCs w:val="22"/>
        </w:rPr>
        <w:fldChar w:fldCharType="separate"/>
      </w:r>
      <w:r w:rsidR="008836FB">
        <w:rPr>
          <w:sz w:val="22"/>
          <w:szCs w:val="22"/>
        </w:rPr>
        <w:t>(2024)</w:t>
      </w:r>
      <w:r w:rsidRPr="005B3DC2">
        <w:rPr>
          <w:sz w:val="22"/>
          <w:szCs w:val="22"/>
        </w:rPr>
        <w:fldChar w:fldCharType="end"/>
      </w:r>
      <w:r w:rsidRPr="005B3DC2">
        <w:rPr>
          <w:sz w:val="22"/>
          <w:szCs w:val="22"/>
        </w:rPr>
        <w:t xml:space="preserve"> and Gregoir and van Acker </w:t>
      </w:r>
      <w:r w:rsidRPr="005B3DC2">
        <w:rPr>
          <w:sz w:val="22"/>
          <w:szCs w:val="22"/>
        </w:rPr>
        <w:fldChar w:fldCharType="begin"/>
      </w:r>
      <w:r w:rsidRPr="005B3DC2">
        <w:rPr>
          <w:sz w:val="22"/>
          <w:szCs w:val="22"/>
        </w:rPr>
        <w:instrText xml:space="preserve"> ADDIN ZOTERO_ITEM CSL_CITATION {"citationID":"QVIIrbyB","properties":{"formattedCitation":"(2022)","plainCitation":"(2022)","noteIndex":0},"citationItems":[{"id":15481,"uris":["http://zotero.org/groups/4945499/items/8CAGVTFD"],"itemData":{"id":15481,"type":"document","publisher":"Eurometaux","title":"Metals for Clean Energy: Pathways to solving Europe’s raw materials challenge","URL":"https://eurometaux.eu/media/rqocjybv/metals-for-clean-energy-final.pdf","author":[{"family":"Gregoir","given":"Liesbet"},{"family":"Acker","given":"Karel","non-dropping-particle":"van"}],"issued":{"date-parts":[["2022",4,25]]}},"label":"page","suppress-author":true}],"schema":"https://github.com/citation-style-language/schema/raw/master/csl-citation.json"} </w:instrText>
      </w:r>
      <w:r w:rsidRPr="005B3DC2">
        <w:rPr>
          <w:sz w:val="22"/>
          <w:szCs w:val="22"/>
        </w:rPr>
        <w:fldChar w:fldCharType="separate"/>
      </w:r>
      <w:r w:rsidR="008836FB">
        <w:rPr>
          <w:sz w:val="22"/>
          <w:szCs w:val="22"/>
        </w:rPr>
        <w:t>(2022)</w:t>
      </w:r>
      <w:r w:rsidRPr="005B3DC2">
        <w:rPr>
          <w:sz w:val="22"/>
          <w:szCs w:val="22"/>
        </w:rPr>
        <w:fldChar w:fldCharType="end"/>
      </w:r>
      <w:r w:rsidRPr="005B3DC2">
        <w:rPr>
          <w:sz w:val="22"/>
          <w:szCs w:val="22"/>
        </w:rPr>
        <w:t>.</w:t>
      </w:r>
    </w:p>
    <w:p w14:paraId="5851AD97" w14:textId="77777777" w:rsidR="00250E9B" w:rsidRPr="005B3DC2" w:rsidRDefault="00250E9B" w:rsidP="00250E9B">
      <w:pPr>
        <w:jc w:val="both"/>
        <w:rPr>
          <w:sz w:val="22"/>
          <w:szCs w:val="22"/>
        </w:rPr>
      </w:pPr>
    </w:p>
    <w:p w14:paraId="507D63F4" w14:textId="6ABD8B4E" w:rsidR="00250E9B" w:rsidRPr="005B3DC2" w:rsidRDefault="00250E9B" w:rsidP="00250E9B">
      <w:pPr>
        <w:jc w:val="both"/>
        <w:rPr>
          <w:sz w:val="22"/>
          <w:szCs w:val="22"/>
        </w:rPr>
      </w:pPr>
      <w:r w:rsidRPr="005B3DC2">
        <w:rPr>
          <w:sz w:val="22"/>
          <w:szCs w:val="22"/>
        </w:rPr>
        <w:t xml:space="preserve">A higher MI reduction for the HREE is assumed considering the recent developments in relation to their reduction </w:t>
      </w:r>
      <w:r w:rsidRPr="005B3DC2">
        <w:rPr>
          <w:sz w:val="22"/>
          <w:szCs w:val="22"/>
        </w:rPr>
        <w:fldChar w:fldCharType="begin"/>
      </w:r>
      <w:r w:rsidR="008836FB">
        <w:rPr>
          <w:sz w:val="22"/>
          <w:szCs w:val="22"/>
        </w:rPr>
        <w:instrText xml:space="preserve"> ADDIN ZOTERO_ITEM CSL_CITATION {"citationID":"gn5EDUpH","properties":{"formattedCitation":"(JRC, 2016; Schulze &amp; Buchert, 2016)","plainCitation":"(JRC, 2016; Schulze &amp; Buchert, 2016)","noteIndex":0},"citationItems":[{"id":16780,"uris":["http://zotero.org/groups/5509458/items/MSLYI5BU"],"itemData":{"id":16780,"type":"report","title":"Wind Energy Status Report: 2016 Edition","URL":"https://publications.jrc.ec.europa.eu/repository/handle/JRC105720","author":[{"family":"JRC","given":""}],"issued":{"date-parts":[["2016"]]}}},{"id":15424,"uris":["http://zotero.org/groups/4945499/items/CRSD8NH9"],"itemData":{"id":15424,"type":"article-journal","container-title":"Resources, Conservation and Recycling","DOI":"10.1016/j.resconrec.2016.05.004","ISSN":"09213449","journalAbbreviation":"Resources, Conservation and Recycling","language":"en","page":"12-27","source":"DOI.org (Crossref)","title":"Estimates of global REE recycling potentials from NdFeB magnet material","volume":"113","author":[{"family":"Schulze","given":"Rita"},{"family":"Buchert","given":"Matthias"}],"issued":{"date-parts":[["2016",10]]}}}],"schema":"https://github.com/citation-style-language/schema/raw/master/csl-citation.json"} </w:instrText>
      </w:r>
      <w:r w:rsidRPr="005B3DC2">
        <w:rPr>
          <w:sz w:val="22"/>
          <w:szCs w:val="22"/>
        </w:rPr>
        <w:fldChar w:fldCharType="separate"/>
      </w:r>
      <w:r w:rsidR="008836FB">
        <w:rPr>
          <w:sz w:val="22"/>
          <w:szCs w:val="22"/>
        </w:rPr>
        <w:t>(JRC, 2016; Schulze &amp; Buchert, 2016)</w:t>
      </w:r>
      <w:r w:rsidRPr="005B3DC2">
        <w:rPr>
          <w:sz w:val="22"/>
          <w:szCs w:val="22"/>
        </w:rPr>
        <w:fldChar w:fldCharType="end"/>
      </w:r>
      <w:r w:rsidRPr="005B3DC2">
        <w:rPr>
          <w:sz w:val="22"/>
          <w:szCs w:val="22"/>
        </w:rPr>
        <w:t xml:space="preserve">, as well the anticipated further reductions </w:t>
      </w:r>
      <w:r w:rsidRPr="005B3DC2">
        <w:rPr>
          <w:sz w:val="22"/>
          <w:szCs w:val="22"/>
        </w:rPr>
        <w:fldChar w:fldCharType="begin"/>
      </w:r>
      <w:r w:rsidR="008836FB">
        <w:rPr>
          <w:sz w:val="22"/>
          <w:szCs w:val="22"/>
        </w:rPr>
        <w:instrText xml:space="preserve"> ADDIN ZOTERO_ITEM CSL_CITATION {"citationID":"l6CCskFQ","properties":{"formattedCitation":"(Rabe et al., 2017)","plainCitation":"(Rabe et al., 2017)","noteIndex":0},"citationItems":[{"id":15516,"uris":["http://zotero.org/groups/4945499/items/67VURTP4"],"itemData":{"id":15516,"type":"article-journal","container-title":"Energy Policy","DOI":"10.1016/j.enpol.2016.09.019","ISSN":"03014215","journalAbbreviation":"Energy Policy","language":"en","page":"692-699","source":"DOI.org (Crossref)","title":"China's supply of critical raw materials: Risks for Europe's solar and wind industries?","title-short":"China's supply of critical raw materials","volume":"101","author":[{"family":"Rabe","given":"Wiebke"},{"family":"Kostka","given":"Genia"},{"family":"Smith Stegen","given":"Karen"}],"issued":{"date-parts":[["2017",2]]}}}],"schema":"https://github.com/citation-style-language/schema/raw/master/csl-citation.json"} </w:instrText>
      </w:r>
      <w:r w:rsidRPr="005B3DC2">
        <w:rPr>
          <w:sz w:val="22"/>
          <w:szCs w:val="22"/>
        </w:rPr>
        <w:fldChar w:fldCharType="separate"/>
      </w:r>
      <w:r w:rsidR="008836FB">
        <w:rPr>
          <w:sz w:val="22"/>
          <w:szCs w:val="22"/>
        </w:rPr>
        <w:t>(Rabe et al., 2017)</w:t>
      </w:r>
      <w:r w:rsidRPr="005B3DC2">
        <w:rPr>
          <w:sz w:val="22"/>
          <w:szCs w:val="22"/>
        </w:rPr>
        <w:fldChar w:fldCharType="end"/>
      </w:r>
      <w:r w:rsidRPr="005B3DC2">
        <w:rPr>
          <w:sz w:val="22"/>
          <w:szCs w:val="22"/>
        </w:rPr>
        <w:t xml:space="preserve">. There are several examples of industrial applications involving such material reductions. Lower levels of LREE per installed capacity  are used in Vestas’ </w:t>
      </w:r>
      <w:proofErr w:type="spellStart"/>
      <w:r w:rsidRPr="005B3DC2">
        <w:rPr>
          <w:sz w:val="22"/>
          <w:szCs w:val="22"/>
        </w:rPr>
        <w:t>EnVentus</w:t>
      </w:r>
      <w:proofErr w:type="spellEnd"/>
      <w:r w:rsidRPr="005B3DC2">
        <w:rPr>
          <w:sz w:val="22"/>
          <w:szCs w:val="22"/>
        </w:rPr>
        <w:t xml:space="preserve"> model, and the use of HREE has been entirely eliminated </w:t>
      </w:r>
      <w:r w:rsidRPr="005B3DC2">
        <w:rPr>
          <w:sz w:val="22"/>
          <w:szCs w:val="22"/>
        </w:rPr>
        <w:fldChar w:fldCharType="begin"/>
      </w:r>
      <w:r w:rsidR="008836FB">
        <w:rPr>
          <w:sz w:val="22"/>
          <w:szCs w:val="22"/>
        </w:rPr>
        <w:instrText xml:space="preserve"> ADDIN ZOTERO_ITEM CSL_CITATION {"citationID":"TBMagyYP","properties":{"formattedCitation":"(Vestas, 2019, p. 2)","plainCitation":"(Vestas, 2019, p. 2)","noteIndex":0},"citationItems":[{"id":16781,"uris":["http://zotero.org/groups/5509458/items/52J32QTF"],"itemData":{"id":16781,"type":"report","title":"Sustainability report 2019","URL":"https://www.vestas.com/en/sustainability/reports-and-ratings","author":[{"family":"Vestas","given":""}],"issued":{"date-parts":[["2019"]]}},"locator":"2"}],"schema":"https://github.com/citation-style-language/schema/raw/master/csl-citation.json"} </w:instrText>
      </w:r>
      <w:r w:rsidRPr="005B3DC2">
        <w:rPr>
          <w:sz w:val="22"/>
          <w:szCs w:val="22"/>
        </w:rPr>
        <w:fldChar w:fldCharType="separate"/>
      </w:r>
      <w:r w:rsidR="008836FB">
        <w:rPr>
          <w:sz w:val="22"/>
          <w:szCs w:val="22"/>
        </w:rPr>
        <w:t>(Vestas, 2019, p. 2)</w:t>
      </w:r>
      <w:r w:rsidRPr="005B3DC2">
        <w:rPr>
          <w:sz w:val="22"/>
          <w:szCs w:val="22"/>
        </w:rPr>
        <w:fldChar w:fldCharType="end"/>
      </w:r>
      <w:r w:rsidRPr="005B3DC2">
        <w:rPr>
          <w:sz w:val="22"/>
          <w:szCs w:val="22"/>
        </w:rPr>
        <w:t>. Siemens Gamesa Renewable Energy has notably decreased the Dy</w:t>
      </w:r>
      <w:r w:rsidRPr="005B3DC2" w:rsidDel="00C64B7F">
        <w:rPr>
          <w:sz w:val="22"/>
          <w:szCs w:val="22"/>
        </w:rPr>
        <w:t xml:space="preserve"> </w:t>
      </w:r>
      <w:r w:rsidRPr="005B3DC2">
        <w:rPr>
          <w:sz w:val="22"/>
          <w:szCs w:val="22"/>
        </w:rPr>
        <w:t>content of their wind turbines to well under 1% (compared to the market average of 3%–6% in Tables S</w:t>
      </w:r>
      <w:r w:rsidR="00117EA9">
        <w:rPr>
          <w:sz w:val="22"/>
          <w:szCs w:val="22"/>
        </w:rPr>
        <w:t>1.1</w:t>
      </w:r>
      <w:r w:rsidR="009033A9">
        <w:rPr>
          <w:sz w:val="22"/>
          <w:szCs w:val="22"/>
        </w:rPr>
        <w:t>4</w:t>
      </w:r>
      <w:r w:rsidRPr="005B3DC2">
        <w:rPr>
          <w:sz w:val="22"/>
          <w:szCs w:val="22"/>
        </w:rPr>
        <w:t xml:space="preserve"> and S</w:t>
      </w:r>
      <w:r w:rsidR="00117EA9">
        <w:rPr>
          <w:sz w:val="22"/>
          <w:szCs w:val="22"/>
        </w:rPr>
        <w:t>1.1</w:t>
      </w:r>
      <w:r w:rsidR="009033A9">
        <w:rPr>
          <w:sz w:val="22"/>
          <w:szCs w:val="22"/>
        </w:rPr>
        <w:t>8</w:t>
      </w:r>
      <w:r w:rsidRPr="005B3DC2">
        <w:rPr>
          <w:sz w:val="22"/>
          <w:szCs w:val="22"/>
        </w:rPr>
        <w:t xml:space="preserve">). Meanwhile, </w:t>
      </w:r>
      <w:proofErr w:type="spellStart"/>
      <w:r w:rsidRPr="005B3DC2">
        <w:rPr>
          <w:sz w:val="22"/>
          <w:szCs w:val="22"/>
        </w:rPr>
        <w:t>Goldwind</w:t>
      </w:r>
      <w:proofErr w:type="spellEnd"/>
      <w:r w:rsidRPr="005B3DC2">
        <w:rPr>
          <w:sz w:val="22"/>
          <w:szCs w:val="22"/>
        </w:rPr>
        <w:t xml:space="preserve"> has completely eliminated the use of Dy</w:t>
      </w:r>
      <w:r w:rsidRPr="005B3DC2" w:rsidDel="00C64B7F">
        <w:rPr>
          <w:sz w:val="22"/>
          <w:szCs w:val="22"/>
        </w:rPr>
        <w:t xml:space="preserve"> </w:t>
      </w:r>
      <w:r w:rsidRPr="005B3DC2">
        <w:rPr>
          <w:sz w:val="22"/>
          <w:szCs w:val="22"/>
        </w:rPr>
        <w:t xml:space="preserve">in certain generators, and in other designs it has reduced its content to below 1% </w:t>
      </w:r>
      <w:r w:rsidRPr="005B3DC2">
        <w:rPr>
          <w:sz w:val="22"/>
          <w:szCs w:val="22"/>
        </w:rPr>
        <w:fldChar w:fldCharType="begin"/>
      </w:r>
      <w:r w:rsidR="008836FB">
        <w:rPr>
          <w:sz w:val="22"/>
          <w:szCs w:val="22"/>
        </w:rPr>
        <w:instrText xml:space="preserve"> ADDIN ZOTERO_ITEM CSL_CITATION {"citationID":"yVt09pbs","properties":{"formattedCitation":"(Wind Power Monthly, 2018)","plainCitation":"(Wind Power Monthly, 2018)","noteIndex":0},"citationItems":[{"id":16782,"uris":["http://zotero.org/groups/5509458/items/Q63CNKAY"],"itemData":{"id":16782,"type":"report","title":"Rethinking the use of rare-earth elements","URL":"https://www.windpowermonthly.com/article/1519221/rethinking-use-rare-earth-elements","author":[{"family":"Wind Power Monthly","given":""}],"issued":{"date-parts":[["2018"]]}}}],"schema":"https://github.com/citation-style-language/schema/raw/master/csl-citation.json"} </w:instrText>
      </w:r>
      <w:r w:rsidRPr="005B3DC2">
        <w:rPr>
          <w:sz w:val="22"/>
          <w:szCs w:val="22"/>
        </w:rPr>
        <w:fldChar w:fldCharType="separate"/>
      </w:r>
      <w:r w:rsidR="008836FB">
        <w:rPr>
          <w:sz w:val="22"/>
          <w:szCs w:val="22"/>
        </w:rPr>
        <w:t>(Wind Power Monthly, 2018)</w:t>
      </w:r>
      <w:r w:rsidRPr="005B3DC2">
        <w:rPr>
          <w:sz w:val="22"/>
          <w:szCs w:val="22"/>
        </w:rPr>
        <w:fldChar w:fldCharType="end"/>
      </w:r>
      <w:r w:rsidRPr="005B3DC2">
        <w:rPr>
          <w:sz w:val="22"/>
          <w:szCs w:val="22"/>
        </w:rPr>
        <w:t>.</w:t>
      </w:r>
    </w:p>
    <w:p w14:paraId="75706945" w14:textId="77777777" w:rsidR="00250E9B" w:rsidRPr="005B3DC2" w:rsidRDefault="00250E9B" w:rsidP="00250E9B">
      <w:pPr>
        <w:jc w:val="both"/>
        <w:rPr>
          <w:sz w:val="22"/>
          <w:szCs w:val="22"/>
        </w:rPr>
      </w:pPr>
    </w:p>
    <w:p w14:paraId="74836FE7" w14:textId="468969A4" w:rsidR="00250E9B" w:rsidRPr="005B3DC2" w:rsidRDefault="00250E9B" w:rsidP="00250E9B">
      <w:pPr>
        <w:jc w:val="both"/>
        <w:rPr>
          <w:sz w:val="22"/>
          <w:szCs w:val="22"/>
        </w:rPr>
      </w:pPr>
      <w:r w:rsidRPr="005B3DC2">
        <w:rPr>
          <w:sz w:val="22"/>
          <w:szCs w:val="22"/>
        </w:rPr>
        <w:t>Similar to the approach used for solar PV, the current MI values were kept constant throughout the scenario period in the Baseline scenario, while for the MI reduction scenario the values were linearly interpolated between the current (2021) and 2050 values. Figure S</w:t>
      </w:r>
      <w:r w:rsidR="00067C98">
        <w:rPr>
          <w:sz w:val="22"/>
          <w:szCs w:val="22"/>
        </w:rPr>
        <w:t>1.6</w:t>
      </w:r>
      <w:r w:rsidRPr="005B3DC2">
        <w:rPr>
          <w:sz w:val="22"/>
          <w:szCs w:val="22"/>
        </w:rPr>
        <w:t xml:space="preserve"> provides a visualization of the MI in the current and 2050 cases, as well as the average values used per case.</w:t>
      </w:r>
    </w:p>
    <w:p w14:paraId="7168EA39" w14:textId="77777777" w:rsidR="00250E9B" w:rsidRPr="005B3DC2" w:rsidRDefault="00250E9B" w:rsidP="00250E9B">
      <w:pPr>
        <w:jc w:val="both"/>
        <w:rPr>
          <w:sz w:val="22"/>
          <w:szCs w:val="22"/>
        </w:rPr>
      </w:pPr>
    </w:p>
    <w:p w14:paraId="60EE8FE8" w14:textId="2FC2D197" w:rsidR="00250E9B" w:rsidRDefault="00250E9B" w:rsidP="00250E9B">
      <w:pPr>
        <w:jc w:val="both"/>
        <w:rPr>
          <w:sz w:val="22"/>
          <w:szCs w:val="22"/>
        </w:rPr>
      </w:pPr>
    </w:p>
    <w:p w14:paraId="561835A2" w14:textId="0E96D11D" w:rsidR="0046506A" w:rsidRPr="005B3DC2" w:rsidRDefault="0046506A" w:rsidP="00250E9B">
      <w:pPr>
        <w:jc w:val="both"/>
        <w:rPr>
          <w:sz w:val="22"/>
          <w:szCs w:val="22"/>
        </w:rPr>
      </w:pPr>
      <w:r>
        <w:rPr>
          <w:noProof/>
        </w:rPr>
        <w:drawing>
          <wp:inline distT="0" distB="0" distL="0" distR="0" wp14:anchorId="4AE0F9C3" wp14:editId="410C1A89">
            <wp:extent cx="5486400" cy="3747600"/>
            <wp:effectExtent l="0" t="0" r="0" b="0"/>
            <wp:docPr id="1499515365" name="Chart 1">
              <a:extLst xmlns:a="http://schemas.openxmlformats.org/drawingml/2006/main">
                <a:ext uri="{FF2B5EF4-FFF2-40B4-BE49-F238E27FC236}">
                  <a16:creationId xmlns:a16="http://schemas.microsoft.com/office/drawing/2014/main" id="{00000000-0008-0000-07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B139338" w14:textId="4358A8EC" w:rsidR="00250E9B" w:rsidRPr="00F05D5B" w:rsidRDefault="00250E9B" w:rsidP="00250E9B">
      <w:pPr>
        <w:jc w:val="center"/>
        <w:rPr>
          <w:color w:val="0E2841"/>
          <w:sz w:val="18"/>
          <w:szCs w:val="18"/>
        </w:rPr>
      </w:pPr>
      <w:r w:rsidRPr="00F05D5B">
        <w:rPr>
          <w:b/>
          <w:color w:val="0E2841"/>
          <w:sz w:val="18"/>
          <w:szCs w:val="18"/>
        </w:rPr>
        <w:t>Figure S</w:t>
      </w:r>
      <w:r>
        <w:rPr>
          <w:b/>
          <w:color w:val="0E2841"/>
          <w:sz w:val="18"/>
          <w:szCs w:val="18"/>
        </w:rPr>
        <w:t>1.</w:t>
      </w:r>
      <w:r w:rsidR="00E42788">
        <w:rPr>
          <w:b/>
          <w:color w:val="0E2841"/>
          <w:sz w:val="18"/>
          <w:szCs w:val="18"/>
        </w:rPr>
        <w:t>6</w:t>
      </w:r>
      <w:r w:rsidRPr="00F05D5B">
        <w:rPr>
          <w:b/>
          <w:color w:val="0E2841"/>
          <w:sz w:val="18"/>
          <w:szCs w:val="18"/>
        </w:rPr>
        <w:t xml:space="preserve">: </w:t>
      </w:r>
      <w:r w:rsidRPr="00F05D5B">
        <w:rPr>
          <w:color w:val="0E2841"/>
          <w:sz w:val="18"/>
          <w:szCs w:val="18"/>
        </w:rPr>
        <w:t>Intensities (kg/MW) per sub-technology and material for wind power in the current year, and in 2050.</w:t>
      </w:r>
    </w:p>
    <w:p w14:paraId="7903A04F" w14:textId="77777777" w:rsidR="00250E9B" w:rsidRPr="005B3DC2" w:rsidRDefault="00250E9B" w:rsidP="00250E9B">
      <w:pPr>
        <w:jc w:val="both"/>
        <w:rPr>
          <w:sz w:val="22"/>
          <w:szCs w:val="22"/>
        </w:rPr>
      </w:pPr>
    </w:p>
    <w:p w14:paraId="1B29F628" w14:textId="77777777" w:rsidR="00250E9B" w:rsidRPr="00421B5A" w:rsidRDefault="00250E9B" w:rsidP="00250E9B">
      <w:pPr>
        <w:jc w:val="both"/>
        <w:rPr>
          <w:sz w:val="22"/>
          <w:szCs w:val="22"/>
        </w:rPr>
      </w:pPr>
      <w:r w:rsidRPr="00421B5A">
        <w:rPr>
          <w:sz w:val="22"/>
          <w:szCs w:val="22"/>
        </w:rPr>
        <w:br w:type="page"/>
      </w:r>
    </w:p>
    <w:p w14:paraId="33D50EF6" w14:textId="20A68861" w:rsidR="00250E9B" w:rsidRPr="00EC0378" w:rsidRDefault="00977536" w:rsidP="00250E9B">
      <w:pPr>
        <w:pStyle w:val="Heading1"/>
        <w:rPr>
          <w:color w:val="0E2841" w:themeColor="text2"/>
          <w:sz w:val="32"/>
          <w:szCs w:val="32"/>
        </w:rPr>
      </w:pPr>
      <w:bookmarkStart w:id="75" w:name="_Toc171362997"/>
      <w:bookmarkStart w:id="76" w:name="_Toc171616704"/>
      <w:bookmarkStart w:id="77" w:name="_Toc172657879"/>
      <w:bookmarkStart w:id="78" w:name="_Toc173327303"/>
      <w:bookmarkStart w:id="79" w:name="_Toc176448302"/>
      <w:bookmarkStart w:id="80" w:name="_Toc176788415"/>
      <w:bookmarkStart w:id="81" w:name="_Toc176788457"/>
      <w:bookmarkStart w:id="82" w:name="_Toc176788574"/>
      <w:bookmarkStart w:id="83" w:name="_Toc176789091"/>
      <w:bookmarkStart w:id="84" w:name="_Toc176789947"/>
      <w:bookmarkStart w:id="85" w:name="_Toc208849805"/>
      <w:bookmarkStart w:id="86" w:name="_Toc208850249"/>
      <w:r>
        <w:rPr>
          <w:color w:val="0E2841" w:themeColor="text2"/>
          <w:sz w:val="32"/>
          <w:szCs w:val="32"/>
        </w:rPr>
        <w:lastRenderedPageBreak/>
        <w:t>8</w:t>
      </w:r>
      <w:r w:rsidR="00250E9B" w:rsidRPr="00EC0378">
        <w:rPr>
          <w:color w:val="0E2841" w:themeColor="text2"/>
          <w:sz w:val="32"/>
          <w:szCs w:val="32"/>
        </w:rPr>
        <w:t>. Substitution</w:t>
      </w:r>
      <w:bookmarkEnd w:id="75"/>
      <w:bookmarkEnd w:id="76"/>
      <w:bookmarkEnd w:id="77"/>
      <w:bookmarkEnd w:id="78"/>
      <w:bookmarkEnd w:id="79"/>
      <w:bookmarkEnd w:id="80"/>
      <w:bookmarkEnd w:id="81"/>
      <w:bookmarkEnd w:id="82"/>
      <w:bookmarkEnd w:id="83"/>
      <w:bookmarkEnd w:id="84"/>
      <w:bookmarkEnd w:id="85"/>
      <w:bookmarkEnd w:id="86"/>
    </w:p>
    <w:p w14:paraId="0FABB036" w14:textId="77777777" w:rsidR="00250E9B" w:rsidRPr="005B3DC2" w:rsidRDefault="00250E9B" w:rsidP="00250E9B">
      <w:pPr>
        <w:jc w:val="both"/>
        <w:rPr>
          <w:sz w:val="22"/>
          <w:szCs w:val="22"/>
        </w:rPr>
      </w:pPr>
      <w:r w:rsidRPr="005B3DC2">
        <w:rPr>
          <w:sz w:val="22"/>
          <w:szCs w:val="22"/>
        </w:rPr>
        <w:t xml:space="preserve">We conducted a review of the scientific literature and industrial applications for substitution options used for wind and solar PV technologies. </w:t>
      </w:r>
    </w:p>
    <w:p w14:paraId="4893CDFA" w14:textId="77777777" w:rsidR="00250E9B" w:rsidRPr="005B3DC2" w:rsidRDefault="00250E9B" w:rsidP="00250E9B">
      <w:pPr>
        <w:jc w:val="both"/>
        <w:rPr>
          <w:sz w:val="22"/>
          <w:szCs w:val="22"/>
        </w:rPr>
      </w:pPr>
    </w:p>
    <w:p w14:paraId="6951B8CC" w14:textId="4956C55A" w:rsidR="00250E9B" w:rsidRPr="005B3DC2" w:rsidRDefault="00250E9B" w:rsidP="00250E9B">
      <w:pPr>
        <w:jc w:val="both"/>
        <w:rPr>
          <w:sz w:val="22"/>
          <w:szCs w:val="22"/>
        </w:rPr>
      </w:pPr>
      <w:r w:rsidRPr="005B3DC2">
        <w:rPr>
          <w:sz w:val="22"/>
          <w:szCs w:val="22"/>
        </w:rPr>
        <w:t xml:space="preserve">For wind technologies, substitution options are available for the NdFeB permanent magnets used in wind turbines, both at the component and material levels. On the material level, substitution possibilities for the four REE used in PM exist. For example, </w:t>
      </w:r>
      <w:proofErr w:type="spellStart"/>
      <w:r w:rsidRPr="005B3DC2">
        <w:rPr>
          <w:sz w:val="22"/>
          <w:szCs w:val="22"/>
        </w:rPr>
        <w:t>Pr</w:t>
      </w:r>
      <w:proofErr w:type="spellEnd"/>
      <w:r w:rsidRPr="005B3DC2">
        <w:rPr>
          <w:sz w:val="22"/>
          <w:szCs w:val="22"/>
        </w:rPr>
        <w:t xml:space="preserve"> can replace Nd without compromising PM performance. Neodymium can replace Dy, which is associated with significantly higher costs than Nd </w:t>
      </w:r>
      <w:r w:rsidRPr="005B3DC2">
        <w:rPr>
          <w:sz w:val="22"/>
          <w:szCs w:val="22"/>
        </w:rPr>
        <w:fldChar w:fldCharType="begin"/>
      </w:r>
      <w:r w:rsidR="008836FB">
        <w:rPr>
          <w:sz w:val="22"/>
          <w:szCs w:val="22"/>
        </w:rPr>
        <w:instrText xml:space="preserve"> ADDIN ZOTERO_ITEM CSL_CITATION {"citationID":"oBFofpka","properties":{"formattedCitation":"(JRC, 2016)","plainCitation":"(JRC, 2016)","noteIndex":0},"citationItems":[{"id":16780,"uris":["http://zotero.org/groups/5509458/items/MSLYI5BU"],"itemData":{"id":16780,"type":"report","title":"Wind Energy Status Report: 2016 Edition","URL":"https://publications.jrc.ec.europa.eu/repository/handle/JRC105720","author":[{"family":"JRC","given":""}],"issued":{"date-parts":[["2016"]]}}}],"schema":"https://github.com/citation-style-language/schema/raw/master/csl-citation.json"} </w:instrText>
      </w:r>
      <w:r w:rsidRPr="005B3DC2">
        <w:rPr>
          <w:sz w:val="22"/>
          <w:szCs w:val="22"/>
        </w:rPr>
        <w:fldChar w:fldCharType="separate"/>
      </w:r>
      <w:r w:rsidR="008836FB">
        <w:rPr>
          <w:sz w:val="22"/>
          <w:szCs w:val="22"/>
        </w:rPr>
        <w:t>(JRC, 2016)</w:t>
      </w:r>
      <w:r w:rsidRPr="005B3DC2">
        <w:rPr>
          <w:sz w:val="22"/>
          <w:szCs w:val="22"/>
        </w:rPr>
        <w:fldChar w:fldCharType="end"/>
      </w:r>
      <w:r w:rsidRPr="005B3DC2">
        <w:rPr>
          <w:sz w:val="22"/>
          <w:szCs w:val="22"/>
        </w:rPr>
        <w:t xml:space="preserve">). However, in our analysis, we focus on substitution options that do not involve substituting one of the four REE with a different REE. Substitutions using platinum group metals, cerium (Ce), and copper (Cu) have been mentioned in the literature as a material substitution option for REEs. Investigations are underway to identify new magnetic alloy substitutes for Dy. An innovative approach involves using an alloy that combines Ce and cobalt, allowing for the substitution of Ce for Dy while retaining the desired magnetic characteristics, which could represent an attractive alternative in the future </w:t>
      </w:r>
      <w:r w:rsidRPr="005B3DC2">
        <w:rPr>
          <w:sz w:val="22"/>
          <w:szCs w:val="22"/>
        </w:rPr>
        <w:fldChar w:fldCharType="begin"/>
      </w:r>
      <w:r w:rsidR="008836FB">
        <w:rPr>
          <w:sz w:val="22"/>
          <w:szCs w:val="22"/>
        </w:rPr>
        <w:instrText xml:space="preserve"> ADDIN ZOTERO_ITEM CSL_CITATION {"citationID":"0jWzSbAK","properties":{"formattedCitation":"(Huber &amp; Steininger, 2022)","plainCitation":"(Huber &amp; Steininger, 2022)","noteIndex":0},"citationItems":[{"id":16583,"uris":["http://zotero.org/groups/5509458/items/KMHQQN8G"],"itemData":{"id":16583,"type":"article-journal","container-title":"Journal of Cleaner Production","DOI":"10.1016/j.jclepro.2022.130720","ISSN":"09596526","journalAbbreviation":"Journal of Cleaner Production","language":"en","page":"130720","source":"DOI.org (Crossref)","title":"Critical sustainability issues in the production of wind and solar electricity generation as well as storage facilities and possible solutions","volume":"339","author":[{"family":"Huber","given":"Sophie Theresia"},{"family":"Steininger","given":"Karl W."}],"issued":{"date-parts":[["2022",3]]}}}],"schema":"https://github.com/citation-style-language/schema/raw/master/csl-citation.json"} </w:instrText>
      </w:r>
      <w:r w:rsidRPr="005B3DC2">
        <w:rPr>
          <w:sz w:val="22"/>
          <w:szCs w:val="22"/>
        </w:rPr>
        <w:fldChar w:fldCharType="separate"/>
      </w:r>
      <w:r w:rsidR="008836FB">
        <w:rPr>
          <w:sz w:val="22"/>
          <w:szCs w:val="22"/>
        </w:rPr>
        <w:t>(Huber &amp; Steininger, 2022)</w:t>
      </w:r>
      <w:r w:rsidRPr="005B3DC2">
        <w:rPr>
          <w:sz w:val="22"/>
          <w:szCs w:val="22"/>
        </w:rPr>
        <w:fldChar w:fldCharType="end"/>
      </w:r>
      <w:r w:rsidRPr="005B3DC2">
        <w:rPr>
          <w:sz w:val="22"/>
          <w:szCs w:val="22"/>
        </w:rPr>
        <w:t>. Furthermore, as mentioned above, certain manufacturers have redesigned their generators to eliminate completely the use of HREE in their generators.</w:t>
      </w:r>
    </w:p>
    <w:p w14:paraId="7F2B6729" w14:textId="77777777" w:rsidR="00250E9B" w:rsidRPr="005B3DC2" w:rsidRDefault="00250E9B" w:rsidP="00250E9B">
      <w:pPr>
        <w:jc w:val="both"/>
        <w:rPr>
          <w:sz w:val="22"/>
          <w:szCs w:val="22"/>
        </w:rPr>
      </w:pPr>
    </w:p>
    <w:p w14:paraId="3F21962B" w14:textId="1E395551" w:rsidR="00250E9B" w:rsidRPr="005B3DC2" w:rsidRDefault="00250E9B" w:rsidP="00250E9B">
      <w:pPr>
        <w:jc w:val="both"/>
        <w:rPr>
          <w:sz w:val="22"/>
          <w:szCs w:val="22"/>
        </w:rPr>
      </w:pPr>
      <w:r w:rsidRPr="005B3DC2">
        <w:rPr>
          <w:sz w:val="22"/>
          <w:szCs w:val="22"/>
        </w:rPr>
        <w:t xml:space="preserve">From the component substitution perspective, ferrite magnets can be used in place of REE-containing permanent magnets. </w:t>
      </w:r>
      <w:proofErr w:type="spellStart"/>
      <w:r w:rsidRPr="005B3DC2">
        <w:rPr>
          <w:sz w:val="22"/>
          <w:szCs w:val="22"/>
        </w:rPr>
        <w:t>GreenSpur</w:t>
      </w:r>
      <w:proofErr w:type="spellEnd"/>
      <w:r w:rsidRPr="005B3DC2">
        <w:rPr>
          <w:sz w:val="22"/>
          <w:szCs w:val="22"/>
        </w:rPr>
        <w:t xml:space="preserve"> Renewables has pioneered the development of the world's first permanent magnet synchronous generator (PMSG), which utilizes ferrite instead of REE </w:t>
      </w:r>
      <w:r w:rsidRPr="005B3DC2">
        <w:rPr>
          <w:sz w:val="22"/>
          <w:szCs w:val="22"/>
        </w:rPr>
        <w:fldChar w:fldCharType="begin"/>
      </w:r>
      <w:r w:rsidR="008836FB">
        <w:rPr>
          <w:sz w:val="22"/>
          <w:szCs w:val="22"/>
        </w:rPr>
        <w:instrText xml:space="preserve"> ADDIN ZOTERO_ITEM CSL_CITATION {"citationID":"9bv2WjXA","properties":{"formattedCitation":"(Snieckus, 2019)","plainCitation":"(Snieckus, 2019)","noteIndex":0},"citationItems":[{"id":16784,"uris":["http://zotero.org/groups/5509458/items/LV4EMWW5"],"itemData":{"id":16784,"type":"report","title":"Offshore Wind Turbine 20MW Generator Ready “Within Three Years”’","URL":"https://www.rechargenews.com/wind/offshore-wind-turbine-20mw-generator-ready-within-three-years/2-1-711845","author":[{"family":"Snieckus","given":"Darius"}],"issued":{"date-parts":[["2019"]]}}}],"schema":"https://github.com/citation-style-language/schema/raw/master/csl-citation.json"} </w:instrText>
      </w:r>
      <w:r w:rsidRPr="005B3DC2">
        <w:rPr>
          <w:sz w:val="22"/>
          <w:szCs w:val="22"/>
        </w:rPr>
        <w:fldChar w:fldCharType="separate"/>
      </w:r>
      <w:r w:rsidR="008836FB">
        <w:rPr>
          <w:sz w:val="22"/>
          <w:szCs w:val="22"/>
        </w:rPr>
        <w:t>(</w:t>
      </w:r>
      <w:proofErr w:type="spellStart"/>
      <w:r w:rsidR="008836FB">
        <w:rPr>
          <w:sz w:val="22"/>
          <w:szCs w:val="22"/>
        </w:rPr>
        <w:t>Snieckus</w:t>
      </w:r>
      <w:proofErr w:type="spellEnd"/>
      <w:r w:rsidR="008836FB">
        <w:rPr>
          <w:sz w:val="22"/>
          <w:szCs w:val="22"/>
        </w:rPr>
        <w:t>, 2019)</w:t>
      </w:r>
      <w:r w:rsidRPr="005B3DC2">
        <w:rPr>
          <w:sz w:val="22"/>
          <w:szCs w:val="22"/>
        </w:rPr>
        <w:fldChar w:fldCharType="end"/>
      </w:r>
      <w:r w:rsidRPr="005B3DC2">
        <w:rPr>
          <w:sz w:val="22"/>
          <w:szCs w:val="22"/>
        </w:rPr>
        <w:t xml:space="preserve">. Ferrite is not subject to the same supply chain constraints or market monopolies, potentially allowing for reduced capital expenditures, which is particularly advantageous for larger electric generators. PMSG has, however, been associated with a 3% reduction in efficiency </w:t>
      </w:r>
      <w:r w:rsidRPr="005B3DC2">
        <w:rPr>
          <w:sz w:val="22"/>
          <w:szCs w:val="22"/>
        </w:rPr>
        <w:fldChar w:fldCharType="begin"/>
      </w:r>
      <w:r w:rsidR="008836FB">
        <w:rPr>
          <w:sz w:val="22"/>
          <w:szCs w:val="22"/>
        </w:rPr>
        <w:instrText xml:space="preserve"> ADDIN ZOTERO_ITEM CSL_CITATION {"citationID":"z9OgZdfw","properties":{"formattedCitation":"(Church &amp; Crawford, 2018)","plainCitation":"(Church &amp; Crawford, 2018)","noteIndex":0},"citationItems":[{"id":16785,"uris":["http://zotero.org/groups/5509458/items/Q94VK5FK"],"itemData":{"id":16785,"type":"report","title":"Green Conflict Minerals: The fuels of conflict in the transition to a low-carbon economy","URL":"https://madi.africa/wp-content/uploads/2022/10/IISD-green-conflict-minerals.pdf","author":[{"family":"Church","given":"Clare"},{"family":"Crawford","given":"Alec"}],"issued":{"date-parts":[["2018"]]}}}],"schema":"https://github.com/citation-style-language/schema/raw/master/csl-citation.json"} </w:instrText>
      </w:r>
      <w:r w:rsidRPr="005B3DC2">
        <w:rPr>
          <w:sz w:val="22"/>
          <w:szCs w:val="22"/>
        </w:rPr>
        <w:fldChar w:fldCharType="separate"/>
      </w:r>
      <w:r w:rsidR="008836FB">
        <w:rPr>
          <w:sz w:val="22"/>
          <w:szCs w:val="22"/>
        </w:rPr>
        <w:t>(Church &amp; Crawford, 2018)</w:t>
      </w:r>
      <w:r w:rsidRPr="005B3DC2">
        <w:rPr>
          <w:sz w:val="22"/>
          <w:szCs w:val="22"/>
        </w:rPr>
        <w:fldChar w:fldCharType="end"/>
      </w:r>
      <w:r w:rsidRPr="005B3DC2">
        <w:rPr>
          <w:sz w:val="22"/>
          <w:szCs w:val="22"/>
        </w:rPr>
        <w:t xml:space="preserve">. During the Investor Day event held on March 1, 2023, Tesla announced its upcoming generation of permanent magnet synchronous reluctance motors (PMSRM) for traction applications, specifying that these would not incorporate rare earth PM, which led to speculation that the REE-containing PM would be replaced by ferrite magnets </w:t>
      </w:r>
      <w:r w:rsidRPr="005B3DC2">
        <w:rPr>
          <w:sz w:val="22"/>
          <w:szCs w:val="22"/>
        </w:rPr>
        <w:fldChar w:fldCharType="begin"/>
      </w:r>
      <w:r w:rsidR="008836FB">
        <w:rPr>
          <w:sz w:val="22"/>
          <w:szCs w:val="22"/>
        </w:rPr>
        <w:instrText xml:space="preserve"> ADDIN ZOTERO_ITEM CSL_CITATION {"citationID":"x1fioV16","properties":{"formattedCitation":"(Adamas Intelligence, 2023)","plainCitation":"(Adamas Intelligence, 2023)","noteIndex":0},"citationItems":[{"id":16786,"uris":["http://zotero.org/groups/5509458/items/PJTL7DKV"],"itemData":{"id":16786,"type":"report","title":"Implications: Tesla Announces Next Generation Rare-Earth-Free PMSM","URL":"https://www.adamasintel.com/tesla-rare-earth-free-motor/","author":[{"family":"Adamas Intelligence","given":""}],"issued":{"date-parts":[["2023"]]}}}],"schema":"https://github.com/citation-style-language/schema/raw/master/csl-citation.json"} </w:instrText>
      </w:r>
      <w:r w:rsidRPr="005B3DC2">
        <w:rPr>
          <w:sz w:val="22"/>
          <w:szCs w:val="22"/>
        </w:rPr>
        <w:fldChar w:fldCharType="separate"/>
      </w:r>
      <w:r w:rsidR="008836FB">
        <w:rPr>
          <w:sz w:val="22"/>
          <w:szCs w:val="22"/>
        </w:rPr>
        <w:t>(Adamas Intelligence, 2023)</w:t>
      </w:r>
      <w:r w:rsidRPr="005B3DC2">
        <w:rPr>
          <w:sz w:val="22"/>
          <w:szCs w:val="22"/>
        </w:rPr>
        <w:fldChar w:fldCharType="end"/>
      </w:r>
      <w:r w:rsidRPr="005B3DC2">
        <w:rPr>
          <w:sz w:val="22"/>
          <w:szCs w:val="22"/>
        </w:rPr>
        <w:t xml:space="preserve">. </w:t>
      </w:r>
    </w:p>
    <w:p w14:paraId="068AB648" w14:textId="77777777" w:rsidR="00250E9B" w:rsidRPr="005B3DC2" w:rsidRDefault="00250E9B" w:rsidP="00250E9B">
      <w:pPr>
        <w:jc w:val="both"/>
        <w:rPr>
          <w:sz w:val="22"/>
          <w:szCs w:val="22"/>
        </w:rPr>
      </w:pPr>
    </w:p>
    <w:p w14:paraId="127FA6A6" w14:textId="77777777" w:rsidR="00250E9B" w:rsidRPr="005B3DC2" w:rsidRDefault="00250E9B" w:rsidP="00250E9B">
      <w:pPr>
        <w:jc w:val="both"/>
        <w:rPr>
          <w:sz w:val="22"/>
          <w:szCs w:val="22"/>
        </w:rPr>
      </w:pPr>
      <w:r w:rsidRPr="005B3DC2">
        <w:rPr>
          <w:sz w:val="22"/>
          <w:szCs w:val="22"/>
        </w:rPr>
        <w:t xml:space="preserve">In addition to substitutions on the component and material levels, there is a potential for substitution on the sub-technology level with the high-temperature superconducting (HTS) technology. The </w:t>
      </w:r>
      <w:proofErr w:type="spellStart"/>
      <w:r w:rsidRPr="005B3DC2">
        <w:rPr>
          <w:sz w:val="22"/>
          <w:szCs w:val="22"/>
        </w:rPr>
        <w:t>EcoSwing</w:t>
      </w:r>
      <w:proofErr w:type="spellEnd"/>
      <w:r w:rsidRPr="005B3DC2">
        <w:rPr>
          <w:sz w:val="22"/>
          <w:szCs w:val="22"/>
        </w:rPr>
        <w:t xml:space="preserve"> H2020 project</w:t>
      </w:r>
      <w:r w:rsidRPr="005B3DC2">
        <w:rPr>
          <w:sz w:val="22"/>
          <w:szCs w:val="22"/>
          <w:vertAlign w:val="superscript"/>
        </w:rPr>
        <w:footnoteReference w:id="2"/>
      </w:r>
      <w:r w:rsidRPr="005B3DC2">
        <w:rPr>
          <w:sz w:val="22"/>
          <w:szCs w:val="22"/>
        </w:rPr>
        <w:t xml:space="preserve"> achieved a significant milestone in wind turbine generator technology by designing, constructing, and testing the world's first full-size superconducting generator for a wind turbine. This generator, rated at 3.6 MW, was a groundbreaking step in demonstrating the viability of the HTS technology for operational wind converters. The project managed to integrate this technology into a modern wind turbine, and it proved that the superconducting drive train could be cost-competitive with both state-of-the-art, direct-drive PM generators and conventional, geared drive trains when produced in series. </w:t>
      </w:r>
    </w:p>
    <w:p w14:paraId="4628F483" w14:textId="77777777" w:rsidR="00250E9B" w:rsidRPr="005B3DC2" w:rsidRDefault="00250E9B" w:rsidP="00250E9B">
      <w:pPr>
        <w:jc w:val="both"/>
        <w:rPr>
          <w:sz w:val="22"/>
          <w:szCs w:val="22"/>
        </w:rPr>
      </w:pPr>
    </w:p>
    <w:p w14:paraId="2C392700" w14:textId="6A1F8329" w:rsidR="00250E9B" w:rsidRPr="005B3DC2" w:rsidRDefault="00250E9B" w:rsidP="00250E9B">
      <w:pPr>
        <w:jc w:val="both"/>
        <w:rPr>
          <w:sz w:val="22"/>
          <w:szCs w:val="22"/>
        </w:rPr>
      </w:pPr>
      <w:r w:rsidRPr="005B3DC2">
        <w:rPr>
          <w:sz w:val="22"/>
          <w:szCs w:val="22"/>
        </w:rPr>
        <w:t xml:space="preserve">In our analysis, we assume a 50% substitution rate by 2050 in the Substitution scenario, in line with recent assumptions made in the literature in relation to REE-free PM </w:t>
      </w:r>
      <w:r w:rsidRPr="005B3DC2">
        <w:rPr>
          <w:sz w:val="22"/>
          <w:szCs w:val="22"/>
        </w:rPr>
        <w:fldChar w:fldCharType="begin"/>
      </w:r>
      <w:r w:rsidR="008836FB">
        <w:rPr>
          <w:sz w:val="22"/>
          <w:szCs w:val="22"/>
        </w:rPr>
        <w:instrText xml:space="preserve"> ADDIN ZOTERO_ITEM CSL_CITATION {"citationID":"whMEN4AT","properties":{"formattedCitation":"(Wang et al., 2024)","plainCitation":"(Wang et al., 2024)","noteIndex":0},"citationItems":[{"id":16530,"uris":["http://zotero.org/groups/5033565/items/WUS5IDHG"],"itemData":{"id":16530,"type":"article-journal","container-title":"Nature Geoscience","DOI":"10.1038/s41561-023-01350-9","ISSN":"1752-0894, 1752-0908","issue":"1","journalAbbreviation":"Nat. Geosci.","language":"en","page":"94-102","source":"DOI.org (Crossref)","title":"Regional rare-earth element supply and demand balanced with circular economy strategies","volume":"17","author":[{"family":"Wang","given":"Peng"},{"family":"Yang","given":"Yu-Yao"},{"family":"Heidrich","given":"Oliver"},{"family":"Chen","given":"Li-Yang"},{"family":"Chen","given":"Li-Hua"},{"family":"Fishman","given":"Tomer"},{"family":"Chen","given":"Wei-Qiang"}],"issued":{"date-parts":[["2024",1]]}}}],"schema":"https://github.com/citation-style-language/schema/raw/master/csl-citation.json"} </w:instrText>
      </w:r>
      <w:r w:rsidRPr="005B3DC2">
        <w:rPr>
          <w:sz w:val="22"/>
          <w:szCs w:val="22"/>
        </w:rPr>
        <w:fldChar w:fldCharType="separate"/>
      </w:r>
      <w:r w:rsidR="008836FB">
        <w:rPr>
          <w:sz w:val="22"/>
          <w:szCs w:val="22"/>
        </w:rPr>
        <w:t>(Wang et al., 2024)</w:t>
      </w:r>
      <w:r w:rsidRPr="005B3DC2">
        <w:rPr>
          <w:sz w:val="22"/>
          <w:szCs w:val="22"/>
        </w:rPr>
        <w:fldChar w:fldCharType="end"/>
      </w:r>
      <w:r w:rsidRPr="005B3DC2">
        <w:rPr>
          <w:sz w:val="22"/>
          <w:szCs w:val="22"/>
        </w:rPr>
        <w:t xml:space="preserve"> and HTS </w:t>
      </w:r>
      <w:r w:rsidRPr="005B3DC2">
        <w:rPr>
          <w:sz w:val="22"/>
          <w:szCs w:val="22"/>
        </w:rPr>
        <w:fldChar w:fldCharType="begin"/>
      </w:r>
      <w:r w:rsidR="008836FB">
        <w:rPr>
          <w:sz w:val="22"/>
          <w:szCs w:val="22"/>
        </w:rPr>
        <w:instrText xml:space="preserve"> ADDIN ZOTERO_ITEM CSL_CITATION {"citationID":"zFEdUnPj","properties":{"formattedCitation":"(Carrara et al., 2020)","plainCitation":"(Carrara et al., 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Dias","given":"P"},{"family":"Plazzotta","given":"B"},{"family":"Pavel","given":"C"}],"accessed":{"date-parts":[["2023",2,9]]},"issued":{"date-parts":[["2020"]]}}}],"schema":"https://github.com/citation-style-language/schema/raw/master/csl-citation.json"} </w:instrText>
      </w:r>
      <w:r w:rsidRPr="005B3DC2">
        <w:rPr>
          <w:sz w:val="22"/>
          <w:szCs w:val="22"/>
        </w:rPr>
        <w:fldChar w:fldCharType="separate"/>
      </w:r>
      <w:r w:rsidR="008836FB">
        <w:rPr>
          <w:sz w:val="22"/>
          <w:szCs w:val="22"/>
        </w:rPr>
        <w:t>(Carrara et al., 2020)</w:t>
      </w:r>
      <w:r w:rsidRPr="005B3DC2">
        <w:rPr>
          <w:sz w:val="22"/>
          <w:szCs w:val="22"/>
        </w:rPr>
        <w:fldChar w:fldCharType="end"/>
      </w:r>
      <w:r w:rsidRPr="005B3DC2">
        <w:rPr>
          <w:sz w:val="22"/>
          <w:szCs w:val="22"/>
        </w:rPr>
        <w:t>.</w:t>
      </w:r>
    </w:p>
    <w:p w14:paraId="2799E393" w14:textId="77777777" w:rsidR="00250E9B" w:rsidRPr="005B3DC2" w:rsidRDefault="00250E9B" w:rsidP="00250E9B">
      <w:pPr>
        <w:jc w:val="both"/>
        <w:rPr>
          <w:sz w:val="22"/>
          <w:szCs w:val="22"/>
        </w:rPr>
      </w:pPr>
    </w:p>
    <w:p w14:paraId="55BC3732" w14:textId="54870389" w:rsidR="00250E9B" w:rsidRPr="005B3DC2" w:rsidRDefault="00250E9B" w:rsidP="00250E9B">
      <w:pPr>
        <w:jc w:val="both"/>
        <w:rPr>
          <w:sz w:val="22"/>
          <w:szCs w:val="22"/>
        </w:rPr>
      </w:pPr>
      <w:r w:rsidRPr="005B3DC2">
        <w:rPr>
          <w:sz w:val="22"/>
          <w:szCs w:val="22"/>
        </w:rPr>
        <w:t xml:space="preserve">For solar PV, substitution options are available at the material and sub-technology levels. However, most of the options are theoretically possible but not yet commercially available. On the material level, recent advancements suggest that silver-free crystalline silicon (c-Si) panels are approaching the stage of commercial availability. The silver content can be replaced entirely by Cu, through an </w:t>
      </w:r>
      <w:r w:rsidRPr="005B3DC2">
        <w:rPr>
          <w:sz w:val="22"/>
          <w:szCs w:val="22"/>
        </w:rPr>
        <w:lastRenderedPageBreak/>
        <w:t xml:space="preserve">electroplating process </w:t>
      </w:r>
      <w:r w:rsidRPr="005B3DC2">
        <w:rPr>
          <w:sz w:val="22"/>
          <w:szCs w:val="22"/>
        </w:rPr>
        <w:fldChar w:fldCharType="begin"/>
      </w:r>
      <w:r w:rsidR="008836FB">
        <w:rPr>
          <w:sz w:val="22"/>
          <w:szCs w:val="22"/>
        </w:rPr>
        <w:instrText xml:space="preserve"> ADDIN ZOTERO_ITEM CSL_CITATION {"citationID":"oSHZKGto","properties":{"formattedCitation":"(Fraunhofer, 2022)","plainCitation":"(Fraunhofer, 2022)","noteIndex":0},"citationItems":[{"id":16767,"uris":["http://zotero.org/groups/5509458/items/WJJQ3CAR"],"itemData":{"id":16767,"type":"report","title":"Out with the silver, in with the copper: A new boost for solar cell production","URL":"https://www.fraunhofer.de/en/press/research-news/2022/september-2022/out-with-the-silver-in-with-the-copper-a-new-boost-for-solar-cells.html","author":[{"family":"Fraunhofer","given":""}],"issued":{"date-parts":[["2022",9]]}}}],"schema":"https://github.com/citation-style-language/schema/raw/master/csl-citation.json"} </w:instrText>
      </w:r>
      <w:r w:rsidRPr="005B3DC2">
        <w:rPr>
          <w:sz w:val="22"/>
          <w:szCs w:val="22"/>
        </w:rPr>
        <w:fldChar w:fldCharType="separate"/>
      </w:r>
      <w:r w:rsidR="008836FB">
        <w:rPr>
          <w:sz w:val="22"/>
          <w:szCs w:val="22"/>
        </w:rPr>
        <w:t>(Fraunhofer, 2022)</w:t>
      </w:r>
      <w:r w:rsidRPr="005B3DC2">
        <w:rPr>
          <w:sz w:val="22"/>
          <w:szCs w:val="22"/>
        </w:rPr>
        <w:fldChar w:fldCharType="end"/>
      </w:r>
      <w:r w:rsidRPr="005B3DC2">
        <w:rPr>
          <w:sz w:val="22"/>
          <w:szCs w:val="22"/>
        </w:rPr>
        <w:t xml:space="preserve">. The literature also mentions that the silver content can be replaced entirely by nickel-copper plating, which has the potential to lower the cell resistance and increase the efficiency </w:t>
      </w:r>
      <w:r w:rsidRPr="005B3DC2">
        <w:rPr>
          <w:sz w:val="22"/>
          <w:szCs w:val="22"/>
        </w:rPr>
        <w:fldChar w:fldCharType="begin"/>
      </w:r>
      <w:r w:rsidR="008836FB">
        <w:rPr>
          <w:sz w:val="22"/>
          <w:szCs w:val="22"/>
        </w:rPr>
        <w:instrText xml:space="preserve"> ADDIN ZOTERO_ITEM CSL_CITATION {"citationID":"5sgKvMbg","properties":{"formattedCitation":"(Kim &amp; Lee, 2013; Rehman &amp; Lee, 2014)","plainCitation":"(Kim &amp; Lee, 2013; Rehman &amp; Lee, 2014)","noteIndex":0},"citationItems":[{"id":16770,"uris":["http://zotero.org/groups/5509458/items/6AN25AFY"],"itemData":{"id":16770,"type":"article-journal","container-title":"Electronic Materials Letters","DOI":"10.1007/s13391-013-2169-4","ISSN":"1738-8090, 2093-6788","issue":"5","journalAbbreviation":"Electron. Mater. Lett.","language":"en","license":"http://www.springer.com/tdm","page":"677-681","source":"DOI.org (Crossref)","title":"Investigation on plated Ni/Cu contact for mono-crystalline silicon solar cells","volume":"9","author":[{"family":"Kim","given":"Dong Ho"},{"family":"Lee","given":"Soo Hong"}],"issued":{"date-parts":[["2013",9]]}}},{"id":16768,"uris":["http://zotero.org/groups/5509458/items/Z89WM4YV"],"itemData":{"id":16768,"type":"article-journal","abstract":"Developing a better method for the metallization of silicon solar cells is integral part of realizing superior efficiency. Currently, contact realization using screen printing is the leading technology in the silicon based photovoltaic industry, as it is simple and fast. However, the problem with metallization of this kind is that it has a lower aspect ratio and higher contact resistance, which limits solar cell efficiency. The mounting cost of silver pastes and decreasing silicon wafer thicknesses encourages silicon solar cell manufacturers to develop fresh metallization techniques involving a lower quantity of silver usage and not relying pressing process of screen printing. In recent times nickel/copper (Ni/Cu) based metal plating has emerged as a metallization method that may solve these issues. This paper offers a detailed review and understanding of a Ni/Cu based plating technique for silicon solar cells. The formation of a Ni seed layer by adopting various deposition techniques and a Cu conducting layer using a light induced plating (LIP) process are appraised. Unlike screen-printed metallization, a step involving patterning is crucial for opening the masking layer. Consequently, experimental procedures involving patterning methods are also explicated. Lastly, the issues of adhesion, back ground plating, process complexity and reliability for industrial applications are also addressed.","container-title":"Materials","DOI":"10.3390/ma7021318","ISSN":"1996-1944","issue":"2","journalAbbreviation":"Materials","language":"en","license":"https://creativecommons.org/licenses/by/3.0/","page":"1318-1341","source":"DOI.org (Crossref)","title":"Review of the Potential of the Ni/Cu Plating Technique for Crystalline Silicon Solar Cells","volume":"7","author":[{"family":"Rehman","given":"Atteq"},{"family":"Lee","given":"Soo"}],"issued":{"date-parts":[["2014",2,18]]}}}],"schema":"https://github.com/citation-style-language/schema/raw/master/csl-citation.json"} </w:instrText>
      </w:r>
      <w:r w:rsidRPr="005B3DC2">
        <w:rPr>
          <w:sz w:val="22"/>
          <w:szCs w:val="22"/>
        </w:rPr>
        <w:fldChar w:fldCharType="separate"/>
      </w:r>
      <w:r w:rsidR="008836FB">
        <w:rPr>
          <w:sz w:val="22"/>
          <w:szCs w:val="22"/>
        </w:rPr>
        <w:t>(Kim &amp; Lee, 2013; Rehman &amp; Lee, 2014)</w:t>
      </w:r>
      <w:r w:rsidRPr="005B3DC2">
        <w:rPr>
          <w:sz w:val="22"/>
          <w:szCs w:val="22"/>
        </w:rPr>
        <w:fldChar w:fldCharType="end"/>
      </w:r>
      <w:r w:rsidRPr="005B3DC2">
        <w:rPr>
          <w:sz w:val="22"/>
          <w:szCs w:val="22"/>
        </w:rPr>
        <w:t xml:space="preserve">. For the amorphous silicon (a-Si) sub-technology, Ge can theoretically be replaced by a carbon nanomaterial (G, CNT) </w:t>
      </w:r>
      <w:r w:rsidRPr="005B3DC2">
        <w:rPr>
          <w:sz w:val="22"/>
          <w:szCs w:val="22"/>
        </w:rPr>
        <w:fldChar w:fldCharType="begin"/>
      </w:r>
      <w:r w:rsidR="008836FB">
        <w:rPr>
          <w:sz w:val="22"/>
          <w:szCs w:val="22"/>
        </w:rPr>
        <w:instrText xml:space="preserve"> ADDIN ZOTERO_ITEM CSL_CITATION {"citationID":"pOdkAiw8","properties":{"formattedCitation":"(Arvidsson &amp; Sand\\uc0\\u233{}n, 2017)","plainCitation":"(Arvidsson &amp; Sandén, 2017)","noteIndex":0},"citationItems":[{"id":16771,"uris":["http://zotero.org/groups/5509458/items/WDX9QC6H"],"itemData":{"id":16771,"type":"article-journal","container-title":"Journal of Cleaner Production","DOI":"10.1016/j.jclepro.2017.04.048","ISSN":"09596526","journalAbbreviation":"Journal of Cleaner Production","language":"en","page":"253-261","source":"DOI.org (Crossref)","title":"Carbon nanomaterials as potential substitutes for scarce metals","volume":"156","author":[{"family":"Arvidsson","given":"Rickard"},{"family":"Sandén","given":"Björn A."}],"issued":{"date-parts":[["2017",7]]}}}],"schema":"https://github.com/citation-style-language/schema/raw/master/csl-citation.json"} </w:instrText>
      </w:r>
      <w:r w:rsidRPr="005B3DC2">
        <w:rPr>
          <w:sz w:val="22"/>
          <w:szCs w:val="22"/>
        </w:rPr>
        <w:fldChar w:fldCharType="separate"/>
      </w:r>
      <w:r w:rsidR="00030243" w:rsidRPr="008836FB">
        <w:rPr>
          <w:sz w:val="22"/>
          <w:szCs w:val="24"/>
          <w:lang w:val="en-GB" w:eastAsia="en-GB"/>
        </w:rPr>
        <w:t xml:space="preserve">(Arvidsson &amp; </w:t>
      </w:r>
      <w:proofErr w:type="spellStart"/>
      <w:r w:rsidR="00030243" w:rsidRPr="008836FB">
        <w:rPr>
          <w:sz w:val="22"/>
          <w:szCs w:val="24"/>
          <w:lang w:val="en-GB" w:eastAsia="en-GB"/>
        </w:rPr>
        <w:t>Sandén</w:t>
      </w:r>
      <w:proofErr w:type="spellEnd"/>
      <w:r w:rsidR="00030243" w:rsidRPr="008836FB">
        <w:rPr>
          <w:sz w:val="22"/>
          <w:szCs w:val="24"/>
          <w:lang w:val="en-GB" w:eastAsia="en-GB"/>
        </w:rPr>
        <w:t>, 2017)</w:t>
      </w:r>
      <w:r w:rsidRPr="005B3DC2">
        <w:rPr>
          <w:sz w:val="22"/>
          <w:szCs w:val="22"/>
        </w:rPr>
        <w:fldChar w:fldCharType="end"/>
      </w:r>
      <w:r w:rsidRPr="005B3DC2">
        <w:rPr>
          <w:sz w:val="22"/>
          <w:szCs w:val="22"/>
        </w:rPr>
        <w:t>. There is currently no broadly adopted industrial application for replacing cadmium and tellurium in cadmium telluride (</w:t>
      </w:r>
      <w:proofErr w:type="spellStart"/>
      <w:r w:rsidRPr="005B3DC2">
        <w:rPr>
          <w:sz w:val="22"/>
          <w:szCs w:val="22"/>
        </w:rPr>
        <w:t>CdTe</w:t>
      </w:r>
      <w:proofErr w:type="spellEnd"/>
      <w:r w:rsidRPr="005B3DC2">
        <w:rPr>
          <w:sz w:val="22"/>
          <w:szCs w:val="22"/>
        </w:rPr>
        <w:t>) solar panels that does not compromise their efficiency and cost. However, on the sub-technology level, in the thin-film solar cell market, a-Si and copper-indium-gallium-selenide (CIGS) PV cells are competing with cadmium telluride (</w:t>
      </w:r>
      <w:proofErr w:type="spellStart"/>
      <w:r w:rsidRPr="005B3DC2">
        <w:rPr>
          <w:sz w:val="22"/>
          <w:szCs w:val="22"/>
        </w:rPr>
        <w:t>CdTe</w:t>
      </w:r>
      <w:proofErr w:type="spellEnd"/>
      <w:r w:rsidRPr="005B3DC2">
        <w:rPr>
          <w:sz w:val="22"/>
          <w:szCs w:val="22"/>
        </w:rPr>
        <w:t xml:space="preserve">). For CIGS, carbon nanomaterials (G, CNT) are mentioned in the literature as theoretical substitutes for indium. Otherwise, for CIGS, sub-technology level substitution is possible, with a-Si and </w:t>
      </w:r>
      <w:proofErr w:type="spellStart"/>
      <w:r w:rsidRPr="005B3DC2">
        <w:rPr>
          <w:sz w:val="22"/>
          <w:szCs w:val="22"/>
        </w:rPr>
        <w:t>CdTe</w:t>
      </w:r>
      <w:proofErr w:type="spellEnd"/>
      <w:r w:rsidRPr="005B3DC2">
        <w:rPr>
          <w:sz w:val="22"/>
          <w:szCs w:val="22"/>
        </w:rPr>
        <w:t xml:space="preserve"> PV cells. Finally, ongoing research is exploring a novel thin-film technology using perovskite materials as a possible alternative for 2</w:t>
      </w:r>
      <w:r w:rsidRPr="005B3DC2">
        <w:rPr>
          <w:sz w:val="22"/>
          <w:szCs w:val="22"/>
          <w:vertAlign w:val="superscript"/>
        </w:rPr>
        <w:t>nd</w:t>
      </w:r>
      <w:r w:rsidRPr="005B3DC2">
        <w:rPr>
          <w:sz w:val="22"/>
          <w:szCs w:val="22"/>
        </w:rPr>
        <w:t xml:space="preserve"> generation thin films.</w:t>
      </w:r>
    </w:p>
    <w:p w14:paraId="309E6D3B" w14:textId="77777777" w:rsidR="00250E9B" w:rsidRPr="005B3DC2" w:rsidRDefault="00250E9B" w:rsidP="00250E9B">
      <w:pPr>
        <w:jc w:val="both"/>
        <w:rPr>
          <w:sz w:val="22"/>
          <w:szCs w:val="22"/>
        </w:rPr>
      </w:pPr>
    </w:p>
    <w:p w14:paraId="48D131C5" w14:textId="349B0705" w:rsidR="00250E9B" w:rsidRDefault="00250E9B" w:rsidP="00250E9B">
      <w:pPr>
        <w:jc w:val="both"/>
        <w:rPr>
          <w:sz w:val="22"/>
          <w:szCs w:val="22"/>
        </w:rPr>
      </w:pPr>
      <w:r w:rsidRPr="005B3DC2">
        <w:rPr>
          <w:sz w:val="22"/>
          <w:szCs w:val="22"/>
        </w:rPr>
        <w:t xml:space="preserve">In our analysis, we focus on substitution options that do not involve substituting one existing sub-technology for another. Therefore, we assume a 20% substitution rate by 2050 in the Substitution scenario, taking into account the 15% penetration of perovskite solar cells in the IEA’s distributed solar PV scenario for high perovskite penetration in 2040 </w:t>
      </w:r>
      <w:r w:rsidRPr="005B3DC2">
        <w:rPr>
          <w:sz w:val="22"/>
          <w:szCs w:val="22"/>
        </w:rPr>
        <w:fldChar w:fldCharType="begin"/>
      </w:r>
      <w:r w:rsidR="00030243">
        <w:rPr>
          <w:sz w:val="22"/>
          <w:szCs w:val="22"/>
        </w:rPr>
        <w:instrText xml:space="preserve"> ADDIN ZOTERO_ITEM CSL_CITATION {"citationID":"efTzWa8z","properties":{"formattedCitation":"(IEA, 2022)","plainCitation":"(IEA, 2022)","noteIndex":0},"citationItems":[{"id":16773,"uris":["http://zotero.org/groups/5509458/items/ML2X38JJ"],"itemData":{"id":16773,"type":"report","collection-title":"World Energy Outlook Special Report","genre":"International Energy Agency","title":"The Role of Critical Minerals in Clean Energy Transitions","URL":"https://www.iea.org/reports/the-role-of-critical-minerals-in-clean-energy-transitions","author":[{"family":"IEA","given":""}],"issued":{"date-parts":[["2022"]]}}}],"schema":"https://github.com/citation-style-language/schema/raw/master/csl-citation.json"} </w:instrText>
      </w:r>
      <w:r w:rsidRPr="005B3DC2">
        <w:rPr>
          <w:sz w:val="22"/>
          <w:szCs w:val="22"/>
        </w:rPr>
        <w:fldChar w:fldCharType="separate"/>
      </w:r>
      <w:r w:rsidR="00030243">
        <w:rPr>
          <w:sz w:val="22"/>
          <w:szCs w:val="22"/>
        </w:rPr>
        <w:t>(IEA, 2022)</w:t>
      </w:r>
      <w:r w:rsidRPr="005B3DC2">
        <w:rPr>
          <w:sz w:val="22"/>
          <w:szCs w:val="22"/>
        </w:rPr>
        <w:fldChar w:fldCharType="end"/>
      </w:r>
      <w:r w:rsidRPr="005B3DC2">
        <w:rPr>
          <w:sz w:val="22"/>
          <w:szCs w:val="22"/>
        </w:rPr>
        <w:t xml:space="preserve"> and given that the potential of </w:t>
      </w:r>
      <w:r>
        <w:rPr>
          <w:sz w:val="22"/>
          <w:szCs w:val="22"/>
        </w:rPr>
        <w:t xml:space="preserve">silver-free </w:t>
      </w:r>
      <w:r w:rsidRPr="005B3DC2">
        <w:rPr>
          <w:sz w:val="22"/>
          <w:szCs w:val="22"/>
        </w:rPr>
        <w:t xml:space="preserve">c-Si </w:t>
      </w:r>
      <w:bookmarkStart w:id="87" w:name="_Hlk198213227"/>
      <w:r w:rsidRPr="005B3DC2">
        <w:rPr>
          <w:sz w:val="22"/>
          <w:szCs w:val="22"/>
        </w:rPr>
        <w:t xml:space="preserve">panels </w:t>
      </w:r>
      <w:bookmarkEnd w:id="87"/>
      <w:r w:rsidRPr="005B3DC2">
        <w:rPr>
          <w:sz w:val="22"/>
          <w:szCs w:val="22"/>
        </w:rPr>
        <w:t>is approaching the stage of commercial availability.</w:t>
      </w:r>
      <w:bookmarkStart w:id="88" w:name="_Toc171362998"/>
      <w:bookmarkStart w:id="89" w:name="_Toc171616705"/>
      <w:bookmarkStart w:id="90" w:name="_Toc172657880"/>
      <w:bookmarkStart w:id="91" w:name="_Toc173327304"/>
      <w:bookmarkStart w:id="92" w:name="_Toc176448303"/>
      <w:bookmarkStart w:id="93" w:name="_Toc176788416"/>
      <w:bookmarkStart w:id="94" w:name="_Toc176788458"/>
      <w:bookmarkStart w:id="95" w:name="_Toc176788575"/>
    </w:p>
    <w:p w14:paraId="1C6F3B65" w14:textId="77777777" w:rsidR="00250E9B" w:rsidRDefault="00250E9B" w:rsidP="00250E9B">
      <w:pPr>
        <w:jc w:val="both"/>
        <w:rPr>
          <w:sz w:val="22"/>
          <w:szCs w:val="22"/>
        </w:rPr>
      </w:pPr>
    </w:p>
    <w:p w14:paraId="72464996" w14:textId="77777777" w:rsidR="00250E9B" w:rsidRDefault="00250E9B" w:rsidP="00250E9B">
      <w:pPr>
        <w:pStyle w:val="Heading1"/>
        <w:rPr>
          <w:color w:val="0E2841" w:themeColor="text2"/>
          <w:sz w:val="32"/>
          <w:szCs w:val="32"/>
        </w:rPr>
      </w:pPr>
    </w:p>
    <w:p w14:paraId="0D81ECAB" w14:textId="77777777" w:rsidR="00250E9B" w:rsidRPr="00C77D38" w:rsidRDefault="00250E9B" w:rsidP="00250E9B">
      <w:pPr>
        <w:rPr>
          <w:color w:val="0E2841" w:themeColor="text2"/>
          <w:sz w:val="32"/>
          <w:szCs w:val="32"/>
        </w:rPr>
      </w:pPr>
    </w:p>
    <w:p w14:paraId="4C610242" w14:textId="77777777" w:rsidR="00250E9B" w:rsidRDefault="00250E9B" w:rsidP="00250E9B">
      <w:pPr>
        <w:jc w:val="both"/>
        <w:rPr>
          <w:sz w:val="22"/>
          <w:szCs w:val="22"/>
        </w:rPr>
      </w:pPr>
    </w:p>
    <w:p w14:paraId="40A08946" w14:textId="77777777" w:rsidR="00250E9B" w:rsidRDefault="00250E9B" w:rsidP="00250E9B">
      <w:pPr>
        <w:jc w:val="both"/>
        <w:rPr>
          <w:sz w:val="22"/>
          <w:szCs w:val="22"/>
        </w:rPr>
      </w:pPr>
    </w:p>
    <w:p w14:paraId="69BF2076" w14:textId="77777777" w:rsidR="00250E9B" w:rsidRDefault="00250E9B" w:rsidP="00250E9B">
      <w:pPr>
        <w:jc w:val="both"/>
        <w:rPr>
          <w:sz w:val="22"/>
          <w:szCs w:val="22"/>
        </w:rPr>
      </w:pPr>
    </w:p>
    <w:p w14:paraId="644D4D7E" w14:textId="77777777" w:rsidR="00250E9B" w:rsidRDefault="00250E9B" w:rsidP="00250E9B">
      <w:pPr>
        <w:jc w:val="both"/>
        <w:rPr>
          <w:sz w:val="22"/>
          <w:szCs w:val="22"/>
        </w:rPr>
      </w:pPr>
    </w:p>
    <w:p w14:paraId="04A2D9EE" w14:textId="77777777" w:rsidR="00250E9B" w:rsidRDefault="00250E9B" w:rsidP="00250E9B">
      <w:pPr>
        <w:jc w:val="both"/>
        <w:rPr>
          <w:sz w:val="22"/>
          <w:szCs w:val="22"/>
        </w:rPr>
      </w:pPr>
    </w:p>
    <w:p w14:paraId="768F3C4D" w14:textId="77777777" w:rsidR="00250E9B" w:rsidRDefault="00250E9B" w:rsidP="00250E9B">
      <w:pPr>
        <w:jc w:val="both"/>
        <w:rPr>
          <w:sz w:val="22"/>
          <w:szCs w:val="22"/>
        </w:rPr>
      </w:pPr>
    </w:p>
    <w:p w14:paraId="700942B1" w14:textId="77777777" w:rsidR="00250E9B" w:rsidRDefault="00250E9B" w:rsidP="00250E9B">
      <w:pPr>
        <w:jc w:val="both"/>
        <w:rPr>
          <w:sz w:val="22"/>
          <w:szCs w:val="22"/>
        </w:rPr>
      </w:pPr>
    </w:p>
    <w:p w14:paraId="2E506FB8" w14:textId="77777777" w:rsidR="00250E9B" w:rsidRDefault="00250E9B" w:rsidP="00250E9B">
      <w:pPr>
        <w:jc w:val="both"/>
        <w:rPr>
          <w:sz w:val="22"/>
          <w:szCs w:val="22"/>
        </w:rPr>
      </w:pPr>
    </w:p>
    <w:p w14:paraId="5EDAC394" w14:textId="77777777" w:rsidR="00250E9B" w:rsidRDefault="00250E9B" w:rsidP="00250E9B">
      <w:pPr>
        <w:jc w:val="both"/>
        <w:rPr>
          <w:sz w:val="22"/>
          <w:szCs w:val="22"/>
        </w:rPr>
      </w:pPr>
    </w:p>
    <w:p w14:paraId="098DE786" w14:textId="77777777" w:rsidR="00250E9B" w:rsidRDefault="00250E9B" w:rsidP="00250E9B">
      <w:pPr>
        <w:jc w:val="both"/>
        <w:rPr>
          <w:sz w:val="22"/>
          <w:szCs w:val="22"/>
        </w:rPr>
      </w:pPr>
    </w:p>
    <w:p w14:paraId="23F7C298" w14:textId="77777777" w:rsidR="00250E9B" w:rsidRDefault="00250E9B" w:rsidP="00250E9B">
      <w:pPr>
        <w:jc w:val="both"/>
        <w:rPr>
          <w:sz w:val="22"/>
          <w:szCs w:val="22"/>
        </w:rPr>
      </w:pPr>
    </w:p>
    <w:p w14:paraId="72F0FC8F" w14:textId="77777777" w:rsidR="00250E9B" w:rsidRDefault="00250E9B" w:rsidP="00250E9B">
      <w:pPr>
        <w:jc w:val="both"/>
        <w:rPr>
          <w:sz w:val="22"/>
          <w:szCs w:val="22"/>
        </w:rPr>
      </w:pPr>
    </w:p>
    <w:p w14:paraId="2215F4C2" w14:textId="0B26F722" w:rsidR="00250E9B" w:rsidRPr="00D61D92" w:rsidRDefault="00977536" w:rsidP="00250E9B">
      <w:pPr>
        <w:pStyle w:val="Heading1"/>
        <w:rPr>
          <w:color w:val="0E2841" w:themeColor="text2"/>
          <w:sz w:val="32"/>
          <w:szCs w:val="32"/>
        </w:rPr>
      </w:pPr>
      <w:bookmarkStart w:id="96" w:name="_Toc176789948"/>
      <w:bookmarkStart w:id="97" w:name="_Toc208849806"/>
      <w:bookmarkStart w:id="98" w:name="_Toc208850250"/>
      <w:r>
        <w:rPr>
          <w:color w:val="0E2841" w:themeColor="text2"/>
          <w:sz w:val="32"/>
          <w:szCs w:val="32"/>
        </w:rPr>
        <w:lastRenderedPageBreak/>
        <w:t>9</w:t>
      </w:r>
      <w:r w:rsidR="00250E9B" w:rsidRPr="00EC0378">
        <w:rPr>
          <w:color w:val="0E2841" w:themeColor="text2"/>
          <w:sz w:val="32"/>
          <w:szCs w:val="32"/>
        </w:rPr>
        <w:t xml:space="preserve">. Results for disaggregated wind power </w:t>
      </w:r>
      <w:bookmarkEnd w:id="88"/>
      <w:bookmarkEnd w:id="89"/>
      <w:bookmarkEnd w:id="90"/>
      <w:bookmarkEnd w:id="91"/>
      <w:r w:rsidR="00250E9B" w:rsidRPr="00EC0378">
        <w:rPr>
          <w:color w:val="0E2841" w:themeColor="text2"/>
          <w:sz w:val="32"/>
          <w:szCs w:val="32"/>
        </w:rPr>
        <w:t>demands</w:t>
      </w:r>
      <w:bookmarkEnd w:id="92"/>
      <w:bookmarkEnd w:id="93"/>
      <w:bookmarkEnd w:id="94"/>
      <w:bookmarkEnd w:id="95"/>
      <w:bookmarkEnd w:id="96"/>
      <w:bookmarkEnd w:id="97"/>
      <w:bookmarkEnd w:id="98"/>
    </w:p>
    <w:p w14:paraId="3F5B853A" w14:textId="77777777" w:rsidR="00250E9B" w:rsidRPr="005B3DC2" w:rsidRDefault="00250E9B" w:rsidP="00250E9B">
      <w:pPr>
        <w:jc w:val="both"/>
        <w:rPr>
          <w:sz w:val="22"/>
          <w:szCs w:val="22"/>
        </w:rPr>
      </w:pPr>
      <w:r w:rsidRPr="00F73297">
        <w:rPr>
          <w:noProof/>
          <w:sz w:val="22"/>
          <w:szCs w:val="22"/>
        </w:rPr>
        <w:drawing>
          <wp:inline distT="0" distB="0" distL="0" distR="0" wp14:anchorId="7B37DCF9" wp14:editId="2925371E">
            <wp:extent cx="5726430" cy="7202805"/>
            <wp:effectExtent l="0" t="0" r="0" b="0"/>
            <wp:docPr id="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1">
                      <a:extLst>
                        <a:ext uri="{28A0092B-C50C-407E-A947-70E740481C1C}">
                          <a14:useLocalDpi xmlns:a14="http://schemas.microsoft.com/office/drawing/2010/main" val="0"/>
                        </a:ext>
                      </a:extLst>
                    </a:blip>
                    <a:srcRect t="723" b="2"/>
                    <a:stretch>
                      <a:fillRect/>
                    </a:stretch>
                  </pic:blipFill>
                  <pic:spPr bwMode="auto">
                    <a:xfrm>
                      <a:off x="0" y="0"/>
                      <a:ext cx="5726430" cy="7202805"/>
                    </a:xfrm>
                    <a:prstGeom prst="rect">
                      <a:avLst/>
                    </a:prstGeom>
                    <a:noFill/>
                    <a:ln>
                      <a:noFill/>
                    </a:ln>
                  </pic:spPr>
                </pic:pic>
              </a:graphicData>
            </a:graphic>
          </wp:inline>
        </w:drawing>
      </w:r>
    </w:p>
    <w:p w14:paraId="3512D83D" w14:textId="501BA015" w:rsidR="00250E9B" w:rsidRPr="00A80845" w:rsidRDefault="00250E9B" w:rsidP="00250E9B">
      <w:pPr>
        <w:jc w:val="center"/>
        <w:rPr>
          <w:b/>
          <w:color w:val="0E2841"/>
          <w:sz w:val="18"/>
          <w:szCs w:val="18"/>
        </w:rPr>
      </w:pPr>
      <w:r w:rsidRPr="00A80845">
        <w:rPr>
          <w:b/>
          <w:color w:val="0E2841"/>
          <w:sz w:val="18"/>
          <w:szCs w:val="18"/>
        </w:rPr>
        <w:t>Figure S</w:t>
      </w:r>
      <w:r>
        <w:rPr>
          <w:b/>
          <w:color w:val="0E2841"/>
          <w:sz w:val="18"/>
          <w:szCs w:val="18"/>
        </w:rPr>
        <w:t>1.</w:t>
      </w:r>
      <w:r w:rsidR="00E42788">
        <w:rPr>
          <w:b/>
          <w:color w:val="0E2841"/>
          <w:sz w:val="18"/>
          <w:szCs w:val="18"/>
        </w:rPr>
        <w:t>7</w:t>
      </w:r>
      <w:r w:rsidRPr="00A80845">
        <w:rPr>
          <w:b/>
          <w:color w:val="0E2841"/>
          <w:sz w:val="18"/>
          <w:szCs w:val="18"/>
        </w:rPr>
        <w:t xml:space="preserve">: </w:t>
      </w:r>
      <w:r w:rsidRPr="00A80845">
        <w:rPr>
          <w:color w:val="0E2841"/>
          <w:sz w:val="18"/>
          <w:szCs w:val="18"/>
        </w:rPr>
        <w:t>Minor metal demands</w:t>
      </w:r>
      <w:r>
        <w:rPr>
          <w:color w:val="0E2841"/>
          <w:sz w:val="18"/>
          <w:szCs w:val="18"/>
        </w:rPr>
        <w:t xml:space="preserve"> </w:t>
      </w:r>
      <w:r w:rsidRPr="00A80845">
        <w:rPr>
          <w:color w:val="0E2841"/>
          <w:sz w:val="18"/>
          <w:szCs w:val="18"/>
        </w:rPr>
        <w:t xml:space="preserve">in ton </w:t>
      </w:r>
      <w:r>
        <w:rPr>
          <w:color w:val="0E2841"/>
          <w:sz w:val="18"/>
          <w:szCs w:val="18"/>
        </w:rPr>
        <w:t>per year for each</w:t>
      </w:r>
      <w:r w:rsidRPr="00A80845">
        <w:rPr>
          <w:color w:val="0E2841"/>
          <w:sz w:val="18"/>
          <w:szCs w:val="18"/>
        </w:rPr>
        <w:t xml:space="preserve"> metal </w:t>
      </w:r>
      <w:r>
        <w:rPr>
          <w:color w:val="0E2841"/>
          <w:sz w:val="18"/>
          <w:szCs w:val="18"/>
        </w:rPr>
        <w:t>and</w:t>
      </w:r>
      <w:r w:rsidRPr="00A80845">
        <w:rPr>
          <w:color w:val="0E2841"/>
          <w:sz w:val="18"/>
          <w:szCs w:val="18"/>
        </w:rPr>
        <w:t xml:space="preserve"> scenario in onshore wind power disaggregated per sub-technology (DD-PMSG and GB-PMSG).</w:t>
      </w:r>
    </w:p>
    <w:p w14:paraId="2EFE71A8" w14:textId="77777777" w:rsidR="00250E9B" w:rsidRPr="005B3DC2" w:rsidRDefault="00250E9B" w:rsidP="00250E9B">
      <w:pPr>
        <w:jc w:val="both"/>
        <w:rPr>
          <w:sz w:val="22"/>
          <w:szCs w:val="22"/>
        </w:rPr>
      </w:pPr>
      <w:r w:rsidRPr="005B3DC2">
        <w:rPr>
          <w:sz w:val="22"/>
          <w:szCs w:val="22"/>
        </w:rPr>
        <w:t xml:space="preserve"> </w:t>
      </w:r>
    </w:p>
    <w:p w14:paraId="725AF72C" w14:textId="77777777" w:rsidR="00250E9B" w:rsidRPr="005B3DC2" w:rsidRDefault="00250E9B" w:rsidP="00250E9B">
      <w:pPr>
        <w:jc w:val="both"/>
        <w:rPr>
          <w:sz w:val="22"/>
          <w:szCs w:val="22"/>
        </w:rPr>
      </w:pPr>
      <w:r w:rsidRPr="00F73297">
        <w:rPr>
          <w:noProof/>
          <w:sz w:val="22"/>
          <w:szCs w:val="22"/>
        </w:rPr>
        <w:lastRenderedPageBreak/>
        <w:drawing>
          <wp:inline distT="0" distB="0" distL="0" distR="0" wp14:anchorId="13C03AB7" wp14:editId="50993687">
            <wp:extent cx="5726430" cy="7210425"/>
            <wp:effectExtent l="0" t="0" r="0" b="0"/>
            <wp:docPr id="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2">
                      <a:extLst>
                        <a:ext uri="{28A0092B-C50C-407E-A947-70E740481C1C}">
                          <a14:useLocalDpi xmlns:a14="http://schemas.microsoft.com/office/drawing/2010/main" val="0"/>
                        </a:ext>
                      </a:extLst>
                    </a:blip>
                    <a:srcRect t="620"/>
                    <a:stretch>
                      <a:fillRect/>
                    </a:stretch>
                  </pic:blipFill>
                  <pic:spPr bwMode="auto">
                    <a:xfrm>
                      <a:off x="0" y="0"/>
                      <a:ext cx="5726430" cy="7210425"/>
                    </a:xfrm>
                    <a:prstGeom prst="rect">
                      <a:avLst/>
                    </a:prstGeom>
                    <a:noFill/>
                    <a:ln>
                      <a:noFill/>
                    </a:ln>
                  </pic:spPr>
                </pic:pic>
              </a:graphicData>
            </a:graphic>
          </wp:inline>
        </w:drawing>
      </w:r>
    </w:p>
    <w:p w14:paraId="26C93538" w14:textId="7C6D9B2F" w:rsidR="00250E9B" w:rsidRPr="00EC0378" w:rsidRDefault="00250E9B" w:rsidP="00250E9B">
      <w:pPr>
        <w:jc w:val="center"/>
        <w:rPr>
          <w:b/>
          <w:color w:val="0E2841"/>
          <w:sz w:val="18"/>
          <w:szCs w:val="18"/>
        </w:rPr>
      </w:pPr>
      <w:r w:rsidRPr="00A80845">
        <w:rPr>
          <w:b/>
          <w:color w:val="0E2841"/>
          <w:sz w:val="18"/>
          <w:szCs w:val="18"/>
        </w:rPr>
        <w:t>Figure S</w:t>
      </w:r>
      <w:r>
        <w:rPr>
          <w:b/>
          <w:color w:val="0E2841"/>
          <w:sz w:val="18"/>
          <w:szCs w:val="18"/>
        </w:rPr>
        <w:t>1.</w:t>
      </w:r>
      <w:r w:rsidR="00E42788">
        <w:rPr>
          <w:b/>
          <w:color w:val="0E2841"/>
          <w:sz w:val="18"/>
          <w:szCs w:val="18"/>
        </w:rPr>
        <w:t>8</w:t>
      </w:r>
      <w:r w:rsidRPr="00A80845">
        <w:rPr>
          <w:b/>
          <w:color w:val="0E2841"/>
          <w:sz w:val="18"/>
          <w:szCs w:val="18"/>
        </w:rPr>
        <w:t xml:space="preserve">: </w:t>
      </w:r>
      <w:r w:rsidRPr="00A80845">
        <w:rPr>
          <w:color w:val="0E2841"/>
          <w:sz w:val="18"/>
          <w:szCs w:val="18"/>
        </w:rPr>
        <w:t>Minor metal demands in ton</w:t>
      </w:r>
      <w:r>
        <w:rPr>
          <w:color w:val="0E2841"/>
          <w:sz w:val="18"/>
          <w:szCs w:val="18"/>
        </w:rPr>
        <w:t xml:space="preserve"> per year for each</w:t>
      </w:r>
      <w:r w:rsidRPr="00A80845">
        <w:rPr>
          <w:color w:val="0E2841"/>
          <w:sz w:val="18"/>
          <w:szCs w:val="18"/>
        </w:rPr>
        <w:t xml:space="preserve"> metal </w:t>
      </w:r>
      <w:r>
        <w:rPr>
          <w:color w:val="0E2841"/>
          <w:sz w:val="18"/>
          <w:szCs w:val="18"/>
        </w:rPr>
        <w:t>and</w:t>
      </w:r>
      <w:r w:rsidRPr="00A80845">
        <w:rPr>
          <w:color w:val="0E2841"/>
          <w:sz w:val="18"/>
          <w:szCs w:val="18"/>
        </w:rPr>
        <w:t xml:space="preserve"> scenario in offshore wind power disaggregated per sub-technology (DD-PMSG and GB-PMSG).</w:t>
      </w:r>
    </w:p>
    <w:p w14:paraId="40091C80" w14:textId="77777777" w:rsidR="00250E9B" w:rsidRDefault="00250E9B" w:rsidP="00AD5720">
      <w:pPr>
        <w:rPr>
          <w:b/>
          <w:sz w:val="32"/>
          <w:szCs w:val="22"/>
          <w:lang w:eastAsia="en-GB"/>
        </w:rPr>
      </w:pPr>
    </w:p>
    <w:p w14:paraId="10C47660" w14:textId="77777777" w:rsidR="00460C5E" w:rsidRDefault="00460C5E" w:rsidP="00AD5720">
      <w:pPr>
        <w:rPr>
          <w:b/>
          <w:sz w:val="32"/>
          <w:szCs w:val="22"/>
          <w:lang w:eastAsia="en-GB"/>
        </w:rPr>
      </w:pPr>
    </w:p>
    <w:p w14:paraId="3A545E31" w14:textId="77777777" w:rsidR="00460C5E" w:rsidRDefault="00460C5E" w:rsidP="00AD5720">
      <w:pPr>
        <w:rPr>
          <w:b/>
          <w:sz w:val="32"/>
          <w:szCs w:val="22"/>
          <w:lang w:eastAsia="en-GB"/>
        </w:rPr>
      </w:pPr>
    </w:p>
    <w:p w14:paraId="09C1DEF3" w14:textId="77777777" w:rsidR="009D3E5C" w:rsidRDefault="009D3E5C" w:rsidP="00AD5720">
      <w:pPr>
        <w:rPr>
          <w:b/>
          <w:sz w:val="32"/>
          <w:szCs w:val="22"/>
          <w:lang w:eastAsia="en-GB"/>
        </w:rPr>
      </w:pPr>
    </w:p>
    <w:p w14:paraId="48B7029F" w14:textId="146B3972" w:rsidR="009D3E5C" w:rsidRPr="00EE1723" w:rsidRDefault="00977536" w:rsidP="009D3E5C">
      <w:pPr>
        <w:pStyle w:val="Heading1"/>
        <w:rPr>
          <w:color w:val="0E2841" w:themeColor="text2"/>
          <w:sz w:val="32"/>
          <w:szCs w:val="32"/>
          <w:lang w:val="en-GB"/>
        </w:rPr>
      </w:pPr>
      <w:bookmarkStart w:id="99" w:name="_Toc208849807"/>
      <w:bookmarkStart w:id="100" w:name="_Toc208850251"/>
      <w:r>
        <w:rPr>
          <w:color w:val="0E2841" w:themeColor="text2"/>
          <w:sz w:val="32"/>
          <w:szCs w:val="32"/>
        </w:rPr>
        <w:t>10</w:t>
      </w:r>
      <w:r w:rsidR="009D3E5C" w:rsidRPr="00EC0378">
        <w:rPr>
          <w:color w:val="0E2841" w:themeColor="text2"/>
          <w:sz w:val="32"/>
          <w:szCs w:val="32"/>
        </w:rPr>
        <w:t xml:space="preserve">. </w:t>
      </w:r>
      <w:r w:rsidR="00FA069F" w:rsidRPr="00EE1723">
        <w:rPr>
          <w:color w:val="0E2841" w:themeColor="text2"/>
          <w:sz w:val="32"/>
          <w:szCs w:val="32"/>
          <w:lang w:val="en-GB"/>
        </w:rPr>
        <w:t>Sensitivity analysis</w:t>
      </w:r>
      <w:bookmarkEnd w:id="99"/>
      <w:bookmarkEnd w:id="100"/>
    </w:p>
    <w:p w14:paraId="69042CC9" w14:textId="31AE63DB" w:rsidR="000849E0" w:rsidRPr="00713197" w:rsidRDefault="003E52F7" w:rsidP="00E55E51">
      <w:pPr>
        <w:jc w:val="both"/>
        <w:rPr>
          <w:sz w:val="22"/>
          <w:szCs w:val="22"/>
        </w:rPr>
      </w:pPr>
      <w:r w:rsidRPr="00713197">
        <w:rPr>
          <w:sz w:val="22"/>
          <w:szCs w:val="22"/>
        </w:rPr>
        <w:t xml:space="preserve">We assess the impacts </w:t>
      </w:r>
      <w:r w:rsidR="0048387A" w:rsidRPr="00713197">
        <w:rPr>
          <w:sz w:val="22"/>
          <w:szCs w:val="22"/>
        </w:rPr>
        <w:t xml:space="preserve">of </w:t>
      </w:r>
      <w:r w:rsidR="00315320" w:rsidRPr="00713197">
        <w:rPr>
          <w:sz w:val="22"/>
          <w:szCs w:val="22"/>
        </w:rPr>
        <w:t>two key factors: market shares and metal intensities</w:t>
      </w:r>
      <w:r w:rsidR="00EA1098" w:rsidRPr="00713197">
        <w:rPr>
          <w:sz w:val="22"/>
          <w:szCs w:val="22"/>
        </w:rPr>
        <w:t xml:space="preserve"> through sensitivity analysis</w:t>
      </w:r>
      <w:r w:rsidR="00315320" w:rsidRPr="00713197">
        <w:rPr>
          <w:sz w:val="22"/>
          <w:szCs w:val="22"/>
        </w:rPr>
        <w:t xml:space="preserve">. </w:t>
      </w:r>
      <w:r w:rsidR="00EA1098" w:rsidRPr="00713197">
        <w:rPr>
          <w:sz w:val="22"/>
          <w:szCs w:val="22"/>
        </w:rPr>
        <w:t>In particular</w:t>
      </w:r>
      <w:r w:rsidR="0098161A" w:rsidRPr="00713197">
        <w:rPr>
          <w:sz w:val="22"/>
          <w:szCs w:val="22"/>
        </w:rPr>
        <w:t>,</w:t>
      </w:r>
      <w:r w:rsidR="00EA1098" w:rsidRPr="00713197">
        <w:rPr>
          <w:sz w:val="22"/>
          <w:szCs w:val="22"/>
        </w:rPr>
        <w:t xml:space="preserve"> we assess </w:t>
      </w:r>
      <w:r w:rsidRPr="00713197">
        <w:rPr>
          <w:sz w:val="22"/>
          <w:szCs w:val="22"/>
        </w:rPr>
        <w:t>two alternative scenarios: one with reduced MS for thin-film solar and for REE-containing PM wind sub-technologies and lower MI, and another with increased shares of these sub-technologies and higher MI</w:t>
      </w:r>
      <w:r w:rsidR="00BE3258" w:rsidRPr="00713197">
        <w:rPr>
          <w:sz w:val="22"/>
          <w:szCs w:val="22"/>
        </w:rPr>
        <w:t xml:space="preserve">. Table </w:t>
      </w:r>
      <w:r w:rsidR="00EE1723" w:rsidRPr="00713197">
        <w:rPr>
          <w:sz w:val="22"/>
          <w:szCs w:val="22"/>
        </w:rPr>
        <w:t>S1.20</w:t>
      </w:r>
      <w:r w:rsidR="000F3E9E" w:rsidRPr="00713197">
        <w:rPr>
          <w:sz w:val="22"/>
          <w:szCs w:val="22"/>
        </w:rPr>
        <w:t xml:space="preserve"> provides the parameter settings for the sensitivity analysis.</w:t>
      </w:r>
      <w:r w:rsidR="002F737E" w:rsidRPr="00713197">
        <w:rPr>
          <w:sz w:val="22"/>
          <w:szCs w:val="22"/>
        </w:rPr>
        <w:t xml:space="preserve"> Tables S1.21 and S1.22 show the sensitivity analysis results for </w:t>
      </w:r>
      <w:proofErr w:type="spellStart"/>
      <w:r w:rsidR="002F737E" w:rsidRPr="00713197">
        <w:rPr>
          <w:sz w:val="22"/>
          <w:szCs w:val="22"/>
        </w:rPr>
        <w:t>thenario</w:t>
      </w:r>
      <w:proofErr w:type="spellEnd"/>
      <w:r w:rsidR="002F737E" w:rsidRPr="00713197">
        <w:rPr>
          <w:sz w:val="22"/>
          <w:szCs w:val="22"/>
        </w:rPr>
        <w:t xml:space="preserve"> SI and SII respectively.</w:t>
      </w:r>
    </w:p>
    <w:p w14:paraId="38425336" w14:textId="77777777" w:rsidR="000F3E9E" w:rsidRDefault="000F3E9E" w:rsidP="000849E0">
      <w:pPr>
        <w:rPr>
          <w:lang w:val="en-GB"/>
        </w:rPr>
      </w:pPr>
    </w:p>
    <w:p w14:paraId="5BD4F7A9" w14:textId="44B4518B" w:rsidR="003419FF" w:rsidRPr="00EE1723" w:rsidRDefault="003419FF" w:rsidP="00EE1723">
      <w:pPr>
        <w:pStyle w:val="Caption"/>
        <w:keepNext/>
        <w:jc w:val="center"/>
        <w:rPr>
          <w:rFonts w:ascii="Times New Roman" w:eastAsia="SimSun" w:hAnsi="Times New Roman"/>
          <w:b/>
          <w:i w:val="0"/>
          <w:iCs w:val="0"/>
          <w:kern w:val="0"/>
        </w:rPr>
      </w:pPr>
      <w:r w:rsidRPr="00EE1723">
        <w:rPr>
          <w:rFonts w:ascii="Times New Roman" w:eastAsia="SimSun" w:hAnsi="Times New Roman"/>
          <w:b/>
          <w:i w:val="0"/>
          <w:iCs w:val="0"/>
          <w:kern w:val="0"/>
        </w:rPr>
        <w:t xml:space="preserve">Table S1.20: </w:t>
      </w:r>
      <w:r w:rsidR="00EE1723" w:rsidRPr="00EE1723">
        <w:rPr>
          <w:rFonts w:ascii="Times New Roman" w:eastAsia="SimSun" w:hAnsi="Times New Roman"/>
          <w:bCs/>
          <w:i w:val="0"/>
          <w:iCs w:val="0"/>
          <w:kern w:val="0"/>
        </w:rPr>
        <w:t>Parameter settings for sensitivity analysis</w:t>
      </w:r>
    </w:p>
    <w:tbl>
      <w:tblPr>
        <w:tblStyle w:val="TableGrid"/>
        <w:tblW w:w="0" w:type="auto"/>
        <w:tblLook w:val="04A0" w:firstRow="1" w:lastRow="0" w:firstColumn="1" w:lastColumn="0" w:noHBand="0" w:noVBand="1"/>
      </w:tblPr>
      <w:tblGrid>
        <w:gridCol w:w="1129"/>
        <w:gridCol w:w="3828"/>
        <w:gridCol w:w="3673"/>
      </w:tblGrid>
      <w:tr w:rsidR="00AB7506" w14:paraId="64015167" w14:textId="77777777" w:rsidTr="00E55E51">
        <w:tc>
          <w:tcPr>
            <w:tcW w:w="1129" w:type="dxa"/>
          </w:tcPr>
          <w:p w14:paraId="06B1E2AB" w14:textId="77777777" w:rsidR="00AB7506" w:rsidRPr="00E55E51" w:rsidRDefault="00AB7506" w:rsidP="00E55E51">
            <w:pPr>
              <w:jc w:val="center"/>
              <w:rPr>
                <w:rFonts w:eastAsia="Aptos"/>
                <w:b/>
                <w:i/>
                <w:color w:val="0E2841"/>
                <w:kern w:val="2"/>
                <w:sz w:val="18"/>
                <w:szCs w:val="18"/>
              </w:rPr>
            </w:pPr>
          </w:p>
        </w:tc>
        <w:tc>
          <w:tcPr>
            <w:tcW w:w="3828" w:type="dxa"/>
          </w:tcPr>
          <w:p w14:paraId="71516D5F" w14:textId="4C87137F" w:rsidR="00AB7506" w:rsidRPr="00E55E51" w:rsidRDefault="00362591" w:rsidP="00E55E51">
            <w:pPr>
              <w:jc w:val="center"/>
              <w:rPr>
                <w:rFonts w:eastAsia="Aptos"/>
                <w:b/>
                <w:i/>
                <w:color w:val="0E2841"/>
                <w:kern w:val="2"/>
                <w:sz w:val="18"/>
                <w:szCs w:val="18"/>
              </w:rPr>
            </w:pPr>
            <w:r w:rsidRPr="00E55E51">
              <w:rPr>
                <w:rFonts w:eastAsia="Aptos"/>
                <w:b/>
                <w:i/>
                <w:color w:val="0E2841"/>
                <w:kern w:val="2"/>
                <w:sz w:val="18"/>
                <w:szCs w:val="18"/>
              </w:rPr>
              <w:t>Market shares (MS)</w:t>
            </w:r>
          </w:p>
        </w:tc>
        <w:tc>
          <w:tcPr>
            <w:tcW w:w="3673" w:type="dxa"/>
          </w:tcPr>
          <w:p w14:paraId="5BDDB8A4" w14:textId="628A5749" w:rsidR="00AB7506" w:rsidRPr="00E55E51" w:rsidRDefault="00362591" w:rsidP="00E55E51">
            <w:pPr>
              <w:jc w:val="center"/>
              <w:rPr>
                <w:rFonts w:eastAsia="Aptos"/>
                <w:b/>
                <w:i/>
                <w:color w:val="0E2841"/>
                <w:kern w:val="2"/>
                <w:sz w:val="18"/>
                <w:szCs w:val="18"/>
              </w:rPr>
            </w:pPr>
            <w:r w:rsidRPr="00E55E51">
              <w:rPr>
                <w:rFonts w:eastAsia="Aptos"/>
                <w:b/>
                <w:i/>
                <w:color w:val="0E2841"/>
                <w:kern w:val="2"/>
                <w:sz w:val="18"/>
                <w:szCs w:val="18"/>
              </w:rPr>
              <w:t>Metal intensities (MI)</w:t>
            </w:r>
          </w:p>
        </w:tc>
      </w:tr>
      <w:tr w:rsidR="00AB7506" w:rsidRPr="00DA754A" w14:paraId="57B2A317" w14:textId="77777777" w:rsidTr="00E55E51">
        <w:tc>
          <w:tcPr>
            <w:tcW w:w="1129" w:type="dxa"/>
          </w:tcPr>
          <w:p w14:paraId="219CD6DA" w14:textId="46602FAA" w:rsidR="00AB7506" w:rsidRPr="00E55E51" w:rsidRDefault="00362591" w:rsidP="00E55E51">
            <w:pPr>
              <w:jc w:val="center"/>
              <w:rPr>
                <w:rFonts w:eastAsia="Aptos"/>
                <w:b/>
                <w:i/>
                <w:color w:val="0E2841"/>
                <w:kern w:val="2"/>
                <w:sz w:val="18"/>
                <w:szCs w:val="18"/>
              </w:rPr>
            </w:pPr>
            <w:r w:rsidRPr="00E55E51">
              <w:rPr>
                <w:rFonts w:eastAsia="Aptos"/>
                <w:b/>
                <w:i/>
                <w:color w:val="0E2841"/>
                <w:kern w:val="2"/>
                <w:sz w:val="18"/>
                <w:szCs w:val="18"/>
              </w:rPr>
              <w:t>Baseline</w:t>
            </w:r>
          </w:p>
        </w:tc>
        <w:tc>
          <w:tcPr>
            <w:tcW w:w="3828" w:type="dxa"/>
          </w:tcPr>
          <w:p w14:paraId="1251C998" w14:textId="77777777" w:rsidR="00B93A35" w:rsidRDefault="00B93A35" w:rsidP="00B93A35">
            <w:pPr>
              <w:jc w:val="center"/>
              <w:rPr>
                <w:rFonts w:eastAsia="Aptos"/>
                <w:i/>
                <w:color w:val="0E2841"/>
                <w:kern w:val="2"/>
                <w:sz w:val="18"/>
                <w:szCs w:val="18"/>
                <w:lang w:val="sv-SE"/>
              </w:rPr>
            </w:pPr>
            <w:proofErr w:type="spellStart"/>
            <w:r w:rsidRPr="00EE1723">
              <w:rPr>
                <w:rFonts w:eastAsia="Aptos"/>
                <w:i/>
                <w:color w:val="0E2841"/>
                <w:kern w:val="2"/>
                <w:sz w:val="18"/>
                <w:szCs w:val="18"/>
                <w:lang w:val="sv-SE"/>
              </w:rPr>
              <w:t>JRC’s</w:t>
            </w:r>
            <w:proofErr w:type="spellEnd"/>
            <w:r w:rsidRPr="00EE1723">
              <w:rPr>
                <w:rFonts w:eastAsia="Aptos"/>
                <w:i/>
                <w:color w:val="0E2841"/>
                <w:kern w:val="2"/>
                <w:sz w:val="18"/>
                <w:szCs w:val="18"/>
                <w:lang w:val="sv-SE"/>
              </w:rPr>
              <w:t xml:space="preserve"> Medium </w:t>
            </w:r>
            <w:proofErr w:type="spellStart"/>
            <w:r w:rsidRPr="00EE1723">
              <w:rPr>
                <w:rFonts w:eastAsia="Aptos"/>
                <w:i/>
                <w:color w:val="0E2841"/>
                <w:kern w:val="2"/>
                <w:sz w:val="18"/>
                <w:szCs w:val="18"/>
                <w:lang w:val="sv-SE"/>
              </w:rPr>
              <w:t>Demand</w:t>
            </w:r>
            <w:proofErr w:type="spellEnd"/>
            <w:r w:rsidRPr="00EE1723">
              <w:rPr>
                <w:rFonts w:eastAsia="Aptos"/>
                <w:i/>
                <w:color w:val="0E2841"/>
                <w:kern w:val="2"/>
                <w:sz w:val="18"/>
                <w:szCs w:val="18"/>
                <w:lang w:val="sv-SE"/>
              </w:rPr>
              <w:t xml:space="preserve"> Scenario (MDS) </w:t>
            </w:r>
          </w:p>
          <w:p w14:paraId="05C1181D" w14:textId="66916A2C" w:rsidR="00AB7506" w:rsidRPr="00E55E51" w:rsidRDefault="00522972" w:rsidP="00E55E51">
            <w:pPr>
              <w:jc w:val="center"/>
              <w:rPr>
                <w:rFonts w:eastAsia="Aptos"/>
                <w:i/>
                <w:color w:val="0E2841"/>
                <w:kern w:val="2"/>
                <w:sz w:val="18"/>
                <w:szCs w:val="18"/>
              </w:rPr>
            </w:pPr>
            <w:r w:rsidRPr="00EE1723">
              <w:rPr>
                <w:rFonts w:eastAsia="Aptos"/>
                <w:i/>
                <w:color w:val="0E2841"/>
                <w:kern w:val="2"/>
                <w:sz w:val="18"/>
                <w:szCs w:val="18"/>
                <w:lang w:val="en-GB"/>
              </w:rPr>
              <w:t xml:space="preserve">Source: </w:t>
            </w:r>
            <w:r w:rsidR="00B93A35" w:rsidRPr="00E55E51">
              <w:rPr>
                <w:rFonts w:eastAsia="Aptos"/>
                <w:i/>
                <w:color w:val="0E2841"/>
                <w:kern w:val="2"/>
                <w:sz w:val="18"/>
                <w:szCs w:val="18"/>
              </w:rPr>
              <w:t xml:space="preserve">Carrara et al. </w:t>
            </w:r>
            <w:r w:rsidR="00B93A35" w:rsidRPr="00E55E51">
              <w:rPr>
                <w:rFonts w:eastAsia="Aptos"/>
                <w:i/>
                <w:color w:val="0E2841"/>
                <w:kern w:val="2"/>
                <w:sz w:val="18"/>
                <w:szCs w:val="18"/>
              </w:rPr>
              <w:fldChar w:fldCharType="begin"/>
            </w:r>
            <w:r w:rsidR="007A5582">
              <w:rPr>
                <w:rFonts w:eastAsia="Aptos"/>
                <w:i/>
                <w:color w:val="0E2841"/>
                <w:kern w:val="2"/>
                <w:sz w:val="18"/>
                <w:szCs w:val="18"/>
              </w:rPr>
              <w:instrText xml:space="preserve"> ADDIN ZOTERO_ITEM CSL_CITATION {"citationID":"Wv2JOxG5","properties":{"formattedCitation":"(2020)","plainCitation":"(2020)","noteIndex":0},"citationItems":[{"id":15157,"uris":["http://zotero.org/groups/4945499/items/IB2K2VLT"],"itemData":{"id":15157,"type":"book","event-place":"European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label":"page","suppress-author":true}],"schema":"https://github.com/citation-style-language/schema/raw/master/csl-citation.json"} </w:instrText>
            </w:r>
            <w:r w:rsidR="00B93A35" w:rsidRPr="00E55E51">
              <w:rPr>
                <w:rFonts w:eastAsia="Aptos"/>
                <w:i/>
                <w:color w:val="0E2841"/>
                <w:kern w:val="2"/>
                <w:sz w:val="18"/>
                <w:szCs w:val="18"/>
              </w:rPr>
              <w:fldChar w:fldCharType="separate"/>
            </w:r>
            <w:r w:rsidR="00030243">
              <w:rPr>
                <w:rFonts w:eastAsia="Aptos"/>
                <w:i/>
                <w:color w:val="0E2841"/>
                <w:kern w:val="2"/>
                <w:sz w:val="18"/>
                <w:szCs w:val="18"/>
              </w:rPr>
              <w:t>(2020)</w:t>
            </w:r>
            <w:r w:rsidR="00B93A35" w:rsidRPr="00E55E51">
              <w:rPr>
                <w:rFonts w:eastAsia="Aptos"/>
                <w:i/>
                <w:color w:val="0E2841"/>
                <w:kern w:val="2"/>
                <w:sz w:val="18"/>
                <w:szCs w:val="18"/>
              </w:rPr>
              <w:fldChar w:fldCharType="end"/>
            </w:r>
          </w:p>
          <w:p w14:paraId="18EB3B65" w14:textId="5772902E" w:rsidR="00B93A35" w:rsidRPr="00E55E51" w:rsidRDefault="00B93A35" w:rsidP="00E55E51">
            <w:pPr>
              <w:jc w:val="center"/>
              <w:rPr>
                <w:rFonts w:eastAsia="Aptos"/>
                <w:i/>
                <w:color w:val="0E2841"/>
                <w:kern w:val="2"/>
                <w:sz w:val="18"/>
                <w:szCs w:val="18"/>
              </w:rPr>
            </w:pPr>
            <w:r w:rsidRPr="00E55E51">
              <w:rPr>
                <w:rFonts w:eastAsia="Aptos"/>
                <w:i/>
                <w:color w:val="0E2841"/>
                <w:kern w:val="2"/>
                <w:sz w:val="18"/>
                <w:szCs w:val="18"/>
              </w:rPr>
              <w:t>See Figure S1.3</w:t>
            </w:r>
          </w:p>
        </w:tc>
        <w:tc>
          <w:tcPr>
            <w:tcW w:w="3673" w:type="dxa"/>
          </w:tcPr>
          <w:p w14:paraId="13524F23" w14:textId="7DD0E5FA" w:rsidR="00AB7506" w:rsidRPr="00E55E51" w:rsidRDefault="000E0C29" w:rsidP="00E55E51">
            <w:pPr>
              <w:jc w:val="center"/>
              <w:rPr>
                <w:rFonts w:eastAsia="Aptos"/>
                <w:i/>
                <w:color w:val="0E2841"/>
                <w:kern w:val="2"/>
                <w:sz w:val="18"/>
                <w:szCs w:val="18"/>
                <w:lang w:val="en-GB"/>
              </w:rPr>
            </w:pPr>
            <w:r w:rsidRPr="00E55E51">
              <w:rPr>
                <w:rFonts w:eastAsia="Aptos"/>
                <w:i/>
                <w:color w:val="0E2841"/>
                <w:kern w:val="2"/>
                <w:sz w:val="18"/>
                <w:szCs w:val="18"/>
                <w:lang w:val="en-GB"/>
              </w:rPr>
              <w:t xml:space="preserve">See </w:t>
            </w:r>
            <w:r w:rsidR="00DA754A" w:rsidRPr="00E55E51">
              <w:rPr>
                <w:rFonts w:eastAsia="Aptos"/>
                <w:i/>
                <w:color w:val="0E2841"/>
                <w:kern w:val="2"/>
                <w:sz w:val="18"/>
                <w:szCs w:val="18"/>
                <w:lang w:val="en-GB"/>
              </w:rPr>
              <w:t>Figure S1.5 and Figure S1.6</w:t>
            </w:r>
          </w:p>
        </w:tc>
      </w:tr>
      <w:tr w:rsidR="00AB7506" w14:paraId="36AF343E" w14:textId="77777777" w:rsidTr="00E55E51">
        <w:tc>
          <w:tcPr>
            <w:tcW w:w="1129" w:type="dxa"/>
          </w:tcPr>
          <w:p w14:paraId="7B279E17" w14:textId="5BF6AAE0" w:rsidR="00AB7506" w:rsidRPr="00E55E51" w:rsidRDefault="00362591" w:rsidP="00E55E51">
            <w:pPr>
              <w:jc w:val="center"/>
              <w:rPr>
                <w:rFonts w:eastAsia="Aptos"/>
                <w:b/>
                <w:i/>
                <w:color w:val="0E2841"/>
                <w:kern w:val="2"/>
                <w:sz w:val="18"/>
                <w:szCs w:val="18"/>
              </w:rPr>
            </w:pPr>
            <w:r w:rsidRPr="00E55E51">
              <w:rPr>
                <w:rFonts w:eastAsia="Aptos"/>
                <w:b/>
                <w:i/>
                <w:color w:val="0E2841"/>
                <w:kern w:val="2"/>
                <w:sz w:val="18"/>
                <w:szCs w:val="18"/>
              </w:rPr>
              <w:t>S</w:t>
            </w:r>
            <w:r w:rsidR="004307BB" w:rsidRPr="00E55E51">
              <w:rPr>
                <w:rFonts w:eastAsia="Aptos"/>
                <w:b/>
                <w:i/>
                <w:color w:val="0E2841"/>
                <w:kern w:val="2"/>
                <w:sz w:val="18"/>
                <w:szCs w:val="18"/>
              </w:rPr>
              <w:t>I</w:t>
            </w:r>
          </w:p>
        </w:tc>
        <w:tc>
          <w:tcPr>
            <w:tcW w:w="3828" w:type="dxa"/>
          </w:tcPr>
          <w:p w14:paraId="2C84B01A" w14:textId="77777777" w:rsidR="00522972" w:rsidRPr="00EE1723" w:rsidRDefault="00B93A35" w:rsidP="00B93A35">
            <w:pPr>
              <w:jc w:val="center"/>
              <w:rPr>
                <w:rFonts w:eastAsia="Aptos"/>
                <w:i/>
                <w:color w:val="0E2841"/>
                <w:kern w:val="2"/>
                <w:sz w:val="18"/>
                <w:szCs w:val="18"/>
                <w:lang w:val="en-GB"/>
              </w:rPr>
            </w:pPr>
            <w:r w:rsidRPr="00BE4D65">
              <w:rPr>
                <w:rFonts w:eastAsia="Aptos"/>
                <w:i/>
                <w:color w:val="0E2841"/>
                <w:kern w:val="2"/>
                <w:sz w:val="18"/>
                <w:szCs w:val="18"/>
              </w:rPr>
              <w:t xml:space="preserve">JRC’s </w:t>
            </w:r>
            <w:r w:rsidRPr="00E55E51">
              <w:rPr>
                <w:rFonts w:eastAsia="Aptos"/>
                <w:i/>
                <w:color w:val="0E2841"/>
                <w:kern w:val="2"/>
                <w:sz w:val="18"/>
                <w:szCs w:val="18"/>
                <w:lang w:val="en-GB"/>
              </w:rPr>
              <w:t>Low</w:t>
            </w:r>
            <w:r w:rsidRPr="00BE4D65">
              <w:rPr>
                <w:rFonts w:eastAsia="Aptos"/>
                <w:i/>
                <w:color w:val="0E2841"/>
                <w:kern w:val="2"/>
                <w:sz w:val="18"/>
                <w:szCs w:val="18"/>
              </w:rPr>
              <w:t xml:space="preserve"> Demand Scenario (</w:t>
            </w:r>
            <w:r w:rsidRPr="00E55E51">
              <w:rPr>
                <w:rFonts w:eastAsia="Aptos"/>
                <w:i/>
                <w:color w:val="0E2841"/>
                <w:kern w:val="2"/>
                <w:sz w:val="18"/>
                <w:szCs w:val="18"/>
                <w:lang w:val="en-GB"/>
              </w:rPr>
              <w:t>L</w:t>
            </w:r>
            <w:r w:rsidRPr="00BE4D65">
              <w:rPr>
                <w:rFonts w:eastAsia="Aptos"/>
                <w:i/>
                <w:color w:val="0E2841"/>
                <w:kern w:val="2"/>
                <w:sz w:val="18"/>
                <w:szCs w:val="18"/>
              </w:rPr>
              <w:t xml:space="preserve">DS) </w:t>
            </w:r>
          </w:p>
          <w:p w14:paraId="0787CDD2" w14:textId="107ACA23" w:rsidR="00B93A35" w:rsidRPr="00BE4D65" w:rsidRDefault="00522972" w:rsidP="00B93A35">
            <w:pPr>
              <w:jc w:val="center"/>
              <w:rPr>
                <w:rFonts w:eastAsia="Aptos"/>
                <w:i/>
                <w:color w:val="0E2841"/>
                <w:kern w:val="2"/>
                <w:sz w:val="18"/>
                <w:szCs w:val="18"/>
              </w:rPr>
            </w:pPr>
            <w:r w:rsidRPr="00EE1723">
              <w:rPr>
                <w:rFonts w:eastAsia="Aptos"/>
                <w:i/>
                <w:color w:val="0E2841"/>
                <w:kern w:val="2"/>
                <w:sz w:val="18"/>
                <w:szCs w:val="18"/>
                <w:lang w:val="en-GB"/>
              </w:rPr>
              <w:t xml:space="preserve">Source: </w:t>
            </w:r>
            <w:r w:rsidR="00B93A35" w:rsidRPr="00BE4D65">
              <w:rPr>
                <w:rFonts w:eastAsia="Aptos"/>
                <w:i/>
                <w:color w:val="0E2841"/>
                <w:kern w:val="2"/>
                <w:sz w:val="18"/>
                <w:szCs w:val="18"/>
              </w:rPr>
              <w:t xml:space="preserve">Carrara et al. </w:t>
            </w:r>
            <w:r w:rsidR="00B93A35" w:rsidRPr="00BE4D65">
              <w:rPr>
                <w:rFonts w:eastAsia="Aptos"/>
                <w:i/>
                <w:color w:val="0E2841"/>
                <w:kern w:val="2"/>
                <w:sz w:val="18"/>
                <w:szCs w:val="18"/>
              </w:rPr>
              <w:fldChar w:fldCharType="begin"/>
            </w:r>
            <w:r w:rsidR="007A5582">
              <w:rPr>
                <w:rFonts w:eastAsia="Aptos"/>
                <w:i/>
                <w:color w:val="0E2841"/>
                <w:kern w:val="2"/>
                <w:sz w:val="18"/>
                <w:szCs w:val="18"/>
              </w:rPr>
              <w:instrText xml:space="preserve"> ADDIN ZOTERO_ITEM CSL_CITATION {"citationID":"pnr3qH8k","properties":{"formattedCitation":"(2020)","plainCitation":"(2020)","noteIndex":0},"citationItems":[{"id":15157,"uris":["http://zotero.org/groups/4945499/items/IB2K2VLT"],"itemData":{"id":15157,"type":"book","event-place":"European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label":"page","suppress-author":true}],"schema":"https://github.com/citation-style-language/schema/raw/master/csl-citation.json"} </w:instrText>
            </w:r>
            <w:r w:rsidR="00B93A35" w:rsidRPr="00BE4D65">
              <w:rPr>
                <w:rFonts w:eastAsia="Aptos"/>
                <w:i/>
                <w:color w:val="0E2841"/>
                <w:kern w:val="2"/>
                <w:sz w:val="18"/>
                <w:szCs w:val="18"/>
              </w:rPr>
              <w:fldChar w:fldCharType="separate"/>
            </w:r>
            <w:r w:rsidR="00030243">
              <w:rPr>
                <w:rFonts w:eastAsia="Aptos"/>
                <w:i/>
                <w:color w:val="0E2841"/>
                <w:kern w:val="2"/>
                <w:sz w:val="18"/>
                <w:szCs w:val="18"/>
              </w:rPr>
              <w:t>(2020)</w:t>
            </w:r>
            <w:r w:rsidR="00B93A35" w:rsidRPr="00BE4D65">
              <w:rPr>
                <w:rFonts w:eastAsia="Aptos"/>
                <w:i/>
                <w:color w:val="0E2841"/>
                <w:kern w:val="2"/>
                <w:sz w:val="18"/>
                <w:szCs w:val="18"/>
              </w:rPr>
              <w:fldChar w:fldCharType="end"/>
            </w:r>
          </w:p>
          <w:p w14:paraId="39E8D869" w14:textId="33FBAC3C" w:rsidR="00AB7506" w:rsidRPr="00E55E51" w:rsidRDefault="00667E66" w:rsidP="00E55E51">
            <w:pPr>
              <w:jc w:val="center"/>
              <w:rPr>
                <w:rFonts w:eastAsia="Aptos"/>
                <w:i/>
                <w:color w:val="0E2841"/>
                <w:kern w:val="2"/>
                <w:sz w:val="18"/>
                <w:szCs w:val="18"/>
              </w:rPr>
            </w:pPr>
            <w:r w:rsidRPr="00E55E51">
              <w:rPr>
                <w:rFonts w:eastAsia="Aptos"/>
                <w:i/>
                <w:color w:val="0E2841"/>
                <w:kern w:val="2"/>
                <w:sz w:val="18"/>
                <w:szCs w:val="18"/>
              </w:rPr>
              <w:t>See Figure S1.</w:t>
            </w:r>
            <w:r w:rsidR="0029776D">
              <w:rPr>
                <w:rFonts w:eastAsia="Aptos"/>
                <w:i/>
                <w:color w:val="0E2841"/>
                <w:kern w:val="2"/>
                <w:sz w:val="18"/>
                <w:szCs w:val="18"/>
              </w:rPr>
              <w:t>9</w:t>
            </w:r>
          </w:p>
        </w:tc>
        <w:tc>
          <w:tcPr>
            <w:tcW w:w="3673" w:type="dxa"/>
          </w:tcPr>
          <w:p w14:paraId="34C2F7F5" w14:textId="1CD3F07E" w:rsidR="00AB7506" w:rsidRPr="00E55E51" w:rsidRDefault="00A22F62" w:rsidP="00E55E51">
            <w:pPr>
              <w:jc w:val="center"/>
              <w:rPr>
                <w:rFonts w:eastAsia="Aptos"/>
                <w:i/>
                <w:color w:val="0E2841"/>
                <w:kern w:val="2"/>
                <w:sz w:val="18"/>
                <w:szCs w:val="18"/>
              </w:rPr>
            </w:pPr>
            <w:r w:rsidRPr="00E55E51">
              <w:rPr>
                <w:rFonts w:eastAsia="Aptos"/>
                <w:i/>
                <w:color w:val="0E2841"/>
                <w:kern w:val="2"/>
                <w:sz w:val="18"/>
                <w:szCs w:val="18"/>
              </w:rPr>
              <w:t xml:space="preserve">10% </w:t>
            </w:r>
            <w:r w:rsidR="003F04BE" w:rsidRPr="00E55E51">
              <w:rPr>
                <w:rFonts w:eastAsia="Aptos"/>
                <w:i/>
                <w:color w:val="0E2841"/>
                <w:kern w:val="2"/>
                <w:sz w:val="18"/>
                <w:szCs w:val="18"/>
              </w:rPr>
              <w:t>lower than the Baseline scenario</w:t>
            </w:r>
          </w:p>
        </w:tc>
      </w:tr>
      <w:tr w:rsidR="00AB7506" w14:paraId="4C11E08D" w14:textId="77777777" w:rsidTr="00E55E51">
        <w:tc>
          <w:tcPr>
            <w:tcW w:w="1129" w:type="dxa"/>
          </w:tcPr>
          <w:p w14:paraId="7A73F7E0" w14:textId="2A4126A6" w:rsidR="00AB7506" w:rsidRPr="00E55E51" w:rsidRDefault="004307BB" w:rsidP="00E55E51">
            <w:pPr>
              <w:jc w:val="center"/>
              <w:rPr>
                <w:rFonts w:eastAsia="Aptos"/>
                <w:b/>
                <w:i/>
                <w:color w:val="0E2841"/>
                <w:kern w:val="2"/>
                <w:sz w:val="18"/>
                <w:szCs w:val="18"/>
              </w:rPr>
            </w:pPr>
            <w:r w:rsidRPr="00E55E51">
              <w:rPr>
                <w:rFonts w:eastAsia="Aptos"/>
                <w:b/>
                <w:i/>
                <w:color w:val="0E2841"/>
                <w:kern w:val="2"/>
                <w:sz w:val="18"/>
                <w:szCs w:val="18"/>
              </w:rPr>
              <w:t>SII</w:t>
            </w:r>
          </w:p>
        </w:tc>
        <w:tc>
          <w:tcPr>
            <w:tcW w:w="3828" w:type="dxa"/>
          </w:tcPr>
          <w:p w14:paraId="6A235BE8" w14:textId="78AF83EC" w:rsidR="00522972" w:rsidRPr="00E55E51" w:rsidRDefault="00522972" w:rsidP="00522972">
            <w:pPr>
              <w:jc w:val="center"/>
              <w:rPr>
                <w:rFonts w:eastAsia="Aptos"/>
                <w:i/>
                <w:color w:val="0E2841"/>
                <w:kern w:val="2"/>
                <w:sz w:val="18"/>
                <w:szCs w:val="18"/>
                <w:lang w:val="en-GB"/>
              </w:rPr>
            </w:pPr>
            <w:r w:rsidRPr="00BE4D65">
              <w:rPr>
                <w:rFonts w:eastAsia="Aptos"/>
                <w:i/>
                <w:color w:val="0E2841"/>
                <w:kern w:val="2"/>
                <w:sz w:val="18"/>
                <w:szCs w:val="18"/>
              </w:rPr>
              <w:t xml:space="preserve">JRC’s </w:t>
            </w:r>
            <w:r>
              <w:rPr>
                <w:rFonts w:eastAsia="Aptos"/>
                <w:i/>
                <w:color w:val="0E2841"/>
                <w:kern w:val="2"/>
                <w:sz w:val="18"/>
                <w:szCs w:val="18"/>
                <w:lang w:val="en-GB"/>
              </w:rPr>
              <w:t>High</w:t>
            </w:r>
            <w:r w:rsidRPr="00BE4D65">
              <w:rPr>
                <w:rFonts w:eastAsia="Aptos"/>
                <w:i/>
                <w:color w:val="0E2841"/>
                <w:kern w:val="2"/>
                <w:sz w:val="18"/>
                <w:szCs w:val="18"/>
              </w:rPr>
              <w:t xml:space="preserve"> Demand Scenario (</w:t>
            </w:r>
            <w:r>
              <w:rPr>
                <w:rFonts w:eastAsia="Aptos"/>
                <w:i/>
                <w:color w:val="0E2841"/>
                <w:kern w:val="2"/>
                <w:sz w:val="18"/>
                <w:szCs w:val="18"/>
              </w:rPr>
              <w:t>H</w:t>
            </w:r>
            <w:r w:rsidRPr="00BE4D65">
              <w:rPr>
                <w:rFonts w:eastAsia="Aptos"/>
                <w:i/>
                <w:color w:val="0E2841"/>
                <w:kern w:val="2"/>
                <w:sz w:val="18"/>
                <w:szCs w:val="18"/>
              </w:rPr>
              <w:t xml:space="preserve">DS) </w:t>
            </w:r>
          </w:p>
          <w:p w14:paraId="6989D0EF" w14:textId="184DF45C" w:rsidR="00522972" w:rsidRPr="00BE4D65" w:rsidRDefault="00522972" w:rsidP="00522972">
            <w:pPr>
              <w:jc w:val="center"/>
              <w:rPr>
                <w:rFonts w:eastAsia="Aptos"/>
                <w:i/>
                <w:color w:val="0E2841"/>
                <w:kern w:val="2"/>
                <w:sz w:val="18"/>
                <w:szCs w:val="18"/>
              </w:rPr>
            </w:pPr>
            <w:r w:rsidRPr="00EE1723">
              <w:rPr>
                <w:rFonts w:eastAsia="Aptos"/>
                <w:i/>
                <w:color w:val="0E2841"/>
                <w:kern w:val="2"/>
                <w:sz w:val="18"/>
                <w:szCs w:val="18"/>
                <w:lang w:val="en-GB"/>
              </w:rPr>
              <w:t xml:space="preserve">Source: </w:t>
            </w:r>
            <w:r w:rsidRPr="00BE4D65">
              <w:rPr>
                <w:rFonts w:eastAsia="Aptos"/>
                <w:i/>
                <w:color w:val="0E2841"/>
                <w:kern w:val="2"/>
                <w:sz w:val="18"/>
                <w:szCs w:val="18"/>
              </w:rPr>
              <w:t xml:space="preserve">Carrara et al. </w:t>
            </w:r>
            <w:r w:rsidRPr="00BE4D65">
              <w:rPr>
                <w:rFonts w:eastAsia="Aptos"/>
                <w:i/>
                <w:color w:val="0E2841"/>
                <w:kern w:val="2"/>
                <w:sz w:val="18"/>
                <w:szCs w:val="18"/>
              </w:rPr>
              <w:fldChar w:fldCharType="begin"/>
            </w:r>
            <w:r w:rsidR="007A5582">
              <w:rPr>
                <w:rFonts w:eastAsia="Aptos"/>
                <w:i/>
                <w:color w:val="0E2841"/>
                <w:kern w:val="2"/>
                <w:sz w:val="18"/>
                <w:szCs w:val="18"/>
              </w:rPr>
              <w:instrText xml:space="preserve"> ADDIN ZOTERO_ITEM CSL_CITATION {"citationID":"27aA1qKK","properties":{"formattedCitation":"(2020)","plainCitation":"(2020)","noteIndex":0},"citationItems":[{"id":15157,"uris":["http://zotero.org/groups/4945499/items/IB2K2VLT"],"itemData":{"id":15157,"type":"book","event-place":"European Commission. Joint Research Centre.","language":"en","publisher":"Publications Office","publisher-place":"European Commission. Joint Research Centre.","source":"DOI.org (CSL JSON)","title":"Raw materials demand for wind and solar PV technologies in the transition towards a decarbonised energy system.","URL":"https://data.europa.eu/doi/10.2760/160859","author":[{"family":"Carrara","given":"S"},{"family":"Alves Dias","given":"P"},{"family":"Plazzotta","given":"B"},{"family":"Pavel","given":"C"}],"accessed":{"date-parts":[["2023",2,9]]},"issued":{"date-parts":[["2020"]]}},"label":"page","suppress-author":true}],"schema":"https://github.com/citation-style-language/schema/raw/master/csl-citation.json"} </w:instrText>
            </w:r>
            <w:r w:rsidRPr="00BE4D65">
              <w:rPr>
                <w:rFonts w:eastAsia="Aptos"/>
                <w:i/>
                <w:color w:val="0E2841"/>
                <w:kern w:val="2"/>
                <w:sz w:val="18"/>
                <w:szCs w:val="18"/>
              </w:rPr>
              <w:fldChar w:fldCharType="separate"/>
            </w:r>
            <w:r w:rsidR="00030243">
              <w:rPr>
                <w:rFonts w:eastAsia="Aptos"/>
                <w:i/>
                <w:color w:val="0E2841"/>
                <w:kern w:val="2"/>
                <w:sz w:val="18"/>
                <w:szCs w:val="18"/>
              </w:rPr>
              <w:t>(2020)</w:t>
            </w:r>
            <w:r w:rsidRPr="00BE4D65">
              <w:rPr>
                <w:rFonts w:eastAsia="Aptos"/>
                <w:i/>
                <w:color w:val="0E2841"/>
                <w:kern w:val="2"/>
                <w:sz w:val="18"/>
                <w:szCs w:val="18"/>
              </w:rPr>
              <w:fldChar w:fldCharType="end"/>
            </w:r>
          </w:p>
          <w:p w14:paraId="4DF945E8" w14:textId="501860C2" w:rsidR="00AB7506" w:rsidRPr="00E55E51" w:rsidRDefault="00667E66" w:rsidP="00E55E51">
            <w:pPr>
              <w:jc w:val="center"/>
              <w:rPr>
                <w:rFonts w:eastAsia="Aptos"/>
                <w:i/>
                <w:color w:val="0E2841"/>
                <w:kern w:val="2"/>
                <w:sz w:val="18"/>
                <w:szCs w:val="18"/>
              </w:rPr>
            </w:pPr>
            <w:r w:rsidRPr="00E55E51">
              <w:rPr>
                <w:rFonts w:eastAsia="Aptos"/>
                <w:i/>
                <w:color w:val="0E2841"/>
                <w:kern w:val="2"/>
                <w:sz w:val="18"/>
                <w:szCs w:val="18"/>
              </w:rPr>
              <w:t>See Figure S1.</w:t>
            </w:r>
            <w:r w:rsidR="0029776D">
              <w:rPr>
                <w:rFonts w:eastAsia="Aptos"/>
                <w:i/>
                <w:color w:val="0E2841"/>
                <w:kern w:val="2"/>
                <w:sz w:val="18"/>
                <w:szCs w:val="18"/>
              </w:rPr>
              <w:t>10</w:t>
            </w:r>
          </w:p>
        </w:tc>
        <w:tc>
          <w:tcPr>
            <w:tcW w:w="3673" w:type="dxa"/>
          </w:tcPr>
          <w:p w14:paraId="6EFBC718" w14:textId="05399080" w:rsidR="00AB7506" w:rsidRPr="00E55E51" w:rsidRDefault="003F04BE" w:rsidP="00E55E51">
            <w:pPr>
              <w:jc w:val="center"/>
              <w:rPr>
                <w:rFonts w:eastAsia="Aptos"/>
                <w:i/>
                <w:color w:val="0E2841"/>
                <w:kern w:val="2"/>
                <w:sz w:val="18"/>
                <w:szCs w:val="18"/>
              </w:rPr>
            </w:pPr>
            <w:r w:rsidRPr="00E55E51">
              <w:rPr>
                <w:rFonts w:eastAsia="Aptos"/>
                <w:i/>
                <w:color w:val="0E2841"/>
                <w:kern w:val="2"/>
                <w:sz w:val="18"/>
                <w:szCs w:val="18"/>
              </w:rPr>
              <w:t>10% higher than the Baseline scenario</w:t>
            </w:r>
          </w:p>
        </w:tc>
      </w:tr>
    </w:tbl>
    <w:p w14:paraId="1F52A13D" w14:textId="77777777" w:rsidR="000F3E9E" w:rsidRPr="00E55E51" w:rsidRDefault="000F3E9E" w:rsidP="00E55E51">
      <w:pPr>
        <w:rPr>
          <w:lang w:val="en-GB"/>
        </w:rPr>
      </w:pPr>
    </w:p>
    <w:p w14:paraId="1704BBEF" w14:textId="77777777" w:rsidR="005B7E1D" w:rsidRPr="00A53EB2" w:rsidRDefault="005B7E1D" w:rsidP="00A53EB2">
      <w:pPr>
        <w:jc w:val="center"/>
        <w:rPr>
          <w:rFonts w:eastAsia="Aptos"/>
          <w:b/>
          <w:i/>
          <w:color w:val="0E2841"/>
          <w:kern w:val="2"/>
          <w:sz w:val="18"/>
          <w:szCs w:val="18"/>
        </w:rPr>
      </w:pPr>
    </w:p>
    <w:p w14:paraId="6843AB1C" w14:textId="6453E80D" w:rsidR="005B7E1D" w:rsidRPr="00EE1723" w:rsidRDefault="00EC6437" w:rsidP="00EE1723">
      <w:pPr>
        <w:pStyle w:val="Caption"/>
        <w:keepNext/>
        <w:jc w:val="center"/>
        <w:rPr>
          <w:rFonts w:ascii="Times New Roman" w:eastAsia="SimSun" w:hAnsi="Times New Roman"/>
          <w:b/>
          <w:i w:val="0"/>
          <w:iCs w:val="0"/>
          <w:kern w:val="0"/>
        </w:rPr>
      </w:pPr>
      <w:r w:rsidRPr="00EE1723">
        <w:rPr>
          <w:rFonts w:ascii="Times New Roman" w:eastAsia="SimSun" w:hAnsi="Times New Roman"/>
          <w:b/>
          <w:i w:val="0"/>
          <w:iCs w:val="0"/>
          <w:kern w:val="0"/>
        </w:rPr>
        <w:t xml:space="preserve">Table </w:t>
      </w:r>
      <w:r w:rsidR="00325D4F" w:rsidRPr="00EE1723">
        <w:rPr>
          <w:rFonts w:ascii="Times New Roman" w:eastAsia="SimSun" w:hAnsi="Times New Roman"/>
          <w:b/>
          <w:i w:val="0"/>
          <w:iCs w:val="0"/>
          <w:kern w:val="0"/>
        </w:rPr>
        <w:t>S1.</w:t>
      </w:r>
      <w:r w:rsidR="00EE1723">
        <w:rPr>
          <w:rFonts w:ascii="Times New Roman" w:eastAsia="SimSun" w:hAnsi="Times New Roman"/>
          <w:b/>
          <w:i w:val="0"/>
          <w:iCs w:val="0"/>
          <w:kern w:val="0"/>
        </w:rPr>
        <w:t>21</w:t>
      </w:r>
      <w:r w:rsidR="00325D4F" w:rsidRPr="00EE1723">
        <w:rPr>
          <w:rFonts w:ascii="Times New Roman" w:eastAsia="SimSun" w:hAnsi="Times New Roman"/>
          <w:b/>
          <w:i w:val="0"/>
          <w:iCs w:val="0"/>
          <w:kern w:val="0"/>
        </w:rPr>
        <w:t xml:space="preserve">: </w:t>
      </w:r>
      <w:r w:rsidR="004B6949" w:rsidRPr="00EE1723">
        <w:rPr>
          <w:rFonts w:ascii="Times New Roman" w:eastAsia="SimSun" w:hAnsi="Times New Roman"/>
          <w:bCs/>
          <w:i w:val="0"/>
          <w:iCs w:val="0"/>
          <w:kern w:val="0"/>
        </w:rPr>
        <w:t xml:space="preserve">Sensitivity analysis for the </w:t>
      </w:r>
      <w:r w:rsidR="002C144C" w:rsidRPr="00EE1723">
        <w:rPr>
          <w:rFonts w:ascii="Times New Roman" w:eastAsia="SimSun" w:hAnsi="Times New Roman"/>
          <w:bCs/>
          <w:i w:val="0"/>
          <w:iCs w:val="0"/>
          <w:kern w:val="0"/>
        </w:rPr>
        <w:t>cumulative demands (inflows) for minor metals (in tons) for the period 2022-2050 in scenario S</w:t>
      </w:r>
      <w:r w:rsidR="005748AA" w:rsidRPr="00EE1723">
        <w:rPr>
          <w:rFonts w:ascii="Times New Roman" w:eastAsia="SimSun" w:hAnsi="Times New Roman"/>
          <w:bCs/>
          <w:i w:val="0"/>
          <w:iCs w:val="0"/>
          <w:kern w:val="0"/>
        </w:rPr>
        <w:t>I</w:t>
      </w:r>
      <w:r w:rsidR="002C144C" w:rsidRPr="00EE1723">
        <w:rPr>
          <w:rFonts w:ascii="Times New Roman" w:eastAsia="SimSun" w:hAnsi="Times New Roman"/>
          <w:bCs/>
          <w:i w:val="0"/>
          <w:iCs w:val="0"/>
          <w:kern w:val="0"/>
        </w:rPr>
        <w:t xml:space="preserve">. </w:t>
      </w:r>
      <w:r w:rsidR="00325D4F" w:rsidRPr="00EE1723">
        <w:rPr>
          <w:rFonts w:ascii="Times New Roman" w:eastAsia="SimSun" w:hAnsi="Times New Roman"/>
          <w:bCs/>
          <w:i w:val="0"/>
          <w:iCs w:val="0"/>
          <w:kern w:val="0"/>
        </w:rPr>
        <w:t xml:space="preserve">The </w:t>
      </w:r>
      <w:r w:rsidR="002C144C" w:rsidRPr="00EE1723">
        <w:rPr>
          <w:rFonts w:ascii="Times New Roman" w:eastAsia="SimSun" w:hAnsi="Times New Roman"/>
          <w:bCs/>
          <w:i w:val="0"/>
          <w:iCs w:val="0"/>
          <w:kern w:val="0"/>
        </w:rPr>
        <w:t>percenta</w:t>
      </w:r>
      <w:r w:rsidR="000454D4" w:rsidRPr="00EE1723">
        <w:rPr>
          <w:rFonts w:ascii="Times New Roman" w:eastAsia="SimSun" w:hAnsi="Times New Roman"/>
          <w:bCs/>
          <w:i w:val="0"/>
          <w:iCs w:val="0"/>
          <w:kern w:val="0"/>
        </w:rPr>
        <w:t>ge change</w:t>
      </w:r>
      <w:r w:rsidR="00325D4F" w:rsidRPr="00EE1723">
        <w:rPr>
          <w:rFonts w:ascii="Times New Roman" w:eastAsia="SimSun" w:hAnsi="Times New Roman"/>
          <w:bCs/>
          <w:i w:val="0"/>
          <w:iCs w:val="0"/>
          <w:kern w:val="0"/>
        </w:rPr>
        <w:t xml:space="preserve"> from the original scenario</w:t>
      </w:r>
      <w:r w:rsidR="002C144C" w:rsidRPr="00EE1723">
        <w:rPr>
          <w:rFonts w:ascii="Times New Roman" w:eastAsia="SimSun" w:hAnsi="Times New Roman"/>
          <w:bCs/>
          <w:i w:val="0"/>
          <w:iCs w:val="0"/>
          <w:kern w:val="0"/>
        </w:rPr>
        <w:t>s</w:t>
      </w:r>
      <w:r w:rsidR="00325D4F" w:rsidRPr="00EE1723">
        <w:rPr>
          <w:rFonts w:ascii="Times New Roman" w:eastAsia="SimSun" w:hAnsi="Times New Roman"/>
          <w:bCs/>
          <w:i w:val="0"/>
          <w:iCs w:val="0"/>
          <w:kern w:val="0"/>
        </w:rPr>
        <w:t xml:space="preserve"> is presented in brackets</w:t>
      </w:r>
      <w:r w:rsidR="00EE1723">
        <w:rPr>
          <w:rFonts w:ascii="Times New Roman" w:eastAsia="SimSun" w:hAnsi="Times New Roman"/>
          <w:bCs/>
          <w:i w:val="0"/>
          <w:iCs w:val="0"/>
          <w:kern w:val="0"/>
        </w:rPr>
        <w:t>.</w:t>
      </w:r>
    </w:p>
    <w:tbl>
      <w:tblPr>
        <w:tblW w:w="9067" w:type="dxa"/>
        <w:tblLook w:val="04A0" w:firstRow="1" w:lastRow="0" w:firstColumn="1" w:lastColumn="0" w:noHBand="0" w:noVBand="1"/>
      </w:tblPr>
      <w:tblGrid>
        <w:gridCol w:w="1129"/>
        <w:gridCol w:w="1026"/>
        <w:gridCol w:w="687"/>
        <w:gridCol w:w="1264"/>
        <w:gridCol w:w="1276"/>
        <w:gridCol w:w="1276"/>
        <w:gridCol w:w="1275"/>
        <w:gridCol w:w="1134"/>
      </w:tblGrid>
      <w:tr w:rsidR="000849E0" w:rsidRPr="000849E0" w14:paraId="20DC6420" w14:textId="77777777" w:rsidTr="00713197">
        <w:trPr>
          <w:trHeight w:val="320"/>
        </w:trPr>
        <w:tc>
          <w:tcPr>
            <w:tcW w:w="1129" w:type="dxa"/>
            <w:tcBorders>
              <w:top w:val="single" w:sz="4" w:space="0" w:color="D9D9D9"/>
              <w:left w:val="single" w:sz="4" w:space="0" w:color="D9D9D9"/>
              <w:bottom w:val="single" w:sz="4" w:space="0" w:color="D9D9D9"/>
              <w:right w:val="single" w:sz="4" w:space="0" w:color="D9D9D9"/>
            </w:tcBorders>
            <w:noWrap/>
            <w:vAlign w:val="center"/>
            <w:hideMark/>
          </w:tcPr>
          <w:p w14:paraId="5715C51F" w14:textId="77777777" w:rsidR="000849E0" w:rsidRPr="000849E0" w:rsidRDefault="000849E0" w:rsidP="00EE1723">
            <w:pPr>
              <w:jc w:val="center"/>
              <w:rPr>
                <w:rFonts w:eastAsia="Aptos"/>
                <w:b/>
                <w:i/>
                <w:color w:val="0E2841"/>
                <w:kern w:val="2"/>
                <w:sz w:val="18"/>
                <w:szCs w:val="18"/>
              </w:rPr>
            </w:pPr>
            <w:r w:rsidRPr="000849E0">
              <w:rPr>
                <w:rFonts w:eastAsia="Aptos"/>
                <w:b/>
                <w:i/>
                <w:color w:val="0E2841"/>
                <w:kern w:val="2"/>
                <w:sz w:val="18"/>
                <w:szCs w:val="18"/>
              </w:rPr>
              <w:t>Technology</w:t>
            </w:r>
          </w:p>
        </w:tc>
        <w:tc>
          <w:tcPr>
            <w:tcW w:w="1026" w:type="dxa"/>
            <w:tcBorders>
              <w:top w:val="single" w:sz="4" w:space="0" w:color="D9D9D9"/>
              <w:left w:val="nil"/>
              <w:bottom w:val="single" w:sz="4" w:space="0" w:color="D9D9D9"/>
              <w:right w:val="single" w:sz="4" w:space="0" w:color="D9D9D9"/>
            </w:tcBorders>
            <w:vAlign w:val="center"/>
            <w:hideMark/>
          </w:tcPr>
          <w:p w14:paraId="7938169E" w14:textId="77777777" w:rsidR="000849E0" w:rsidRPr="000849E0" w:rsidRDefault="000849E0" w:rsidP="00EE1723">
            <w:pPr>
              <w:jc w:val="center"/>
              <w:rPr>
                <w:rFonts w:eastAsia="Aptos"/>
                <w:b/>
                <w:i/>
                <w:color w:val="0E2841"/>
                <w:kern w:val="2"/>
                <w:sz w:val="18"/>
                <w:szCs w:val="18"/>
              </w:rPr>
            </w:pPr>
            <w:r w:rsidRPr="000849E0">
              <w:rPr>
                <w:rFonts w:eastAsia="Aptos"/>
                <w:b/>
                <w:i/>
                <w:color w:val="0E2841"/>
                <w:kern w:val="2"/>
                <w:sz w:val="18"/>
                <w:szCs w:val="18"/>
              </w:rPr>
              <w:t>Sub-technology</w:t>
            </w:r>
          </w:p>
        </w:tc>
        <w:tc>
          <w:tcPr>
            <w:tcW w:w="687" w:type="dxa"/>
            <w:tcBorders>
              <w:top w:val="single" w:sz="4" w:space="0" w:color="D9D9D9"/>
              <w:left w:val="nil"/>
              <w:bottom w:val="single" w:sz="4" w:space="0" w:color="D9D9D9"/>
              <w:right w:val="single" w:sz="4" w:space="0" w:color="D9D9D9"/>
            </w:tcBorders>
            <w:vAlign w:val="center"/>
            <w:hideMark/>
          </w:tcPr>
          <w:p w14:paraId="77C89BDD" w14:textId="77777777" w:rsidR="000849E0" w:rsidRPr="000849E0" w:rsidRDefault="000849E0" w:rsidP="00EE1723">
            <w:pPr>
              <w:jc w:val="center"/>
              <w:rPr>
                <w:rFonts w:eastAsia="Aptos"/>
                <w:b/>
                <w:i/>
                <w:color w:val="0E2841"/>
                <w:kern w:val="2"/>
                <w:sz w:val="18"/>
                <w:szCs w:val="18"/>
              </w:rPr>
            </w:pPr>
            <w:r w:rsidRPr="000849E0">
              <w:rPr>
                <w:rFonts w:eastAsia="Aptos"/>
                <w:b/>
                <w:i/>
                <w:color w:val="0E2841"/>
                <w:kern w:val="2"/>
                <w:sz w:val="18"/>
                <w:szCs w:val="18"/>
              </w:rPr>
              <w:t>Minor metal</w:t>
            </w:r>
          </w:p>
        </w:tc>
        <w:tc>
          <w:tcPr>
            <w:tcW w:w="1264" w:type="dxa"/>
            <w:tcBorders>
              <w:top w:val="single" w:sz="4" w:space="0" w:color="D9D9D9"/>
              <w:left w:val="nil"/>
              <w:bottom w:val="single" w:sz="4" w:space="0" w:color="D9D9D9"/>
              <w:right w:val="single" w:sz="4" w:space="0" w:color="D9D9D9"/>
            </w:tcBorders>
            <w:vAlign w:val="center"/>
            <w:hideMark/>
          </w:tcPr>
          <w:p w14:paraId="66105FD9" w14:textId="77777777" w:rsidR="000849E0" w:rsidRPr="000849E0" w:rsidRDefault="000849E0" w:rsidP="00EE1723">
            <w:pPr>
              <w:jc w:val="center"/>
              <w:rPr>
                <w:rFonts w:eastAsia="Aptos"/>
                <w:b/>
                <w:i/>
                <w:color w:val="0E2841"/>
                <w:kern w:val="2"/>
                <w:sz w:val="18"/>
                <w:szCs w:val="18"/>
              </w:rPr>
            </w:pPr>
            <w:r w:rsidRPr="000849E0">
              <w:rPr>
                <w:rFonts w:eastAsia="Aptos"/>
                <w:b/>
                <w:i/>
                <w:color w:val="0E2841"/>
                <w:kern w:val="2"/>
                <w:sz w:val="18"/>
                <w:szCs w:val="18"/>
              </w:rPr>
              <w:t>Baseline</w:t>
            </w:r>
          </w:p>
        </w:tc>
        <w:tc>
          <w:tcPr>
            <w:tcW w:w="1276" w:type="dxa"/>
            <w:tcBorders>
              <w:top w:val="single" w:sz="4" w:space="0" w:color="D9D9D9"/>
              <w:left w:val="nil"/>
              <w:bottom w:val="single" w:sz="4" w:space="0" w:color="D9D9D9"/>
              <w:right w:val="single" w:sz="4" w:space="0" w:color="D9D9D9"/>
            </w:tcBorders>
            <w:vAlign w:val="center"/>
            <w:hideMark/>
          </w:tcPr>
          <w:p w14:paraId="1D39FDB2" w14:textId="77777777" w:rsidR="000849E0" w:rsidRPr="000849E0" w:rsidRDefault="000849E0" w:rsidP="00EE1723">
            <w:pPr>
              <w:jc w:val="center"/>
              <w:rPr>
                <w:rFonts w:eastAsia="Aptos"/>
                <w:b/>
                <w:i/>
                <w:color w:val="0E2841"/>
                <w:kern w:val="2"/>
                <w:sz w:val="18"/>
                <w:szCs w:val="18"/>
              </w:rPr>
            </w:pPr>
            <w:r w:rsidRPr="000849E0">
              <w:rPr>
                <w:rFonts w:eastAsia="Aptos"/>
                <w:b/>
                <w:i/>
                <w:color w:val="0E2841"/>
                <w:kern w:val="2"/>
                <w:sz w:val="18"/>
                <w:szCs w:val="18"/>
              </w:rPr>
              <w:t>Lifespan expansion</w:t>
            </w:r>
          </w:p>
        </w:tc>
        <w:tc>
          <w:tcPr>
            <w:tcW w:w="1276" w:type="dxa"/>
            <w:tcBorders>
              <w:top w:val="single" w:sz="4" w:space="0" w:color="D9D9D9"/>
              <w:left w:val="nil"/>
              <w:bottom w:val="single" w:sz="4" w:space="0" w:color="D9D9D9"/>
              <w:right w:val="single" w:sz="4" w:space="0" w:color="D9D9D9"/>
            </w:tcBorders>
            <w:vAlign w:val="center"/>
            <w:hideMark/>
          </w:tcPr>
          <w:p w14:paraId="54C664CA" w14:textId="77777777" w:rsidR="000849E0" w:rsidRPr="000849E0" w:rsidRDefault="000849E0" w:rsidP="00EE1723">
            <w:pPr>
              <w:jc w:val="center"/>
              <w:rPr>
                <w:rFonts w:eastAsia="Aptos"/>
                <w:b/>
                <w:i/>
                <w:color w:val="0E2841"/>
                <w:kern w:val="2"/>
                <w:sz w:val="18"/>
                <w:szCs w:val="18"/>
              </w:rPr>
            </w:pPr>
            <w:r w:rsidRPr="000849E0">
              <w:rPr>
                <w:rFonts w:eastAsia="Aptos"/>
                <w:b/>
                <w:i/>
                <w:color w:val="0E2841"/>
                <w:kern w:val="2"/>
                <w:sz w:val="18"/>
                <w:szCs w:val="18"/>
              </w:rPr>
              <w:t>MI reduction</w:t>
            </w:r>
          </w:p>
        </w:tc>
        <w:tc>
          <w:tcPr>
            <w:tcW w:w="1275" w:type="dxa"/>
            <w:tcBorders>
              <w:top w:val="single" w:sz="4" w:space="0" w:color="D9D9D9"/>
              <w:left w:val="nil"/>
              <w:bottom w:val="single" w:sz="4" w:space="0" w:color="D9D9D9"/>
              <w:right w:val="single" w:sz="4" w:space="0" w:color="D9D9D9"/>
            </w:tcBorders>
            <w:vAlign w:val="center"/>
            <w:hideMark/>
          </w:tcPr>
          <w:p w14:paraId="5A156C07" w14:textId="77777777" w:rsidR="000849E0" w:rsidRPr="000849E0" w:rsidRDefault="000849E0" w:rsidP="00EE1723">
            <w:pPr>
              <w:jc w:val="center"/>
              <w:rPr>
                <w:rFonts w:eastAsia="Aptos"/>
                <w:b/>
                <w:i/>
                <w:color w:val="0E2841"/>
                <w:kern w:val="2"/>
                <w:sz w:val="18"/>
                <w:szCs w:val="18"/>
              </w:rPr>
            </w:pPr>
            <w:r w:rsidRPr="000849E0">
              <w:rPr>
                <w:rFonts w:eastAsia="Aptos"/>
                <w:b/>
                <w:i/>
                <w:color w:val="0E2841"/>
                <w:kern w:val="2"/>
                <w:sz w:val="18"/>
                <w:szCs w:val="18"/>
              </w:rPr>
              <w:t>Substitution</w:t>
            </w:r>
          </w:p>
        </w:tc>
        <w:tc>
          <w:tcPr>
            <w:tcW w:w="1134" w:type="dxa"/>
            <w:tcBorders>
              <w:top w:val="single" w:sz="4" w:space="0" w:color="D9D9D9"/>
              <w:left w:val="nil"/>
              <w:bottom w:val="single" w:sz="4" w:space="0" w:color="D9D9D9"/>
              <w:right w:val="single" w:sz="4" w:space="0" w:color="D9D9D9"/>
            </w:tcBorders>
            <w:vAlign w:val="center"/>
            <w:hideMark/>
          </w:tcPr>
          <w:p w14:paraId="02DE2FCC" w14:textId="77777777" w:rsidR="000849E0" w:rsidRPr="000849E0" w:rsidRDefault="000849E0" w:rsidP="00EE1723">
            <w:pPr>
              <w:jc w:val="center"/>
              <w:rPr>
                <w:rFonts w:eastAsia="Aptos"/>
                <w:b/>
                <w:i/>
                <w:color w:val="0E2841"/>
                <w:kern w:val="2"/>
                <w:sz w:val="18"/>
                <w:szCs w:val="18"/>
              </w:rPr>
            </w:pPr>
            <w:r w:rsidRPr="000849E0">
              <w:rPr>
                <w:rFonts w:eastAsia="Aptos"/>
                <w:b/>
                <w:i/>
                <w:color w:val="0E2841"/>
                <w:kern w:val="2"/>
                <w:sz w:val="18"/>
                <w:szCs w:val="18"/>
              </w:rPr>
              <w:t>Composite</w:t>
            </w:r>
          </w:p>
        </w:tc>
      </w:tr>
      <w:tr w:rsidR="000849E0" w:rsidRPr="000849E0" w14:paraId="4948E665" w14:textId="77777777" w:rsidTr="00713197">
        <w:trPr>
          <w:trHeight w:val="380"/>
        </w:trPr>
        <w:tc>
          <w:tcPr>
            <w:tcW w:w="1129" w:type="dxa"/>
            <w:vMerge w:val="restart"/>
            <w:tcBorders>
              <w:top w:val="nil"/>
              <w:left w:val="single" w:sz="4" w:space="0" w:color="D9D9D9"/>
              <w:bottom w:val="single" w:sz="4" w:space="0" w:color="D9D9D9"/>
              <w:right w:val="single" w:sz="4" w:space="0" w:color="D9D9D9"/>
            </w:tcBorders>
            <w:vAlign w:val="center"/>
            <w:hideMark/>
          </w:tcPr>
          <w:p w14:paraId="41F9F040" w14:textId="77777777" w:rsidR="000849E0" w:rsidRPr="000849E0" w:rsidRDefault="000849E0" w:rsidP="00EE1723">
            <w:pPr>
              <w:jc w:val="center"/>
              <w:rPr>
                <w:rFonts w:eastAsia="Aptos"/>
                <w:b/>
                <w:i/>
                <w:color w:val="0E2841"/>
                <w:kern w:val="2"/>
                <w:sz w:val="18"/>
                <w:szCs w:val="18"/>
              </w:rPr>
            </w:pPr>
            <w:r w:rsidRPr="000849E0">
              <w:rPr>
                <w:rFonts w:eastAsia="Aptos"/>
                <w:b/>
                <w:i/>
                <w:color w:val="0E2841"/>
                <w:kern w:val="2"/>
                <w:sz w:val="18"/>
                <w:szCs w:val="18"/>
              </w:rPr>
              <w:t>Wind</w:t>
            </w:r>
            <w:r w:rsidRPr="000849E0">
              <w:rPr>
                <w:rFonts w:eastAsia="Aptos"/>
                <w:b/>
                <w:i/>
                <w:color w:val="0E2841"/>
                <w:kern w:val="2"/>
                <w:sz w:val="18"/>
                <w:szCs w:val="18"/>
              </w:rPr>
              <w:br/>
              <w:t>(onshore &amp;</w:t>
            </w:r>
            <w:r w:rsidRPr="000849E0">
              <w:rPr>
                <w:rFonts w:eastAsia="Aptos"/>
                <w:b/>
                <w:i/>
                <w:color w:val="0E2841"/>
                <w:kern w:val="2"/>
                <w:sz w:val="18"/>
                <w:szCs w:val="18"/>
              </w:rPr>
              <w:br/>
              <w:t>offshore)</w:t>
            </w:r>
          </w:p>
        </w:tc>
        <w:tc>
          <w:tcPr>
            <w:tcW w:w="1026" w:type="dxa"/>
            <w:vMerge w:val="restart"/>
            <w:tcBorders>
              <w:top w:val="nil"/>
              <w:left w:val="single" w:sz="4" w:space="0" w:color="D9D9D9"/>
              <w:bottom w:val="single" w:sz="4" w:space="0" w:color="D9D9D9"/>
              <w:right w:val="single" w:sz="4" w:space="0" w:color="D9D9D9"/>
            </w:tcBorders>
            <w:vAlign w:val="center"/>
            <w:hideMark/>
          </w:tcPr>
          <w:p w14:paraId="2C82A2D0" w14:textId="77777777" w:rsidR="000849E0" w:rsidRPr="000849E0" w:rsidRDefault="000849E0" w:rsidP="00EE1723">
            <w:pPr>
              <w:jc w:val="center"/>
              <w:rPr>
                <w:rFonts w:eastAsia="Aptos"/>
                <w:b/>
                <w:i/>
                <w:color w:val="0E2841"/>
                <w:kern w:val="2"/>
                <w:sz w:val="18"/>
                <w:szCs w:val="18"/>
              </w:rPr>
            </w:pPr>
            <w:r w:rsidRPr="000849E0">
              <w:rPr>
                <w:rFonts w:eastAsia="Aptos"/>
                <w:b/>
                <w:i/>
                <w:color w:val="0E2841"/>
                <w:kern w:val="2"/>
                <w:sz w:val="18"/>
                <w:szCs w:val="18"/>
              </w:rPr>
              <w:t>DD-PMSG &amp; GB-PMSG</w:t>
            </w:r>
          </w:p>
        </w:tc>
        <w:tc>
          <w:tcPr>
            <w:tcW w:w="687" w:type="dxa"/>
            <w:tcBorders>
              <w:top w:val="nil"/>
              <w:left w:val="nil"/>
              <w:bottom w:val="single" w:sz="4" w:space="0" w:color="D9D9D9"/>
              <w:right w:val="single" w:sz="4" w:space="0" w:color="D9D9D9"/>
            </w:tcBorders>
            <w:noWrap/>
            <w:vAlign w:val="center"/>
            <w:hideMark/>
          </w:tcPr>
          <w:p w14:paraId="2AACDE0E" w14:textId="77777777" w:rsidR="000849E0" w:rsidRPr="000849E0" w:rsidRDefault="000849E0" w:rsidP="00EE1723">
            <w:pPr>
              <w:jc w:val="center"/>
              <w:rPr>
                <w:rFonts w:eastAsia="Aptos"/>
                <w:b/>
                <w:i/>
                <w:color w:val="0E2841"/>
                <w:kern w:val="2"/>
                <w:sz w:val="18"/>
                <w:szCs w:val="18"/>
              </w:rPr>
            </w:pPr>
            <w:r w:rsidRPr="000849E0">
              <w:rPr>
                <w:rFonts w:eastAsia="Aptos"/>
                <w:b/>
                <w:i/>
                <w:color w:val="0E2841"/>
                <w:kern w:val="2"/>
                <w:sz w:val="18"/>
                <w:szCs w:val="18"/>
              </w:rPr>
              <w:t>Nd</w:t>
            </w:r>
          </w:p>
        </w:tc>
        <w:tc>
          <w:tcPr>
            <w:tcW w:w="1264" w:type="dxa"/>
            <w:tcBorders>
              <w:top w:val="nil"/>
              <w:left w:val="nil"/>
              <w:bottom w:val="single" w:sz="4" w:space="0" w:color="D9D9D9"/>
              <w:right w:val="single" w:sz="4" w:space="0" w:color="D9D9D9"/>
            </w:tcBorders>
            <w:noWrap/>
            <w:vAlign w:val="center"/>
            <w:hideMark/>
          </w:tcPr>
          <w:p w14:paraId="44CF866B" w14:textId="77777777" w:rsidR="000849E0" w:rsidRPr="003046FC" w:rsidRDefault="000849E0" w:rsidP="00EE1723">
            <w:pPr>
              <w:jc w:val="center"/>
              <w:rPr>
                <w:rFonts w:eastAsia="Aptos"/>
                <w:i/>
                <w:color w:val="0E2841"/>
                <w:kern w:val="2"/>
                <w:sz w:val="18"/>
                <w:szCs w:val="18"/>
              </w:rPr>
            </w:pPr>
            <w:proofErr w:type="gramStart"/>
            <w:r w:rsidRPr="003046FC">
              <w:rPr>
                <w:rFonts w:eastAsia="Aptos"/>
                <w:i/>
                <w:color w:val="0E2841"/>
                <w:kern w:val="2"/>
                <w:sz w:val="18"/>
                <w:szCs w:val="18"/>
              </w:rPr>
              <w:t>3254  (</w:t>
            </w:r>
            <w:proofErr w:type="gramEnd"/>
            <w:r w:rsidRPr="003046FC">
              <w:rPr>
                <w:rFonts w:eastAsia="Aptos"/>
                <w:i/>
                <w:color w:val="0E2841"/>
                <w:kern w:val="2"/>
                <w:sz w:val="18"/>
                <w:szCs w:val="18"/>
              </w:rPr>
              <w:t>-43%)</w:t>
            </w:r>
          </w:p>
        </w:tc>
        <w:tc>
          <w:tcPr>
            <w:tcW w:w="1276" w:type="dxa"/>
            <w:tcBorders>
              <w:top w:val="nil"/>
              <w:left w:val="nil"/>
              <w:bottom w:val="single" w:sz="4" w:space="0" w:color="D9D9D9"/>
              <w:right w:val="single" w:sz="4" w:space="0" w:color="D9D9D9"/>
            </w:tcBorders>
            <w:noWrap/>
            <w:vAlign w:val="center"/>
            <w:hideMark/>
          </w:tcPr>
          <w:p w14:paraId="68648DB6" w14:textId="77777777" w:rsidR="000849E0" w:rsidRPr="003046FC" w:rsidRDefault="000849E0" w:rsidP="00EE1723">
            <w:pPr>
              <w:jc w:val="center"/>
              <w:rPr>
                <w:rFonts w:eastAsia="Aptos"/>
                <w:i/>
                <w:color w:val="0E2841"/>
                <w:kern w:val="2"/>
                <w:sz w:val="18"/>
                <w:szCs w:val="18"/>
              </w:rPr>
            </w:pPr>
            <w:proofErr w:type="gramStart"/>
            <w:r w:rsidRPr="003046FC">
              <w:rPr>
                <w:rFonts w:eastAsia="Aptos"/>
                <w:i/>
                <w:color w:val="0E2841"/>
                <w:kern w:val="2"/>
                <w:sz w:val="18"/>
                <w:szCs w:val="18"/>
              </w:rPr>
              <w:t>3116  (</w:t>
            </w:r>
            <w:proofErr w:type="gramEnd"/>
            <w:r w:rsidRPr="003046FC">
              <w:rPr>
                <w:rFonts w:eastAsia="Aptos"/>
                <w:i/>
                <w:color w:val="0E2841"/>
                <w:kern w:val="2"/>
                <w:sz w:val="18"/>
                <w:szCs w:val="18"/>
              </w:rPr>
              <w:t>-43%)</w:t>
            </w:r>
          </w:p>
        </w:tc>
        <w:tc>
          <w:tcPr>
            <w:tcW w:w="1276" w:type="dxa"/>
            <w:tcBorders>
              <w:top w:val="nil"/>
              <w:left w:val="nil"/>
              <w:bottom w:val="single" w:sz="4" w:space="0" w:color="D9D9D9"/>
              <w:right w:val="single" w:sz="4" w:space="0" w:color="D9D9D9"/>
            </w:tcBorders>
            <w:noWrap/>
            <w:vAlign w:val="center"/>
            <w:hideMark/>
          </w:tcPr>
          <w:p w14:paraId="749D6CF6" w14:textId="77777777" w:rsidR="000849E0" w:rsidRPr="003046FC" w:rsidRDefault="000849E0" w:rsidP="00EE1723">
            <w:pPr>
              <w:jc w:val="center"/>
              <w:rPr>
                <w:rFonts w:eastAsia="Aptos"/>
                <w:i/>
                <w:color w:val="0E2841"/>
                <w:kern w:val="2"/>
                <w:sz w:val="18"/>
                <w:szCs w:val="18"/>
              </w:rPr>
            </w:pPr>
            <w:proofErr w:type="gramStart"/>
            <w:r w:rsidRPr="003046FC">
              <w:rPr>
                <w:rFonts w:eastAsia="Aptos"/>
                <w:i/>
                <w:color w:val="0E2841"/>
                <w:kern w:val="2"/>
                <w:sz w:val="18"/>
                <w:szCs w:val="18"/>
              </w:rPr>
              <w:t>2946  (</w:t>
            </w:r>
            <w:proofErr w:type="gramEnd"/>
            <w:r w:rsidRPr="003046FC">
              <w:rPr>
                <w:rFonts w:eastAsia="Aptos"/>
                <w:i/>
                <w:color w:val="0E2841"/>
                <w:kern w:val="2"/>
                <w:sz w:val="18"/>
                <w:szCs w:val="18"/>
              </w:rPr>
              <w:t>-37%)</w:t>
            </w:r>
          </w:p>
        </w:tc>
        <w:tc>
          <w:tcPr>
            <w:tcW w:w="1275" w:type="dxa"/>
            <w:tcBorders>
              <w:top w:val="nil"/>
              <w:left w:val="nil"/>
              <w:bottom w:val="single" w:sz="4" w:space="0" w:color="D9D9D9"/>
              <w:right w:val="single" w:sz="4" w:space="0" w:color="D9D9D9"/>
            </w:tcBorders>
            <w:noWrap/>
            <w:vAlign w:val="center"/>
            <w:hideMark/>
          </w:tcPr>
          <w:p w14:paraId="5669FE25" w14:textId="77777777" w:rsidR="000849E0" w:rsidRPr="003046FC" w:rsidRDefault="000849E0" w:rsidP="00EE1723">
            <w:pPr>
              <w:jc w:val="center"/>
              <w:rPr>
                <w:rFonts w:eastAsia="Aptos"/>
                <w:i/>
                <w:color w:val="0E2841"/>
                <w:kern w:val="2"/>
                <w:sz w:val="18"/>
                <w:szCs w:val="18"/>
              </w:rPr>
            </w:pPr>
            <w:proofErr w:type="gramStart"/>
            <w:r w:rsidRPr="003046FC">
              <w:rPr>
                <w:rFonts w:eastAsia="Aptos"/>
                <w:i/>
                <w:color w:val="0E2841"/>
                <w:kern w:val="2"/>
                <w:sz w:val="18"/>
                <w:szCs w:val="18"/>
              </w:rPr>
              <w:t>2271  (</w:t>
            </w:r>
            <w:proofErr w:type="gramEnd"/>
            <w:r w:rsidRPr="003046FC">
              <w:rPr>
                <w:rFonts w:eastAsia="Aptos"/>
                <w:i/>
                <w:color w:val="0E2841"/>
                <w:kern w:val="2"/>
                <w:sz w:val="18"/>
                <w:szCs w:val="18"/>
              </w:rPr>
              <w:t>-42%)</w:t>
            </w:r>
          </w:p>
        </w:tc>
        <w:tc>
          <w:tcPr>
            <w:tcW w:w="1134" w:type="dxa"/>
            <w:tcBorders>
              <w:top w:val="nil"/>
              <w:left w:val="nil"/>
              <w:bottom w:val="single" w:sz="4" w:space="0" w:color="D9D9D9"/>
              <w:right w:val="single" w:sz="4" w:space="0" w:color="D9D9D9"/>
            </w:tcBorders>
            <w:noWrap/>
            <w:vAlign w:val="center"/>
            <w:hideMark/>
          </w:tcPr>
          <w:p w14:paraId="3B47B71F" w14:textId="77777777" w:rsidR="000849E0" w:rsidRPr="003046FC" w:rsidRDefault="000849E0" w:rsidP="00EE1723">
            <w:pPr>
              <w:jc w:val="center"/>
              <w:rPr>
                <w:rFonts w:eastAsia="Aptos"/>
                <w:i/>
                <w:color w:val="0E2841"/>
                <w:kern w:val="2"/>
                <w:sz w:val="18"/>
                <w:szCs w:val="18"/>
              </w:rPr>
            </w:pPr>
            <w:proofErr w:type="gramStart"/>
            <w:r w:rsidRPr="003046FC">
              <w:rPr>
                <w:rFonts w:eastAsia="Aptos"/>
                <w:i/>
                <w:color w:val="0E2841"/>
                <w:kern w:val="2"/>
                <w:sz w:val="18"/>
                <w:szCs w:val="18"/>
              </w:rPr>
              <w:t>2007  (</w:t>
            </w:r>
            <w:proofErr w:type="gramEnd"/>
            <w:r w:rsidRPr="003046FC">
              <w:rPr>
                <w:rFonts w:eastAsia="Aptos"/>
                <w:i/>
                <w:color w:val="0E2841"/>
                <w:kern w:val="2"/>
                <w:sz w:val="18"/>
                <w:szCs w:val="18"/>
              </w:rPr>
              <w:t>-36%)</w:t>
            </w:r>
          </w:p>
        </w:tc>
      </w:tr>
      <w:tr w:rsidR="000849E0" w:rsidRPr="000849E0" w14:paraId="110ED257" w14:textId="77777777" w:rsidTr="00713197">
        <w:trPr>
          <w:trHeight w:val="360"/>
        </w:trPr>
        <w:tc>
          <w:tcPr>
            <w:tcW w:w="1129" w:type="dxa"/>
            <w:vMerge/>
            <w:tcBorders>
              <w:top w:val="nil"/>
              <w:left w:val="single" w:sz="4" w:space="0" w:color="D9D9D9"/>
              <w:bottom w:val="single" w:sz="4" w:space="0" w:color="D9D9D9"/>
              <w:right w:val="single" w:sz="4" w:space="0" w:color="D9D9D9"/>
            </w:tcBorders>
            <w:vAlign w:val="center"/>
            <w:hideMark/>
          </w:tcPr>
          <w:p w14:paraId="0CBB8B22" w14:textId="77777777" w:rsidR="000849E0" w:rsidRPr="00713197" w:rsidRDefault="000849E0" w:rsidP="00713197">
            <w:pPr>
              <w:jc w:val="center"/>
              <w:rPr>
                <w:rFonts w:eastAsia="Aptos"/>
                <w:b/>
                <w:i/>
                <w:color w:val="0E2841"/>
                <w:kern w:val="2"/>
                <w:sz w:val="18"/>
                <w:szCs w:val="18"/>
              </w:rPr>
            </w:pPr>
          </w:p>
        </w:tc>
        <w:tc>
          <w:tcPr>
            <w:tcW w:w="1026" w:type="dxa"/>
            <w:vMerge/>
            <w:tcBorders>
              <w:top w:val="nil"/>
              <w:left w:val="single" w:sz="4" w:space="0" w:color="D9D9D9"/>
              <w:bottom w:val="single" w:sz="4" w:space="0" w:color="D9D9D9"/>
              <w:right w:val="single" w:sz="4" w:space="0" w:color="D9D9D9"/>
            </w:tcBorders>
            <w:vAlign w:val="center"/>
            <w:hideMark/>
          </w:tcPr>
          <w:p w14:paraId="11D5540C" w14:textId="77777777" w:rsidR="000849E0" w:rsidRPr="00713197" w:rsidRDefault="000849E0" w:rsidP="00713197">
            <w:pPr>
              <w:jc w:val="center"/>
              <w:rPr>
                <w:rFonts w:eastAsia="Aptos"/>
                <w:b/>
                <w:i/>
                <w:color w:val="0E2841"/>
                <w:kern w:val="2"/>
                <w:sz w:val="18"/>
                <w:szCs w:val="18"/>
              </w:rPr>
            </w:pPr>
          </w:p>
        </w:tc>
        <w:tc>
          <w:tcPr>
            <w:tcW w:w="687" w:type="dxa"/>
            <w:tcBorders>
              <w:top w:val="nil"/>
              <w:left w:val="nil"/>
              <w:bottom w:val="single" w:sz="4" w:space="0" w:color="D9D9D9"/>
              <w:right w:val="single" w:sz="4" w:space="0" w:color="D9D9D9"/>
            </w:tcBorders>
            <w:noWrap/>
            <w:vAlign w:val="center"/>
            <w:hideMark/>
          </w:tcPr>
          <w:p w14:paraId="400608C8" w14:textId="77777777" w:rsidR="000849E0" w:rsidRPr="00713197" w:rsidRDefault="000849E0" w:rsidP="00713197">
            <w:pPr>
              <w:jc w:val="center"/>
              <w:rPr>
                <w:rFonts w:eastAsia="Aptos"/>
                <w:b/>
                <w:i/>
                <w:color w:val="0E2841"/>
                <w:kern w:val="2"/>
                <w:sz w:val="18"/>
                <w:szCs w:val="18"/>
              </w:rPr>
            </w:pPr>
            <w:proofErr w:type="spellStart"/>
            <w:r w:rsidRPr="00713197">
              <w:rPr>
                <w:rFonts w:eastAsia="Aptos"/>
                <w:b/>
                <w:i/>
                <w:color w:val="0E2841"/>
                <w:kern w:val="2"/>
                <w:sz w:val="18"/>
                <w:szCs w:val="18"/>
              </w:rPr>
              <w:t>Pr</w:t>
            </w:r>
            <w:proofErr w:type="spellEnd"/>
          </w:p>
        </w:tc>
        <w:tc>
          <w:tcPr>
            <w:tcW w:w="1264" w:type="dxa"/>
            <w:tcBorders>
              <w:top w:val="nil"/>
              <w:left w:val="nil"/>
              <w:bottom w:val="single" w:sz="4" w:space="0" w:color="D9D9D9"/>
              <w:right w:val="single" w:sz="4" w:space="0" w:color="D9D9D9"/>
            </w:tcBorders>
            <w:noWrap/>
            <w:vAlign w:val="center"/>
            <w:hideMark/>
          </w:tcPr>
          <w:p w14:paraId="428BB1E1"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649  (</w:t>
            </w:r>
            <w:proofErr w:type="gramEnd"/>
            <w:r w:rsidRPr="00713197">
              <w:rPr>
                <w:rFonts w:eastAsia="Aptos"/>
                <w:i/>
                <w:color w:val="0E2841"/>
                <w:kern w:val="2"/>
                <w:sz w:val="18"/>
                <w:szCs w:val="18"/>
              </w:rPr>
              <w:t>-43%)</w:t>
            </w:r>
          </w:p>
        </w:tc>
        <w:tc>
          <w:tcPr>
            <w:tcW w:w="1276" w:type="dxa"/>
            <w:tcBorders>
              <w:top w:val="nil"/>
              <w:left w:val="nil"/>
              <w:bottom w:val="single" w:sz="4" w:space="0" w:color="D9D9D9"/>
              <w:right w:val="single" w:sz="4" w:space="0" w:color="D9D9D9"/>
            </w:tcBorders>
            <w:noWrap/>
            <w:vAlign w:val="center"/>
            <w:hideMark/>
          </w:tcPr>
          <w:p w14:paraId="0433DAAF"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621  (</w:t>
            </w:r>
            <w:proofErr w:type="gramEnd"/>
            <w:r w:rsidRPr="00713197">
              <w:rPr>
                <w:rFonts w:eastAsia="Aptos"/>
                <w:i/>
                <w:color w:val="0E2841"/>
                <w:kern w:val="2"/>
                <w:sz w:val="18"/>
                <w:szCs w:val="18"/>
              </w:rPr>
              <w:t>-43%)</w:t>
            </w:r>
          </w:p>
        </w:tc>
        <w:tc>
          <w:tcPr>
            <w:tcW w:w="1276" w:type="dxa"/>
            <w:tcBorders>
              <w:top w:val="nil"/>
              <w:left w:val="nil"/>
              <w:bottom w:val="single" w:sz="4" w:space="0" w:color="D9D9D9"/>
              <w:right w:val="single" w:sz="4" w:space="0" w:color="D9D9D9"/>
            </w:tcBorders>
            <w:noWrap/>
            <w:vAlign w:val="center"/>
            <w:hideMark/>
          </w:tcPr>
          <w:p w14:paraId="54592C29"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587  (</w:t>
            </w:r>
            <w:proofErr w:type="gramEnd"/>
            <w:r w:rsidRPr="00713197">
              <w:rPr>
                <w:rFonts w:eastAsia="Aptos"/>
                <w:i/>
                <w:color w:val="0E2841"/>
                <w:kern w:val="2"/>
                <w:sz w:val="18"/>
                <w:szCs w:val="18"/>
              </w:rPr>
              <w:t>-37%)</w:t>
            </w:r>
          </w:p>
        </w:tc>
        <w:tc>
          <w:tcPr>
            <w:tcW w:w="1275" w:type="dxa"/>
            <w:tcBorders>
              <w:top w:val="nil"/>
              <w:left w:val="nil"/>
              <w:bottom w:val="single" w:sz="4" w:space="0" w:color="D9D9D9"/>
              <w:right w:val="single" w:sz="4" w:space="0" w:color="D9D9D9"/>
            </w:tcBorders>
            <w:noWrap/>
            <w:vAlign w:val="center"/>
            <w:hideMark/>
          </w:tcPr>
          <w:p w14:paraId="7C0010C2"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453  (</w:t>
            </w:r>
            <w:proofErr w:type="gramEnd"/>
            <w:r w:rsidRPr="00713197">
              <w:rPr>
                <w:rFonts w:eastAsia="Aptos"/>
                <w:i/>
                <w:color w:val="0E2841"/>
                <w:kern w:val="2"/>
                <w:sz w:val="18"/>
                <w:szCs w:val="18"/>
              </w:rPr>
              <w:t>-42%)</w:t>
            </w:r>
          </w:p>
        </w:tc>
        <w:tc>
          <w:tcPr>
            <w:tcW w:w="1134" w:type="dxa"/>
            <w:tcBorders>
              <w:top w:val="nil"/>
              <w:left w:val="nil"/>
              <w:bottom w:val="single" w:sz="4" w:space="0" w:color="D9D9D9"/>
              <w:right w:val="single" w:sz="4" w:space="0" w:color="D9D9D9"/>
            </w:tcBorders>
            <w:noWrap/>
            <w:vAlign w:val="center"/>
            <w:hideMark/>
          </w:tcPr>
          <w:p w14:paraId="298FE9F3"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400  (</w:t>
            </w:r>
            <w:proofErr w:type="gramEnd"/>
            <w:r w:rsidRPr="00713197">
              <w:rPr>
                <w:rFonts w:eastAsia="Aptos"/>
                <w:i/>
                <w:color w:val="0E2841"/>
                <w:kern w:val="2"/>
                <w:sz w:val="18"/>
                <w:szCs w:val="18"/>
              </w:rPr>
              <w:t>-36%)</w:t>
            </w:r>
          </w:p>
        </w:tc>
      </w:tr>
      <w:tr w:rsidR="000849E0" w:rsidRPr="000849E0" w14:paraId="15B5247D" w14:textId="77777777" w:rsidTr="00713197">
        <w:trPr>
          <w:trHeight w:val="340"/>
        </w:trPr>
        <w:tc>
          <w:tcPr>
            <w:tcW w:w="1129" w:type="dxa"/>
            <w:vMerge/>
            <w:tcBorders>
              <w:top w:val="nil"/>
              <w:left w:val="single" w:sz="4" w:space="0" w:color="D9D9D9"/>
              <w:bottom w:val="single" w:sz="4" w:space="0" w:color="D9D9D9"/>
              <w:right w:val="single" w:sz="4" w:space="0" w:color="D9D9D9"/>
            </w:tcBorders>
            <w:vAlign w:val="center"/>
            <w:hideMark/>
          </w:tcPr>
          <w:p w14:paraId="00A81CE4" w14:textId="77777777" w:rsidR="000849E0" w:rsidRPr="00713197" w:rsidRDefault="000849E0" w:rsidP="00713197">
            <w:pPr>
              <w:jc w:val="center"/>
              <w:rPr>
                <w:rFonts w:eastAsia="Aptos"/>
                <w:b/>
                <w:i/>
                <w:color w:val="0E2841"/>
                <w:kern w:val="2"/>
                <w:sz w:val="18"/>
                <w:szCs w:val="18"/>
              </w:rPr>
            </w:pPr>
          </w:p>
        </w:tc>
        <w:tc>
          <w:tcPr>
            <w:tcW w:w="1026" w:type="dxa"/>
            <w:vMerge/>
            <w:tcBorders>
              <w:top w:val="nil"/>
              <w:left w:val="single" w:sz="4" w:space="0" w:color="D9D9D9"/>
              <w:bottom w:val="single" w:sz="4" w:space="0" w:color="D9D9D9"/>
              <w:right w:val="single" w:sz="4" w:space="0" w:color="D9D9D9"/>
            </w:tcBorders>
            <w:vAlign w:val="center"/>
            <w:hideMark/>
          </w:tcPr>
          <w:p w14:paraId="4C68FCAB" w14:textId="77777777" w:rsidR="000849E0" w:rsidRPr="00713197" w:rsidRDefault="000849E0" w:rsidP="00713197">
            <w:pPr>
              <w:jc w:val="center"/>
              <w:rPr>
                <w:rFonts w:eastAsia="Aptos"/>
                <w:b/>
                <w:i/>
                <w:color w:val="0E2841"/>
                <w:kern w:val="2"/>
                <w:sz w:val="18"/>
                <w:szCs w:val="18"/>
              </w:rPr>
            </w:pPr>
          </w:p>
        </w:tc>
        <w:tc>
          <w:tcPr>
            <w:tcW w:w="687" w:type="dxa"/>
            <w:tcBorders>
              <w:top w:val="nil"/>
              <w:left w:val="nil"/>
              <w:bottom w:val="single" w:sz="4" w:space="0" w:color="D9D9D9"/>
              <w:right w:val="single" w:sz="4" w:space="0" w:color="D9D9D9"/>
            </w:tcBorders>
            <w:noWrap/>
            <w:vAlign w:val="center"/>
            <w:hideMark/>
          </w:tcPr>
          <w:p w14:paraId="72B1FB8B" w14:textId="77777777" w:rsidR="000849E0" w:rsidRPr="00713197" w:rsidRDefault="000849E0" w:rsidP="00713197">
            <w:pPr>
              <w:jc w:val="center"/>
              <w:rPr>
                <w:rFonts w:eastAsia="Aptos"/>
                <w:b/>
                <w:i/>
                <w:color w:val="0E2841"/>
                <w:kern w:val="2"/>
                <w:sz w:val="18"/>
                <w:szCs w:val="18"/>
              </w:rPr>
            </w:pPr>
            <w:r w:rsidRPr="00713197">
              <w:rPr>
                <w:rFonts w:eastAsia="Aptos"/>
                <w:b/>
                <w:i/>
                <w:color w:val="0E2841"/>
                <w:kern w:val="2"/>
                <w:sz w:val="18"/>
                <w:szCs w:val="18"/>
              </w:rPr>
              <w:t>Dy</w:t>
            </w:r>
          </w:p>
        </w:tc>
        <w:tc>
          <w:tcPr>
            <w:tcW w:w="1264" w:type="dxa"/>
            <w:tcBorders>
              <w:top w:val="nil"/>
              <w:left w:val="nil"/>
              <w:bottom w:val="single" w:sz="4" w:space="0" w:color="D9D9D9"/>
              <w:right w:val="single" w:sz="4" w:space="0" w:color="D9D9D9"/>
            </w:tcBorders>
            <w:noWrap/>
            <w:vAlign w:val="center"/>
            <w:hideMark/>
          </w:tcPr>
          <w:p w14:paraId="310BFD7B"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488  (</w:t>
            </w:r>
            <w:proofErr w:type="gramEnd"/>
            <w:r w:rsidRPr="00713197">
              <w:rPr>
                <w:rFonts w:eastAsia="Aptos"/>
                <w:i/>
                <w:color w:val="0E2841"/>
                <w:kern w:val="2"/>
                <w:sz w:val="18"/>
                <w:szCs w:val="18"/>
              </w:rPr>
              <w:t>-43%)</w:t>
            </w:r>
          </w:p>
        </w:tc>
        <w:tc>
          <w:tcPr>
            <w:tcW w:w="1276" w:type="dxa"/>
            <w:tcBorders>
              <w:top w:val="nil"/>
              <w:left w:val="nil"/>
              <w:bottom w:val="single" w:sz="4" w:space="0" w:color="D9D9D9"/>
              <w:right w:val="single" w:sz="4" w:space="0" w:color="D9D9D9"/>
            </w:tcBorders>
            <w:noWrap/>
            <w:vAlign w:val="center"/>
            <w:hideMark/>
          </w:tcPr>
          <w:p w14:paraId="3408266F"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467  (</w:t>
            </w:r>
            <w:proofErr w:type="gramEnd"/>
            <w:r w:rsidRPr="00713197">
              <w:rPr>
                <w:rFonts w:eastAsia="Aptos"/>
                <w:i/>
                <w:color w:val="0E2841"/>
                <w:kern w:val="2"/>
                <w:sz w:val="18"/>
                <w:szCs w:val="18"/>
              </w:rPr>
              <w:t>-43%)</w:t>
            </w:r>
          </w:p>
        </w:tc>
        <w:tc>
          <w:tcPr>
            <w:tcW w:w="1276" w:type="dxa"/>
            <w:tcBorders>
              <w:top w:val="nil"/>
              <w:left w:val="nil"/>
              <w:bottom w:val="single" w:sz="4" w:space="0" w:color="D9D9D9"/>
              <w:right w:val="single" w:sz="4" w:space="0" w:color="D9D9D9"/>
            </w:tcBorders>
            <w:noWrap/>
            <w:vAlign w:val="center"/>
            <w:hideMark/>
          </w:tcPr>
          <w:p w14:paraId="37B7467E"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375  (</w:t>
            </w:r>
            <w:proofErr w:type="gramEnd"/>
            <w:r w:rsidRPr="00713197">
              <w:rPr>
                <w:rFonts w:eastAsia="Aptos"/>
                <w:i/>
                <w:color w:val="0E2841"/>
                <w:kern w:val="2"/>
                <w:sz w:val="18"/>
                <w:szCs w:val="18"/>
              </w:rPr>
              <w:t>-37%)</w:t>
            </w:r>
          </w:p>
        </w:tc>
        <w:tc>
          <w:tcPr>
            <w:tcW w:w="1275" w:type="dxa"/>
            <w:tcBorders>
              <w:top w:val="nil"/>
              <w:left w:val="nil"/>
              <w:bottom w:val="single" w:sz="4" w:space="0" w:color="D9D9D9"/>
              <w:right w:val="single" w:sz="4" w:space="0" w:color="D9D9D9"/>
            </w:tcBorders>
            <w:noWrap/>
            <w:vAlign w:val="center"/>
            <w:hideMark/>
          </w:tcPr>
          <w:p w14:paraId="0D182545"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341  (</w:t>
            </w:r>
            <w:proofErr w:type="gramEnd"/>
            <w:r w:rsidRPr="00713197">
              <w:rPr>
                <w:rFonts w:eastAsia="Aptos"/>
                <w:i/>
                <w:color w:val="0E2841"/>
                <w:kern w:val="2"/>
                <w:sz w:val="18"/>
                <w:szCs w:val="18"/>
              </w:rPr>
              <w:t>-42%)</w:t>
            </w:r>
          </w:p>
        </w:tc>
        <w:tc>
          <w:tcPr>
            <w:tcW w:w="1134" w:type="dxa"/>
            <w:tcBorders>
              <w:top w:val="nil"/>
              <w:left w:val="nil"/>
              <w:bottom w:val="single" w:sz="4" w:space="0" w:color="D9D9D9"/>
              <w:right w:val="single" w:sz="4" w:space="0" w:color="D9D9D9"/>
            </w:tcBorders>
            <w:noWrap/>
            <w:vAlign w:val="center"/>
            <w:hideMark/>
          </w:tcPr>
          <w:p w14:paraId="725A8535"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260  (</w:t>
            </w:r>
            <w:proofErr w:type="gramEnd"/>
            <w:r w:rsidRPr="00713197">
              <w:rPr>
                <w:rFonts w:eastAsia="Aptos"/>
                <w:i/>
                <w:color w:val="0E2841"/>
                <w:kern w:val="2"/>
                <w:sz w:val="18"/>
                <w:szCs w:val="18"/>
              </w:rPr>
              <w:t>-36%)</w:t>
            </w:r>
          </w:p>
        </w:tc>
      </w:tr>
      <w:tr w:rsidR="000849E0" w:rsidRPr="000849E0" w14:paraId="3B15F7A4" w14:textId="77777777" w:rsidTr="00713197">
        <w:trPr>
          <w:trHeight w:val="360"/>
        </w:trPr>
        <w:tc>
          <w:tcPr>
            <w:tcW w:w="1129" w:type="dxa"/>
            <w:vMerge/>
            <w:tcBorders>
              <w:top w:val="nil"/>
              <w:left w:val="single" w:sz="4" w:space="0" w:color="D9D9D9"/>
              <w:bottom w:val="single" w:sz="4" w:space="0" w:color="D9D9D9"/>
              <w:right w:val="single" w:sz="4" w:space="0" w:color="D9D9D9"/>
            </w:tcBorders>
            <w:vAlign w:val="center"/>
            <w:hideMark/>
          </w:tcPr>
          <w:p w14:paraId="614587FB" w14:textId="77777777" w:rsidR="000849E0" w:rsidRPr="00713197" w:rsidRDefault="000849E0" w:rsidP="00713197">
            <w:pPr>
              <w:jc w:val="center"/>
              <w:rPr>
                <w:rFonts w:eastAsia="Aptos"/>
                <w:b/>
                <w:i/>
                <w:color w:val="0E2841"/>
                <w:kern w:val="2"/>
                <w:sz w:val="18"/>
                <w:szCs w:val="18"/>
              </w:rPr>
            </w:pPr>
          </w:p>
        </w:tc>
        <w:tc>
          <w:tcPr>
            <w:tcW w:w="1026" w:type="dxa"/>
            <w:vMerge/>
            <w:tcBorders>
              <w:top w:val="nil"/>
              <w:left w:val="single" w:sz="4" w:space="0" w:color="D9D9D9"/>
              <w:bottom w:val="single" w:sz="4" w:space="0" w:color="D9D9D9"/>
              <w:right w:val="single" w:sz="4" w:space="0" w:color="D9D9D9"/>
            </w:tcBorders>
            <w:vAlign w:val="center"/>
            <w:hideMark/>
          </w:tcPr>
          <w:p w14:paraId="437E8758" w14:textId="77777777" w:rsidR="000849E0" w:rsidRPr="00713197" w:rsidRDefault="000849E0" w:rsidP="00713197">
            <w:pPr>
              <w:jc w:val="center"/>
              <w:rPr>
                <w:rFonts w:eastAsia="Aptos"/>
                <w:b/>
                <w:i/>
                <w:color w:val="0E2841"/>
                <w:kern w:val="2"/>
                <w:sz w:val="18"/>
                <w:szCs w:val="18"/>
              </w:rPr>
            </w:pPr>
          </w:p>
        </w:tc>
        <w:tc>
          <w:tcPr>
            <w:tcW w:w="687" w:type="dxa"/>
            <w:tcBorders>
              <w:top w:val="nil"/>
              <w:left w:val="nil"/>
              <w:bottom w:val="single" w:sz="4" w:space="0" w:color="D9D9D9"/>
              <w:right w:val="single" w:sz="4" w:space="0" w:color="D9D9D9"/>
            </w:tcBorders>
            <w:noWrap/>
            <w:vAlign w:val="center"/>
            <w:hideMark/>
          </w:tcPr>
          <w:p w14:paraId="681B08AB" w14:textId="77777777" w:rsidR="000849E0" w:rsidRPr="00713197" w:rsidRDefault="000849E0" w:rsidP="00713197">
            <w:pPr>
              <w:jc w:val="center"/>
              <w:rPr>
                <w:rFonts w:eastAsia="Aptos"/>
                <w:b/>
                <w:i/>
                <w:color w:val="0E2841"/>
                <w:kern w:val="2"/>
                <w:sz w:val="18"/>
                <w:szCs w:val="18"/>
              </w:rPr>
            </w:pPr>
            <w:r w:rsidRPr="00713197">
              <w:rPr>
                <w:rFonts w:eastAsia="Aptos"/>
                <w:b/>
                <w:i/>
                <w:color w:val="0E2841"/>
                <w:kern w:val="2"/>
                <w:sz w:val="18"/>
                <w:szCs w:val="18"/>
              </w:rPr>
              <w:t>Tb</w:t>
            </w:r>
          </w:p>
        </w:tc>
        <w:tc>
          <w:tcPr>
            <w:tcW w:w="1264" w:type="dxa"/>
            <w:tcBorders>
              <w:top w:val="nil"/>
              <w:left w:val="nil"/>
              <w:bottom w:val="single" w:sz="4" w:space="0" w:color="D9D9D9"/>
              <w:right w:val="single" w:sz="4" w:space="0" w:color="D9D9D9"/>
            </w:tcBorders>
            <w:noWrap/>
            <w:vAlign w:val="center"/>
            <w:hideMark/>
          </w:tcPr>
          <w:p w14:paraId="70286FD2"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108  (</w:t>
            </w:r>
            <w:proofErr w:type="gramEnd"/>
            <w:r w:rsidRPr="00713197">
              <w:rPr>
                <w:rFonts w:eastAsia="Aptos"/>
                <w:i/>
                <w:color w:val="0E2841"/>
                <w:kern w:val="2"/>
                <w:sz w:val="18"/>
                <w:szCs w:val="18"/>
              </w:rPr>
              <w:t>-42%)</w:t>
            </w:r>
          </w:p>
        </w:tc>
        <w:tc>
          <w:tcPr>
            <w:tcW w:w="1276" w:type="dxa"/>
            <w:tcBorders>
              <w:top w:val="nil"/>
              <w:left w:val="nil"/>
              <w:bottom w:val="single" w:sz="4" w:space="0" w:color="D9D9D9"/>
              <w:right w:val="single" w:sz="4" w:space="0" w:color="D9D9D9"/>
            </w:tcBorders>
            <w:noWrap/>
            <w:vAlign w:val="center"/>
            <w:hideMark/>
          </w:tcPr>
          <w:p w14:paraId="5A56B41D"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104  (</w:t>
            </w:r>
            <w:proofErr w:type="gramEnd"/>
            <w:r w:rsidRPr="00713197">
              <w:rPr>
                <w:rFonts w:eastAsia="Aptos"/>
                <w:i/>
                <w:color w:val="0E2841"/>
                <w:kern w:val="2"/>
                <w:sz w:val="18"/>
                <w:szCs w:val="18"/>
              </w:rPr>
              <w:t>-43%)</w:t>
            </w:r>
          </w:p>
        </w:tc>
        <w:tc>
          <w:tcPr>
            <w:tcW w:w="1276" w:type="dxa"/>
            <w:tcBorders>
              <w:top w:val="nil"/>
              <w:left w:val="nil"/>
              <w:bottom w:val="single" w:sz="4" w:space="0" w:color="D9D9D9"/>
              <w:right w:val="single" w:sz="4" w:space="0" w:color="D9D9D9"/>
            </w:tcBorders>
            <w:noWrap/>
            <w:vAlign w:val="center"/>
            <w:hideMark/>
          </w:tcPr>
          <w:p w14:paraId="4B489ADF"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83  (</w:t>
            </w:r>
            <w:proofErr w:type="gramEnd"/>
            <w:r w:rsidRPr="00713197">
              <w:rPr>
                <w:rFonts w:eastAsia="Aptos"/>
                <w:i/>
                <w:color w:val="0E2841"/>
                <w:kern w:val="2"/>
                <w:sz w:val="18"/>
                <w:szCs w:val="18"/>
              </w:rPr>
              <w:t>-36%)</w:t>
            </w:r>
          </w:p>
        </w:tc>
        <w:tc>
          <w:tcPr>
            <w:tcW w:w="1275" w:type="dxa"/>
            <w:tcBorders>
              <w:top w:val="nil"/>
              <w:left w:val="nil"/>
              <w:bottom w:val="single" w:sz="4" w:space="0" w:color="D9D9D9"/>
              <w:right w:val="single" w:sz="4" w:space="0" w:color="D9D9D9"/>
            </w:tcBorders>
            <w:noWrap/>
            <w:vAlign w:val="center"/>
            <w:hideMark/>
          </w:tcPr>
          <w:p w14:paraId="3B6A2ACA"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74  (</w:t>
            </w:r>
            <w:proofErr w:type="gramEnd"/>
            <w:r w:rsidRPr="00713197">
              <w:rPr>
                <w:rFonts w:eastAsia="Aptos"/>
                <w:i/>
                <w:color w:val="0E2841"/>
                <w:kern w:val="2"/>
                <w:sz w:val="18"/>
                <w:szCs w:val="18"/>
              </w:rPr>
              <w:t>-42%)</w:t>
            </w:r>
          </w:p>
        </w:tc>
        <w:tc>
          <w:tcPr>
            <w:tcW w:w="1134" w:type="dxa"/>
            <w:tcBorders>
              <w:top w:val="nil"/>
              <w:left w:val="nil"/>
              <w:bottom w:val="single" w:sz="4" w:space="0" w:color="D9D9D9"/>
              <w:right w:val="single" w:sz="4" w:space="0" w:color="D9D9D9"/>
            </w:tcBorders>
            <w:noWrap/>
            <w:vAlign w:val="center"/>
            <w:hideMark/>
          </w:tcPr>
          <w:p w14:paraId="72F84FB0"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58  (</w:t>
            </w:r>
            <w:proofErr w:type="gramEnd"/>
            <w:r w:rsidRPr="00713197">
              <w:rPr>
                <w:rFonts w:eastAsia="Aptos"/>
                <w:i/>
                <w:color w:val="0E2841"/>
                <w:kern w:val="2"/>
                <w:sz w:val="18"/>
                <w:szCs w:val="18"/>
              </w:rPr>
              <w:t>-35%)</w:t>
            </w:r>
          </w:p>
        </w:tc>
      </w:tr>
      <w:tr w:rsidR="000849E0" w:rsidRPr="000849E0" w14:paraId="3BBEE4ED" w14:textId="77777777" w:rsidTr="00713197">
        <w:trPr>
          <w:trHeight w:val="360"/>
        </w:trPr>
        <w:tc>
          <w:tcPr>
            <w:tcW w:w="1129" w:type="dxa"/>
            <w:vMerge w:val="restart"/>
            <w:tcBorders>
              <w:top w:val="nil"/>
              <w:left w:val="single" w:sz="4" w:space="0" w:color="D9D9D9"/>
              <w:bottom w:val="single" w:sz="4" w:space="0" w:color="D9D9D9"/>
              <w:right w:val="single" w:sz="4" w:space="0" w:color="D9D9D9"/>
            </w:tcBorders>
            <w:vAlign w:val="center"/>
            <w:hideMark/>
          </w:tcPr>
          <w:p w14:paraId="54CA2D36" w14:textId="77777777" w:rsidR="000849E0" w:rsidRPr="003046FC" w:rsidRDefault="000849E0" w:rsidP="00EE1723">
            <w:pPr>
              <w:jc w:val="center"/>
              <w:rPr>
                <w:rFonts w:eastAsia="Aptos"/>
                <w:b/>
                <w:i/>
                <w:color w:val="0E2841"/>
                <w:kern w:val="2"/>
                <w:sz w:val="18"/>
                <w:szCs w:val="18"/>
              </w:rPr>
            </w:pPr>
            <w:r w:rsidRPr="003046FC">
              <w:rPr>
                <w:rFonts w:eastAsia="Aptos"/>
                <w:b/>
                <w:i/>
                <w:color w:val="0E2841"/>
                <w:kern w:val="2"/>
                <w:sz w:val="18"/>
                <w:szCs w:val="18"/>
              </w:rPr>
              <w:t>Solar PV (distributed &amp; centralized)</w:t>
            </w:r>
          </w:p>
        </w:tc>
        <w:tc>
          <w:tcPr>
            <w:tcW w:w="1026" w:type="dxa"/>
            <w:tcBorders>
              <w:top w:val="nil"/>
              <w:left w:val="nil"/>
              <w:bottom w:val="single" w:sz="4" w:space="0" w:color="D9D9D9"/>
              <w:right w:val="single" w:sz="4" w:space="0" w:color="D9D9D9"/>
            </w:tcBorders>
            <w:noWrap/>
            <w:vAlign w:val="center"/>
            <w:hideMark/>
          </w:tcPr>
          <w:p w14:paraId="6B355A44" w14:textId="77777777" w:rsidR="000849E0" w:rsidRPr="003046FC" w:rsidRDefault="000849E0" w:rsidP="00EE1723">
            <w:pPr>
              <w:jc w:val="center"/>
              <w:rPr>
                <w:rFonts w:eastAsia="Aptos"/>
                <w:b/>
                <w:i/>
                <w:color w:val="0E2841"/>
                <w:kern w:val="2"/>
                <w:sz w:val="18"/>
                <w:szCs w:val="18"/>
              </w:rPr>
            </w:pPr>
            <w:r w:rsidRPr="003046FC">
              <w:rPr>
                <w:rFonts w:eastAsia="Aptos"/>
                <w:b/>
                <w:i/>
                <w:color w:val="0E2841"/>
                <w:kern w:val="2"/>
                <w:sz w:val="18"/>
                <w:szCs w:val="18"/>
              </w:rPr>
              <w:t>c-Si</w:t>
            </w:r>
          </w:p>
        </w:tc>
        <w:tc>
          <w:tcPr>
            <w:tcW w:w="687" w:type="dxa"/>
            <w:tcBorders>
              <w:top w:val="nil"/>
              <w:left w:val="nil"/>
              <w:bottom w:val="single" w:sz="4" w:space="0" w:color="D9D9D9"/>
              <w:right w:val="single" w:sz="4" w:space="0" w:color="D9D9D9"/>
            </w:tcBorders>
            <w:noWrap/>
            <w:vAlign w:val="center"/>
            <w:hideMark/>
          </w:tcPr>
          <w:p w14:paraId="78D4C0E3" w14:textId="77777777" w:rsidR="000849E0" w:rsidRPr="003046FC" w:rsidRDefault="000849E0" w:rsidP="00EE1723">
            <w:pPr>
              <w:jc w:val="center"/>
              <w:rPr>
                <w:rFonts w:eastAsia="Aptos"/>
                <w:b/>
                <w:i/>
                <w:color w:val="0E2841"/>
                <w:kern w:val="2"/>
                <w:sz w:val="18"/>
                <w:szCs w:val="18"/>
              </w:rPr>
            </w:pPr>
            <w:r w:rsidRPr="003046FC">
              <w:rPr>
                <w:rFonts w:eastAsia="Aptos"/>
                <w:b/>
                <w:i/>
                <w:color w:val="0E2841"/>
                <w:kern w:val="2"/>
                <w:sz w:val="18"/>
                <w:szCs w:val="18"/>
              </w:rPr>
              <w:t>Ag</w:t>
            </w:r>
          </w:p>
        </w:tc>
        <w:tc>
          <w:tcPr>
            <w:tcW w:w="1264" w:type="dxa"/>
            <w:tcBorders>
              <w:top w:val="nil"/>
              <w:left w:val="nil"/>
              <w:bottom w:val="single" w:sz="4" w:space="0" w:color="D9D9D9"/>
              <w:right w:val="single" w:sz="4" w:space="0" w:color="D9D9D9"/>
            </w:tcBorders>
            <w:noWrap/>
            <w:vAlign w:val="center"/>
            <w:hideMark/>
          </w:tcPr>
          <w:p w14:paraId="14F8AABF" w14:textId="77777777" w:rsidR="000849E0" w:rsidRPr="003046FC" w:rsidRDefault="000849E0" w:rsidP="00EE1723">
            <w:pPr>
              <w:jc w:val="center"/>
              <w:rPr>
                <w:rFonts w:eastAsia="Aptos"/>
                <w:i/>
                <w:color w:val="0E2841"/>
                <w:kern w:val="2"/>
                <w:sz w:val="18"/>
                <w:szCs w:val="18"/>
              </w:rPr>
            </w:pPr>
            <w:proofErr w:type="gramStart"/>
            <w:r w:rsidRPr="003046FC">
              <w:rPr>
                <w:rFonts w:eastAsia="Aptos"/>
                <w:i/>
                <w:color w:val="0E2841"/>
                <w:kern w:val="2"/>
                <w:sz w:val="18"/>
                <w:szCs w:val="18"/>
              </w:rPr>
              <w:t>844  (</w:t>
            </w:r>
            <w:proofErr w:type="gramEnd"/>
            <w:r w:rsidRPr="003046FC">
              <w:rPr>
                <w:rFonts w:eastAsia="Aptos"/>
                <w:i/>
                <w:color w:val="0E2841"/>
                <w:kern w:val="2"/>
                <w:sz w:val="18"/>
                <w:szCs w:val="18"/>
              </w:rPr>
              <w:t>-2%)</w:t>
            </w:r>
          </w:p>
        </w:tc>
        <w:tc>
          <w:tcPr>
            <w:tcW w:w="1276" w:type="dxa"/>
            <w:tcBorders>
              <w:top w:val="nil"/>
              <w:left w:val="nil"/>
              <w:bottom w:val="single" w:sz="4" w:space="0" w:color="D9D9D9"/>
              <w:right w:val="single" w:sz="4" w:space="0" w:color="D9D9D9"/>
            </w:tcBorders>
            <w:noWrap/>
            <w:vAlign w:val="center"/>
            <w:hideMark/>
          </w:tcPr>
          <w:p w14:paraId="22BB129E" w14:textId="77777777" w:rsidR="000849E0" w:rsidRPr="003046FC" w:rsidRDefault="000849E0" w:rsidP="00EE1723">
            <w:pPr>
              <w:jc w:val="center"/>
              <w:rPr>
                <w:rFonts w:eastAsia="Aptos"/>
                <w:i/>
                <w:color w:val="0E2841"/>
                <w:kern w:val="2"/>
                <w:sz w:val="18"/>
                <w:szCs w:val="18"/>
              </w:rPr>
            </w:pPr>
            <w:proofErr w:type="gramStart"/>
            <w:r w:rsidRPr="003046FC">
              <w:rPr>
                <w:rFonts w:eastAsia="Aptos"/>
                <w:i/>
                <w:color w:val="0E2841"/>
                <w:kern w:val="2"/>
                <w:sz w:val="18"/>
                <w:szCs w:val="18"/>
              </w:rPr>
              <w:t>811  (</w:t>
            </w:r>
            <w:proofErr w:type="gramEnd"/>
            <w:r w:rsidRPr="003046FC">
              <w:rPr>
                <w:rFonts w:eastAsia="Aptos"/>
                <w:i/>
                <w:color w:val="0E2841"/>
                <w:kern w:val="2"/>
                <w:sz w:val="18"/>
                <w:szCs w:val="18"/>
              </w:rPr>
              <w:t>-1%)</w:t>
            </w:r>
          </w:p>
        </w:tc>
        <w:tc>
          <w:tcPr>
            <w:tcW w:w="1276" w:type="dxa"/>
            <w:tcBorders>
              <w:top w:val="nil"/>
              <w:left w:val="nil"/>
              <w:bottom w:val="single" w:sz="4" w:space="0" w:color="D9D9D9"/>
              <w:right w:val="single" w:sz="4" w:space="0" w:color="D9D9D9"/>
            </w:tcBorders>
            <w:noWrap/>
            <w:vAlign w:val="center"/>
            <w:hideMark/>
          </w:tcPr>
          <w:p w14:paraId="7DC5F7D5" w14:textId="77777777" w:rsidR="000849E0" w:rsidRPr="003046FC" w:rsidRDefault="000849E0" w:rsidP="00EE1723">
            <w:pPr>
              <w:jc w:val="center"/>
              <w:rPr>
                <w:rFonts w:eastAsia="Aptos"/>
                <w:i/>
                <w:color w:val="0E2841"/>
                <w:kern w:val="2"/>
                <w:sz w:val="18"/>
                <w:szCs w:val="18"/>
              </w:rPr>
            </w:pPr>
            <w:proofErr w:type="gramStart"/>
            <w:r w:rsidRPr="003046FC">
              <w:rPr>
                <w:rFonts w:eastAsia="Aptos"/>
                <w:i/>
                <w:color w:val="0E2841"/>
                <w:kern w:val="2"/>
                <w:sz w:val="18"/>
                <w:szCs w:val="18"/>
              </w:rPr>
              <w:t>197  (</w:t>
            </w:r>
            <w:proofErr w:type="gramEnd"/>
            <w:r w:rsidRPr="003046FC">
              <w:rPr>
                <w:rFonts w:eastAsia="Aptos"/>
                <w:i/>
                <w:color w:val="0E2841"/>
                <w:kern w:val="2"/>
                <w:sz w:val="18"/>
                <w:szCs w:val="18"/>
              </w:rPr>
              <w:t>6%)</w:t>
            </w:r>
          </w:p>
        </w:tc>
        <w:tc>
          <w:tcPr>
            <w:tcW w:w="1275" w:type="dxa"/>
            <w:tcBorders>
              <w:top w:val="nil"/>
              <w:left w:val="nil"/>
              <w:bottom w:val="single" w:sz="4" w:space="0" w:color="D9D9D9"/>
              <w:right w:val="single" w:sz="4" w:space="0" w:color="D9D9D9"/>
            </w:tcBorders>
            <w:noWrap/>
            <w:vAlign w:val="center"/>
            <w:hideMark/>
          </w:tcPr>
          <w:p w14:paraId="2EC1AEAD" w14:textId="77777777" w:rsidR="000849E0" w:rsidRPr="003046FC" w:rsidRDefault="000849E0" w:rsidP="00EE1723">
            <w:pPr>
              <w:jc w:val="center"/>
              <w:rPr>
                <w:rFonts w:eastAsia="Aptos"/>
                <w:i/>
                <w:color w:val="0E2841"/>
                <w:kern w:val="2"/>
                <w:sz w:val="18"/>
                <w:szCs w:val="18"/>
              </w:rPr>
            </w:pPr>
            <w:proofErr w:type="gramStart"/>
            <w:r w:rsidRPr="003046FC">
              <w:rPr>
                <w:rFonts w:eastAsia="Aptos"/>
                <w:i/>
                <w:color w:val="0E2841"/>
                <w:kern w:val="2"/>
                <w:sz w:val="18"/>
                <w:szCs w:val="18"/>
              </w:rPr>
              <w:t>826  (</w:t>
            </w:r>
            <w:proofErr w:type="gramEnd"/>
            <w:r w:rsidRPr="003046FC">
              <w:rPr>
                <w:rFonts w:eastAsia="Aptos"/>
                <w:i/>
                <w:color w:val="0E2841"/>
                <w:kern w:val="2"/>
                <w:sz w:val="18"/>
                <w:szCs w:val="18"/>
              </w:rPr>
              <w:t>9%)</w:t>
            </w:r>
          </w:p>
        </w:tc>
        <w:tc>
          <w:tcPr>
            <w:tcW w:w="1134" w:type="dxa"/>
            <w:tcBorders>
              <w:top w:val="nil"/>
              <w:left w:val="nil"/>
              <w:bottom w:val="single" w:sz="4" w:space="0" w:color="D9D9D9"/>
              <w:right w:val="single" w:sz="4" w:space="0" w:color="D9D9D9"/>
            </w:tcBorders>
            <w:noWrap/>
            <w:vAlign w:val="center"/>
            <w:hideMark/>
          </w:tcPr>
          <w:p w14:paraId="5756E5E8" w14:textId="77777777" w:rsidR="000849E0" w:rsidRPr="003046FC" w:rsidRDefault="000849E0" w:rsidP="00EE1723">
            <w:pPr>
              <w:jc w:val="center"/>
              <w:rPr>
                <w:rFonts w:eastAsia="Aptos"/>
                <w:i/>
                <w:color w:val="0E2841"/>
                <w:kern w:val="2"/>
                <w:sz w:val="18"/>
                <w:szCs w:val="18"/>
              </w:rPr>
            </w:pPr>
            <w:proofErr w:type="gramStart"/>
            <w:r w:rsidRPr="003046FC">
              <w:rPr>
                <w:rFonts w:eastAsia="Aptos"/>
                <w:i/>
                <w:color w:val="0E2841"/>
                <w:kern w:val="2"/>
                <w:sz w:val="18"/>
                <w:szCs w:val="18"/>
              </w:rPr>
              <w:t>179  (</w:t>
            </w:r>
            <w:proofErr w:type="gramEnd"/>
            <w:r w:rsidRPr="003046FC">
              <w:rPr>
                <w:rFonts w:eastAsia="Aptos"/>
                <w:i/>
                <w:color w:val="0E2841"/>
                <w:kern w:val="2"/>
                <w:sz w:val="18"/>
                <w:szCs w:val="18"/>
              </w:rPr>
              <w:t>7%)</w:t>
            </w:r>
          </w:p>
        </w:tc>
      </w:tr>
      <w:tr w:rsidR="000849E0" w:rsidRPr="000849E0" w14:paraId="19F3FBE6" w14:textId="77777777" w:rsidTr="00713197">
        <w:trPr>
          <w:trHeight w:val="400"/>
        </w:trPr>
        <w:tc>
          <w:tcPr>
            <w:tcW w:w="1129" w:type="dxa"/>
            <w:vMerge/>
            <w:tcBorders>
              <w:top w:val="nil"/>
              <w:left w:val="single" w:sz="4" w:space="0" w:color="D9D9D9"/>
              <w:bottom w:val="single" w:sz="4" w:space="0" w:color="D9D9D9"/>
              <w:right w:val="single" w:sz="4" w:space="0" w:color="D9D9D9"/>
            </w:tcBorders>
            <w:vAlign w:val="center"/>
            <w:hideMark/>
          </w:tcPr>
          <w:p w14:paraId="2561244D" w14:textId="77777777" w:rsidR="000849E0" w:rsidRPr="00713197" w:rsidRDefault="000849E0" w:rsidP="00713197">
            <w:pPr>
              <w:jc w:val="center"/>
              <w:rPr>
                <w:rFonts w:eastAsia="Aptos"/>
                <w:b/>
                <w:i/>
                <w:color w:val="0E2841"/>
                <w:kern w:val="2"/>
                <w:sz w:val="18"/>
                <w:szCs w:val="18"/>
              </w:rPr>
            </w:pPr>
          </w:p>
        </w:tc>
        <w:tc>
          <w:tcPr>
            <w:tcW w:w="1026" w:type="dxa"/>
            <w:tcBorders>
              <w:top w:val="nil"/>
              <w:left w:val="nil"/>
              <w:bottom w:val="single" w:sz="4" w:space="0" w:color="D9D9D9"/>
              <w:right w:val="single" w:sz="4" w:space="0" w:color="D9D9D9"/>
            </w:tcBorders>
            <w:noWrap/>
            <w:vAlign w:val="center"/>
            <w:hideMark/>
          </w:tcPr>
          <w:p w14:paraId="1ABA6D66" w14:textId="77777777" w:rsidR="000849E0" w:rsidRPr="00713197" w:rsidRDefault="000849E0" w:rsidP="00713197">
            <w:pPr>
              <w:jc w:val="center"/>
              <w:rPr>
                <w:rFonts w:eastAsia="Aptos"/>
                <w:b/>
                <w:i/>
                <w:color w:val="0E2841"/>
                <w:kern w:val="2"/>
                <w:sz w:val="18"/>
                <w:szCs w:val="18"/>
              </w:rPr>
            </w:pPr>
            <w:r w:rsidRPr="00713197">
              <w:rPr>
                <w:rFonts w:eastAsia="Aptos"/>
                <w:b/>
                <w:i/>
                <w:color w:val="0E2841"/>
                <w:kern w:val="2"/>
                <w:sz w:val="18"/>
                <w:szCs w:val="18"/>
              </w:rPr>
              <w:t>a-Si</w:t>
            </w:r>
          </w:p>
        </w:tc>
        <w:tc>
          <w:tcPr>
            <w:tcW w:w="687" w:type="dxa"/>
            <w:tcBorders>
              <w:top w:val="nil"/>
              <w:left w:val="nil"/>
              <w:bottom w:val="single" w:sz="4" w:space="0" w:color="D9D9D9"/>
              <w:right w:val="single" w:sz="4" w:space="0" w:color="D9D9D9"/>
            </w:tcBorders>
            <w:noWrap/>
            <w:vAlign w:val="center"/>
            <w:hideMark/>
          </w:tcPr>
          <w:p w14:paraId="7D03AA35" w14:textId="77777777" w:rsidR="000849E0" w:rsidRPr="00713197" w:rsidRDefault="000849E0" w:rsidP="00713197">
            <w:pPr>
              <w:jc w:val="center"/>
              <w:rPr>
                <w:rFonts w:eastAsia="Aptos"/>
                <w:b/>
                <w:i/>
                <w:color w:val="0E2841"/>
                <w:kern w:val="2"/>
                <w:sz w:val="18"/>
                <w:szCs w:val="18"/>
              </w:rPr>
            </w:pPr>
            <w:r w:rsidRPr="00713197">
              <w:rPr>
                <w:rFonts w:eastAsia="Aptos"/>
                <w:b/>
                <w:i/>
                <w:color w:val="0E2841"/>
                <w:kern w:val="2"/>
                <w:sz w:val="18"/>
                <w:szCs w:val="18"/>
              </w:rPr>
              <w:t>Ge</w:t>
            </w:r>
          </w:p>
        </w:tc>
        <w:tc>
          <w:tcPr>
            <w:tcW w:w="1264" w:type="dxa"/>
            <w:tcBorders>
              <w:top w:val="nil"/>
              <w:left w:val="nil"/>
              <w:bottom w:val="single" w:sz="4" w:space="0" w:color="D9D9D9"/>
              <w:right w:val="single" w:sz="4" w:space="0" w:color="D9D9D9"/>
            </w:tcBorders>
            <w:noWrap/>
            <w:vAlign w:val="center"/>
            <w:hideMark/>
          </w:tcPr>
          <w:p w14:paraId="10A5B063"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13  (</w:t>
            </w:r>
            <w:proofErr w:type="gramEnd"/>
            <w:r w:rsidRPr="00713197">
              <w:rPr>
                <w:rFonts w:eastAsia="Aptos"/>
                <w:i/>
                <w:color w:val="0E2841"/>
                <w:kern w:val="2"/>
                <w:sz w:val="18"/>
                <w:szCs w:val="18"/>
              </w:rPr>
              <w:t>-87%)</w:t>
            </w:r>
          </w:p>
        </w:tc>
        <w:tc>
          <w:tcPr>
            <w:tcW w:w="1276" w:type="dxa"/>
            <w:tcBorders>
              <w:top w:val="nil"/>
              <w:left w:val="nil"/>
              <w:bottom w:val="single" w:sz="4" w:space="0" w:color="D9D9D9"/>
              <w:right w:val="single" w:sz="4" w:space="0" w:color="D9D9D9"/>
            </w:tcBorders>
            <w:noWrap/>
            <w:vAlign w:val="center"/>
            <w:hideMark/>
          </w:tcPr>
          <w:p w14:paraId="3F6C86A1"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12  (</w:t>
            </w:r>
            <w:proofErr w:type="gramEnd"/>
            <w:r w:rsidRPr="00713197">
              <w:rPr>
                <w:rFonts w:eastAsia="Aptos"/>
                <w:i/>
                <w:color w:val="0E2841"/>
                <w:kern w:val="2"/>
                <w:sz w:val="18"/>
                <w:szCs w:val="18"/>
              </w:rPr>
              <w:t>-87%)</w:t>
            </w:r>
          </w:p>
        </w:tc>
        <w:tc>
          <w:tcPr>
            <w:tcW w:w="1276" w:type="dxa"/>
            <w:tcBorders>
              <w:top w:val="nil"/>
              <w:left w:val="nil"/>
              <w:bottom w:val="single" w:sz="4" w:space="0" w:color="D9D9D9"/>
              <w:right w:val="single" w:sz="4" w:space="0" w:color="D9D9D9"/>
            </w:tcBorders>
            <w:noWrap/>
            <w:vAlign w:val="center"/>
            <w:hideMark/>
          </w:tcPr>
          <w:p w14:paraId="41759EF6"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7  (</w:t>
            </w:r>
            <w:proofErr w:type="gramEnd"/>
            <w:r w:rsidRPr="00713197">
              <w:rPr>
                <w:rFonts w:eastAsia="Aptos"/>
                <w:i/>
                <w:color w:val="0E2841"/>
                <w:kern w:val="2"/>
                <w:sz w:val="18"/>
                <w:szCs w:val="18"/>
              </w:rPr>
              <w:t>-77%)</w:t>
            </w:r>
          </w:p>
        </w:tc>
        <w:tc>
          <w:tcPr>
            <w:tcW w:w="1275" w:type="dxa"/>
            <w:tcBorders>
              <w:top w:val="nil"/>
              <w:left w:val="nil"/>
              <w:bottom w:val="single" w:sz="4" w:space="0" w:color="D9D9D9"/>
              <w:right w:val="single" w:sz="4" w:space="0" w:color="D9D9D9"/>
            </w:tcBorders>
            <w:noWrap/>
            <w:vAlign w:val="center"/>
            <w:hideMark/>
          </w:tcPr>
          <w:p w14:paraId="5860205A"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13  (</w:t>
            </w:r>
            <w:proofErr w:type="gramEnd"/>
            <w:r w:rsidRPr="00713197">
              <w:rPr>
                <w:rFonts w:eastAsia="Aptos"/>
                <w:i/>
                <w:color w:val="0E2841"/>
                <w:kern w:val="2"/>
                <w:sz w:val="18"/>
                <w:szCs w:val="18"/>
              </w:rPr>
              <w:t>-85%)</w:t>
            </w:r>
          </w:p>
        </w:tc>
        <w:tc>
          <w:tcPr>
            <w:tcW w:w="1134" w:type="dxa"/>
            <w:tcBorders>
              <w:top w:val="nil"/>
              <w:left w:val="nil"/>
              <w:bottom w:val="single" w:sz="4" w:space="0" w:color="D9D9D9"/>
              <w:right w:val="single" w:sz="4" w:space="0" w:color="D9D9D9"/>
            </w:tcBorders>
            <w:noWrap/>
            <w:vAlign w:val="center"/>
            <w:hideMark/>
          </w:tcPr>
          <w:p w14:paraId="7AC6067E"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7  (</w:t>
            </w:r>
            <w:proofErr w:type="gramEnd"/>
            <w:r w:rsidRPr="00713197">
              <w:rPr>
                <w:rFonts w:eastAsia="Aptos"/>
                <w:i/>
                <w:color w:val="0E2841"/>
                <w:kern w:val="2"/>
                <w:sz w:val="18"/>
                <w:szCs w:val="18"/>
              </w:rPr>
              <w:t>-75%)</w:t>
            </w:r>
          </w:p>
        </w:tc>
      </w:tr>
      <w:tr w:rsidR="000849E0" w:rsidRPr="000849E0" w14:paraId="65B86491" w14:textId="77777777" w:rsidTr="00713197">
        <w:trPr>
          <w:trHeight w:val="360"/>
        </w:trPr>
        <w:tc>
          <w:tcPr>
            <w:tcW w:w="1129" w:type="dxa"/>
            <w:vMerge/>
            <w:tcBorders>
              <w:top w:val="nil"/>
              <w:left w:val="single" w:sz="4" w:space="0" w:color="D9D9D9"/>
              <w:bottom w:val="single" w:sz="4" w:space="0" w:color="D9D9D9"/>
              <w:right w:val="single" w:sz="4" w:space="0" w:color="D9D9D9"/>
            </w:tcBorders>
            <w:vAlign w:val="center"/>
            <w:hideMark/>
          </w:tcPr>
          <w:p w14:paraId="40135E3A" w14:textId="77777777" w:rsidR="000849E0" w:rsidRPr="00713197" w:rsidRDefault="000849E0" w:rsidP="00713197">
            <w:pPr>
              <w:jc w:val="center"/>
              <w:rPr>
                <w:rFonts w:eastAsia="Aptos"/>
                <w:b/>
                <w:i/>
                <w:color w:val="0E2841"/>
                <w:kern w:val="2"/>
                <w:sz w:val="18"/>
                <w:szCs w:val="18"/>
              </w:rPr>
            </w:pPr>
          </w:p>
        </w:tc>
        <w:tc>
          <w:tcPr>
            <w:tcW w:w="1026" w:type="dxa"/>
            <w:vMerge w:val="restart"/>
            <w:tcBorders>
              <w:top w:val="nil"/>
              <w:left w:val="single" w:sz="4" w:space="0" w:color="D9D9D9"/>
              <w:bottom w:val="single" w:sz="4" w:space="0" w:color="D9D9D9"/>
              <w:right w:val="single" w:sz="4" w:space="0" w:color="D9D9D9"/>
            </w:tcBorders>
            <w:noWrap/>
            <w:vAlign w:val="center"/>
            <w:hideMark/>
          </w:tcPr>
          <w:p w14:paraId="4212AF56" w14:textId="77777777" w:rsidR="000849E0" w:rsidRPr="00713197" w:rsidRDefault="000849E0" w:rsidP="00713197">
            <w:pPr>
              <w:jc w:val="center"/>
              <w:rPr>
                <w:rFonts w:eastAsia="Aptos"/>
                <w:b/>
                <w:i/>
                <w:color w:val="0E2841"/>
                <w:kern w:val="2"/>
                <w:sz w:val="18"/>
                <w:szCs w:val="18"/>
              </w:rPr>
            </w:pPr>
            <w:proofErr w:type="spellStart"/>
            <w:r w:rsidRPr="00713197">
              <w:rPr>
                <w:rFonts w:eastAsia="Aptos"/>
                <w:b/>
                <w:i/>
                <w:color w:val="0E2841"/>
                <w:kern w:val="2"/>
                <w:sz w:val="18"/>
                <w:szCs w:val="18"/>
              </w:rPr>
              <w:t>CdTe</w:t>
            </w:r>
            <w:proofErr w:type="spellEnd"/>
          </w:p>
        </w:tc>
        <w:tc>
          <w:tcPr>
            <w:tcW w:w="687" w:type="dxa"/>
            <w:tcBorders>
              <w:top w:val="nil"/>
              <w:left w:val="nil"/>
              <w:bottom w:val="single" w:sz="4" w:space="0" w:color="D9D9D9"/>
              <w:right w:val="single" w:sz="4" w:space="0" w:color="D9D9D9"/>
            </w:tcBorders>
            <w:noWrap/>
            <w:vAlign w:val="center"/>
            <w:hideMark/>
          </w:tcPr>
          <w:p w14:paraId="61DD4F08" w14:textId="77777777" w:rsidR="000849E0" w:rsidRPr="00713197" w:rsidRDefault="000849E0" w:rsidP="00713197">
            <w:pPr>
              <w:jc w:val="center"/>
              <w:rPr>
                <w:rFonts w:eastAsia="Aptos"/>
                <w:b/>
                <w:i/>
                <w:color w:val="0E2841"/>
                <w:kern w:val="2"/>
                <w:sz w:val="18"/>
                <w:szCs w:val="18"/>
              </w:rPr>
            </w:pPr>
            <w:r w:rsidRPr="00713197">
              <w:rPr>
                <w:rFonts w:eastAsia="Aptos"/>
                <w:b/>
                <w:i/>
                <w:color w:val="0E2841"/>
                <w:kern w:val="2"/>
                <w:sz w:val="18"/>
                <w:szCs w:val="18"/>
              </w:rPr>
              <w:t>Cd</w:t>
            </w:r>
          </w:p>
        </w:tc>
        <w:tc>
          <w:tcPr>
            <w:tcW w:w="1264" w:type="dxa"/>
            <w:tcBorders>
              <w:top w:val="nil"/>
              <w:left w:val="nil"/>
              <w:bottom w:val="single" w:sz="4" w:space="0" w:color="D9D9D9"/>
              <w:right w:val="single" w:sz="4" w:space="0" w:color="D9D9D9"/>
            </w:tcBorders>
            <w:noWrap/>
            <w:vAlign w:val="center"/>
            <w:hideMark/>
          </w:tcPr>
          <w:p w14:paraId="022DC91E"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10  (</w:t>
            </w:r>
            <w:proofErr w:type="gramEnd"/>
            <w:r w:rsidRPr="00713197">
              <w:rPr>
                <w:rFonts w:eastAsia="Aptos"/>
                <w:i/>
                <w:color w:val="0E2841"/>
                <w:kern w:val="2"/>
                <w:sz w:val="18"/>
                <w:szCs w:val="18"/>
              </w:rPr>
              <w:t>-87%)</w:t>
            </w:r>
          </w:p>
        </w:tc>
        <w:tc>
          <w:tcPr>
            <w:tcW w:w="1276" w:type="dxa"/>
            <w:tcBorders>
              <w:top w:val="nil"/>
              <w:left w:val="nil"/>
              <w:bottom w:val="single" w:sz="4" w:space="0" w:color="D9D9D9"/>
              <w:right w:val="single" w:sz="4" w:space="0" w:color="D9D9D9"/>
            </w:tcBorders>
            <w:noWrap/>
            <w:vAlign w:val="center"/>
            <w:hideMark/>
          </w:tcPr>
          <w:p w14:paraId="318923E5"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10  (</w:t>
            </w:r>
            <w:proofErr w:type="gramEnd"/>
            <w:r w:rsidRPr="00713197">
              <w:rPr>
                <w:rFonts w:eastAsia="Aptos"/>
                <w:i/>
                <w:color w:val="0E2841"/>
                <w:kern w:val="2"/>
                <w:sz w:val="18"/>
                <w:szCs w:val="18"/>
              </w:rPr>
              <w:t>-87%)</w:t>
            </w:r>
          </w:p>
        </w:tc>
        <w:tc>
          <w:tcPr>
            <w:tcW w:w="1276" w:type="dxa"/>
            <w:tcBorders>
              <w:top w:val="nil"/>
              <w:left w:val="nil"/>
              <w:bottom w:val="single" w:sz="4" w:space="0" w:color="D9D9D9"/>
              <w:right w:val="single" w:sz="4" w:space="0" w:color="D9D9D9"/>
            </w:tcBorders>
            <w:noWrap/>
            <w:vAlign w:val="center"/>
            <w:hideMark/>
          </w:tcPr>
          <w:p w14:paraId="7532D12C"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7  (</w:t>
            </w:r>
            <w:proofErr w:type="gramEnd"/>
            <w:r w:rsidRPr="00713197">
              <w:rPr>
                <w:rFonts w:eastAsia="Aptos"/>
                <w:i/>
                <w:color w:val="0E2841"/>
                <w:kern w:val="2"/>
                <w:sz w:val="18"/>
                <w:szCs w:val="18"/>
              </w:rPr>
              <w:t>-80%)</w:t>
            </w:r>
          </w:p>
        </w:tc>
        <w:tc>
          <w:tcPr>
            <w:tcW w:w="1275" w:type="dxa"/>
            <w:tcBorders>
              <w:top w:val="nil"/>
              <w:left w:val="nil"/>
              <w:bottom w:val="single" w:sz="4" w:space="0" w:color="D9D9D9"/>
              <w:right w:val="single" w:sz="4" w:space="0" w:color="D9D9D9"/>
            </w:tcBorders>
            <w:noWrap/>
            <w:vAlign w:val="center"/>
            <w:hideMark/>
          </w:tcPr>
          <w:p w14:paraId="398F72AE"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10  (</w:t>
            </w:r>
            <w:proofErr w:type="gramEnd"/>
            <w:r w:rsidRPr="00713197">
              <w:rPr>
                <w:rFonts w:eastAsia="Aptos"/>
                <w:i/>
                <w:color w:val="0E2841"/>
                <w:kern w:val="2"/>
                <w:sz w:val="18"/>
                <w:szCs w:val="18"/>
              </w:rPr>
              <w:t>-85%)</w:t>
            </w:r>
          </w:p>
        </w:tc>
        <w:tc>
          <w:tcPr>
            <w:tcW w:w="1134" w:type="dxa"/>
            <w:tcBorders>
              <w:top w:val="nil"/>
              <w:left w:val="nil"/>
              <w:bottom w:val="single" w:sz="4" w:space="0" w:color="D9D9D9"/>
              <w:right w:val="single" w:sz="4" w:space="0" w:color="D9D9D9"/>
            </w:tcBorders>
            <w:noWrap/>
            <w:vAlign w:val="center"/>
            <w:hideMark/>
          </w:tcPr>
          <w:p w14:paraId="4F2F540D"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6  (</w:t>
            </w:r>
            <w:proofErr w:type="gramEnd"/>
            <w:r w:rsidRPr="00713197">
              <w:rPr>
                <w:rFonts w:eastAsia="Aptos"/>
                <w:i/>
                <w:color w:val="0E2841"/>
                <w:kern w:val="2"/>
                <w:sz w:val="18"/>
                <w:szCs w:val="18"/>
              </w:rPr>
              <w:t>-79%)</w:t>
            </w:r>
          </w:p>
        </w:tc>
      </w:tr>
      <w:tr w:rsidR="000849E0" w:rsidRPr="000849E0" w14:paraId="21616DED" w14:textId="77777777" w:rsidTr="00713197">
        <w:trPr>
          <w:trHeight w:val="360"/>
        </w:trPr>
        <w:tc>
          <w:tcPr>
            <w:tcW w:w="1129" w:type="dxa"/>
            <w:vMerge/>
            <w:tcBorders>
              <w:top w:val="nil"/>
              <w:left w:val="single" w:sz="4" w:space="0" w:color="D9D9D9"/>
              <w:bottom w:val="single" w:sz="4" w:space="0" w:color="D9D9D9"/>
              <w:right w:val="single" w:sz="4" w:space="0" w:color="D9D9D9"/>
            </w:tcBorders>
            <w:vAlign w:val="center"/>
            <w:hideMark/>
          </w:tcPr>
          <w:p w14:paraId="6DF6F374" w14:textId="77777777" w:rsidR="000849E0" w:rsidRPr="00713197" w:rsidRDefault="000849E0" w:rsidP="00713197">
            <w:pPr>
              <w:jc w:val="center"/>
              <w:rPr>
                <w:rFonts w:eastAsia="Aptos"/>
                <w:b/>
                <w:i/>
                <w:color w:val="0E2841"/>
                <w:kern w:val="2"/>
                <w:sz w:val="18"/>
                <w:szCs w:val="18"/>
              </w:rPr>
            </w:pPr>
          </w:p>
        </w:tc>
        <w:tc>
          <w:tcPr>
            <w:tcW w:w="1026" w:type="dxa"/>
            <w:vMerge/>
            <w:tcBorders>
              <w:top w:val="nil"/>
              <w:left w:val="single" w:sz="4" w:space="0" w:color="D9D9D9"/>
              <w:bottom w:val="single" w:sz="4" w:space="0" w:color="D9D9D9"/>
              <w:right w:val="single" w:sz="4" w:space="0" w:color="D9D9D9"/>
            </w:tcBorders>
            <w:vAlign w:val="center"/>
            <w:hideMark/>
          </w:tcPr>
          <w:p w14:paraId="35E68EBF" w14:textId="77777777" w:rsidR="000849E0" w:rsidRPr="00713197" w:rsidRDefault="000849E0" w:rsidP="00713197">
            <w:pPr>
              <w:jc w:val="center"/>
              <w:rPr>
                <w:rFonts w:eastAsia="Aptos"/>
                <w:b/>
                <w:i/>
                <w:color w:val="0E2841"/>
                <w:kern w:val="2"/>
                <w:sz w:val="18"/>
                <w:szCs w:val="18"/>
              </w:rPr>
            </w:pPr>
          </w:p>
        </w:tc>
        <w:tc>
          <w:tcPr>
            <w:tcW w:w="687" w:type="dxa"/>
            <w:tcBorders>
              <w:top w:val="nil"/>
              <w:left w:val="nil"/>
              <w:bottom w:val="single" w:sz="4" w:space="0" w:color="D9D9D9"/>
              <w:right w:val="single" w:sz="4" w:space="0" w:color="D9D9D9"/>
            </w:tcBorders>
            <w:noWrap/>
            <w:vAlign w:val="center"/>
            <w:hideMark/>
          </w:tcPr>
          <w:p w14:paraId="68FEF48D" w14:textId="77777777" w:rsidR="000849E0" w:rsidRPr="00713197" w:rsidRDefault="000849E0" w:rsidP="00713197">
            <w:pPr>
              <w:jc w:val="center"/>
              <w:rPr>
                <w:rFonts w:eastAsia="Aptos"/>
                <w:b/>
                <w:i/>
                <w:color w:val="0E2841"/>
                <w:kern w:val="2"/>
                <w:sz w:val="18"/>
                <w:szCs w:val="18"/>
              </w:rPr>
            </w:pPr>
            <w:proofErr w:type="spellStart"/>
            <w:r w:rsidRPr="00713197">
              <w:rPr>
                <w:rFonts w:eastAsia="Aptos"/>
                <w:b/>
                <w:i/>
                <w:color w:val="0E2841"/>
                <w:kern w:val="2"/>
                <w:sz w:val="18"/>
                <w:szCs w:val="18"/>
              </w:rPr>
              <w:t>Te</w:t>
            </w:r>
            <w:proofErr w:type="spellEnd"/>
          </w:p>
        </w:tc>
        <w:tc>
          <w:tcPr>
            <w:tcW w:w="1264" w:type="dxa"/>
            <w:tcBorders>
              <w:top w:val="nil"/>
              <w:left w:val="nil"/>
              <w:bottom w:val="single" w:sz="4" w:space="0" w:color="D9D9D9"/>
              <w:right w:val="single" w:sz="4" w:space="0" w:color="D9D9D9"/>
            </w:tcBorders>
            <w:noWrap/>
            <w:vAlign w:val="center"/>
            <w:hideMark/>
          </w:tcPr>
          <w:p w14:paraId="17F8A3C9"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4  (</w:t>
            </w:r>
            <w:proofErr w:type="gramEnd"/>
            <w:r w:rsidRPr="00713197">
              <w:rPr>
                <w:rFonts w:eastAsia="Aptos"/>
                <w:i/>
                <w:color w:val="0E2841"/>
                <w:kern w:val="2"/>
                <w:sz w:val="18"/>
                <w:szCs w:val="18"/>
              </w:rPr>
              <w:t>-71%)</w:t>
            </w:r>
          </w:p>
        </w:tc>
        <w:tc>
          <w:tcPr>
            <w:tcW w:w="1276" w:type="dxa"/>
            <w:tcBorders>
              <w:top w:val="nil"/>
              <w:left w:val="nil"/>
              <w:bottom w:val="single" w:sz="4" w:space="0" w:color="D9D9D9"/>
              <w:right w:val="single" w:sz="4" w:space="0" w:color="D9D9D9"/>
            </w:tcBorders>
            <w:noWrap/>
            <w:vAlign w:val="center"/>
            <w:hideMark/>
          </w:tcPr>
          <w:p w14:paraId="38B01256"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4  (</w:t>
            </w:r>
            <w:proofErr w:type="gramEnd"/>
            <w:r w:rsidRPr="00713197">
              <w:rPr>
                <w:rFonts w:eastAsia="Aptos"/>
                <w:i/>
                <w:color w:val="0E2841"/>
                <w:kern w:val="2"/>
                <w:sz w:val="18"/>
                <w:szCs w:val="18"/>
              </w:rPr>
              <w:t>-71%)</w:t>
            </w:r>
          </w:p>
        </w:tc>
        <w:tc>
          <w:tcPr>
            <w:tcW w:w="1276" w:type="dxa"/>
            <w:tcBorders>
              <w:top w:val="nil"/>
              <w:left w:val="nil"/>
              <w:bottom w:val="single" w:sz="4" w:space="0" w:color="D9D9D9"/>
              <w:right w:val="single" w:sz="4" w:space="0" w:color="D9D9D9"/>
            </w:tcBorders>
            <w:noWrap/>
            <w:vAlign w:val="center"/>
            <w:hideMark/>
          </w:tcPr>
          <w:p w14:paraId="55BC4F8C"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3  (</w:t>
            </w:r>
            <w:proofErr w:type="gramEnd"/>
            <w:r w:rsidRPr="00713197">
              <w:rPr>
                <w:rFonts w:eastAsia="Aptos"/>
                <w:i/>
                <w:color w:val="0E2841"/>
                <w:kern w:val="2"/>
                <w:sz w:val="18"/>
                <w:szCs w:val="18"/>
              </w:rPr>
              <w:t>-58%)</w:t>
            </w:r>
          </w:p>
        </w:tc>
        <w:tc>
          <w:tcPr>
            <w:tcW w:w="1275" w:type="dxa"/>
            <w:tcBorders>
              <w:top w:val="nil"/>
              <w:left w:val="nil"/>
              <w:bottom w:val="single" w:sz="4" w:space="0" w:color="D9D9D9"/>
              <w:right w:val="single" w:sz="4" w:space="0" w:color="D9D9D9"/>
            </w:tcBorders>
            <w:noWrap/>
            <w:vAlign w:val="center"/>
            <w:hideMark/>
          </w:tcPr>
          <w:p w14:paraId="344493B0"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2  (</w:t>
            </w:r>
            <w:proofErr w:type="gramEnd"/>
            <w:r w:rsidRPr="00713197">
              <w:rPr>
                <w:rFonts w:eastAsia="Aptos"/>
                <w:i/>
                <w:color w:val="0E2841"/>
                <w:kern w:val="2"/>
                <w:sz w:val="18"/>
                <w:szCs w:val="18"/>
              </w:rPr>
              <w:t>-82%)</w:t>
            </w:r>
          </w:p>
        </w:tc>
        <w:tc>
          <w:tcPr>
            <w:tcW w:w="1134" w:type="dxa"/>
            <w:tcBorders>
              <w:top w:val="nil"/>
              <w:left w:val="nil"/>
              <w:bottom w:val="single" w:sz="4" w:space="0" w:color="D9D9D9"/>
              <w:right w:val="single" w:sz="4" w:space="0" w:color="D9D9D9"/>
            </w:tcBorders>
            <w:noWrap/>
            <w:vAlign w:val="center"/>
            <w:hideMark/>
          </w:tcPr>
          <w:p w14:paraId="45E29B02"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3  (</w:t>
            </w:r>
            <w:proofErr w:type="gramEnd"/>
            <w:r w:rsidRPr="00713197">
              <w:rPr>
                <w:rFonts w:eastAsia="Aptos"/>
                <w:i/>
                <w:color w:val="0E2841"/>
                <w:kern w:val="2"/>
                <w:sz w:val="18"/>
                <w:szCs w:val="18"/>
              </w:rPr>
              <w:t>-53%)</w:t>
            </w:r>
          </w:p>
        </w:tc>
      </w:tr>
      <w:tr w:rsidR="000849E0" w:rsidRPr="000849E0" w14:paraId="0CAA9881" w14:textId="77777777" w:rsidTr="00713197">
        <w:trPr>
          <w:trHeight w:val="400"/>
        </w:trPr>
        <w:tc>
          <w:tcPr>
            <w:tcW w:w="1129" w:type="dxa"/>
            <w:vMerge/>
            <w:tcBorders>
              <w:top w:val="nil"/>
              <w:left w:val="single" w:sz="4" w:space="0" w:color="D9D9D9"/>
              <w:bottom w:val="single" w:sz="4" w:space="0" w:color="D9D9D9"/>
              <w:right w:val="single" w:sz="4" w:space="0" w:color="D9D9D9"/>
            </w:tcBorders>
            <w:vAlign w:val="center"/>
            <w:hideMark/>
          </w:tcPr>
          <w:p w14:paraId="31C2DA8A" w14:textId="77777777" w:rsidR="000849E0" w:rsidRPr="00713197" w:rsidRDefault="000849E0" w:rsidP="00713197">
            <w:pPr>
              <w:jc w:val="center"/>
              <w:rPr>
                <w:rFonts w:eastAsia="Aptos"/>
                <w:b/>
                <w:i/>
                <w:color w:val="0E2841"/>
                <w:kern w:val="2"/>
                <w:sz w:val="18"/>
                <w:szCs w:val="18"/>
              </w:rPr>
            </w:pPr>
          </w:p>
        </w:tc>
        <w:tc>
          <w:tcPr>
            <w:tcW w:w="1026" w:type="dxa"/>
            <w:vMerge w:val="restart"/>
            <w:tcBorders>
              <w:top w:val="nil"/>
              <w:left w:val="single" w:sz="4" w:space="0" w:color="D9D9D9"/>
              <w:bottom w:val="single" w:sz="4" w:space="0" w:color="D9D9D9"/>
              <w:right w:val="single" w:sz="4" w:space="0" w:color="D9D9D9"/>
            </w:tcBorders>
            <w:noWrap/>
            <w:vAlign w:val="center"/>
            <w:hideMark/>
          </w:tcPr>
          <w:p w14:paraId="1B46B7E0" w14:textId="77777777" w:rsidR="000849E0" w:rsidRPr="00713197" w:rsidRDefault="000849E0" w:rsidP="00713197">
            <w:pPr>
              <w:jc w:val="center"/>
              <w:rPr>
                <w:rFonts w:eastAsia="Aptos"/>
                <w:b/>
                <w:i/>
                <w:color w:val="0E2841"/>
                <w:kern w:val="2"/>
                <w:sz w:val="18"/>
                <w:szCs w:val="18"/>
              </w:rPr>
            </w:pPr>
            <w:r w:rsidRPr="00713197">
              <w:rPr>
                <w:rFonts w:eastAsia="Aptos"/>
                <w:b/>
                <w:i/>
                <w:color w:val="0E2841"/>
                <w:kern w:val="2"/>
                <w:sz w:val="18"/>
                <w:szCs w:val="18"/>
              </w:rPr>
              <w:t>CIGS</w:t>
            </w:r>
          </w:p>
        </w:tc>
        <w:tc>
          <w:tcPr>
            <w:tcW w:w="687" w:type="dxa"/>
            <w:tcBorders>
              <w:top w:val="nil"/>
              <w:left w:val="nil"/>
              <w:bottom w:val="single" w:sz="4" w:space="0" w:color="D9D9D9"/>
              <w:right w:val="single" w:sz="4" w:space="0" w:color="D9D9D9"/>
            </w:tcBorders>
            <w:noWrap/>
            <w:vAlign w:val="center"/>
            <w:hideMark/>
          </w:tcPr>
          <w:p w14:paraId="0308DAC1" w14:textId="77777777" w:rsidR="000849E0" w:rsidRPr="00713197" w:rsidRDefault="000849E0" w:rsidP="00713197">
            <w:pPr>
              <w:jc w:val="center"/>
              <w:rPr>
                <w:rFonts w:eastAsia="Aptos"/>
                <w:b/>
                <w:i/>
                <w:color w:val="0E2841"/>
                <w:kern w:val="2"/>
                <w:sz w:val="18"/>
                <w:szCs w:val="18"/>
              </w:rPr>
            </w:pPr>
            <w:r w:rsidRPr="00713197">
              <w:rPr>
                <w:rFonts w:eastAsia="Aptos"/>
                <w:b/>
                <w:i/>
                <w:color w:val="0E2841"/>
                <w:kern w:val="2"/>
                <w:sz w:val="18"/>
                <w:szCs w:val="18"/>
              </w:rPr>
              <w:t>In</w:t>
            </w:r>
          </w:p>
        </w:tc>
        <w:tc>
          <w:tcPr>
            <w:tcW w:w="1264" w:type="dxa"/>
            <w:tcBorders>
              <w:top w:val="nil"/>
              <w:left w:val="nil"/>
              <w:bottom w:val="single" w:sz="4" w:space="0" w:color="D9D9D9"/>
              <w:right w:val="single" w:sz="4" w:space="0" w:color="D9D9D9"/>
            </w:tcBorders>
            <w:noWrap/>
            <w:vAlign w:val="center"/>
            <w:hideMark/>
          </w:tcPr>
          <w:p w14:paraId="05BCD171"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2  (</w:t>
            </w:r>
            <w:proofErr w:type="gramEnd"/>
            <w:r w:rsidRPr="00713197">
              <w:rPr>
                <w:rFonts w:eastAsia="Aptos"/>
                <w:i/>
                <w:color w:val="0E2841"/>
                <w:kern w:val="2"/>
                <w:sz w:val="18"/>
                <w:szCs w:val="18"/>
              </w:rPr>
              <w:t>-90%)</w:t>
            </w:r>
          </w:p>
        </w:tc>
        <w:tc>
          <w:tcPr>
            <w:tcW w:w="1276" w:type="dxa"/>
            <w:tcBorders>
              <w:top w:val="nil"/>
              <w:left w:val="nil"/>
              <w:bottom w:val="single" w:sz="4" w:space="0" w:color="D9D9D9"/>
              <w:right w:val="single" w:sz="4" w:space="0" w:color="D9D9D9"/>
            </w:tcBorders>
            <w:noWrap/>
            <w:vAlign w:val="center"/>
            <w:hideMark/>
          </w:tcPr>
          <w:p w14:paraId="37BB9FCA"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2  (</w:t>
            </w:r>
            <w:proofErr w:type="gramEnd"/>
            <w:r w:rsidRPr="00713197">
              <w:rPr>
                <w:rFonts w:eastAsia="Aptos"/>
                <w:i/>
                <w:color w:val="0E2841"/>
                <w:kern w:val="2"/>
                <w:sz w:val="18"/>
                <w:szCs w:val="18"/>
              </w:rPr>
              <w:t>-90%)</w:t>
            </w:r>
          </w:p>
        </w:tc>
        <w:tc>
          <w:tcPr>
            <w:tcW w:w="1276" w:type="dxa"/>
            <w:tcBorders>
              <w:top w:val="nil"/>
              <w:left w:val="nil"/>
              <w:bottom w:val="single" w:sz="4" w:space="0" w:color="D9D9D9"/>
              <w:right w:val="single" w:sz="4" w:space="0" w:color="D9D9D9"/>
            </w:tcBorders>
            <w:noWrap/>
            <w:vAlign w:val="center"/>
            <w:hideMark/>
          </w:tcPr>
          <w:p w14:paraId="33EDDAA5"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1  (</w:t>
            </w:r>
            <w:proofErr w:type="gramEnd"/>
            <w:r w:rsidRPr="00713197">
              <w:rPr>
                <w:rFonts w:eastAsia="Aptos"/>
                <w:i/>
                <w:color w:val="0E2841"/>
                <w:kern w:val="2"/>
                <w:sz w:val="18"/>
                <w:szCs w:val="18"/>
              </w:rPr>
              <w:t>-88%)</w:t>
            </w:r>
          </w:p>
        </w:tc>
        <w:tc>
          <w:tcPr>
            <w:tcW w:w="1275" w:type="dxa"/>
            <w:tcBorders>
              <w:top w:val="nil"/>
              <w:left w:val="nil"/>
              <w:bottom w:val="single" w:sz="4" w:space="0" w:color="D9D9D9"/>
              <w:right w:val="single" w:sz="4" w:space="0" w:color="D9D9D9"/>
            </w:tcBorders>
            <w:noWrap/>
            <w:vAlign w:val="center"/>
            <w:hideMark/>
          </w:tcPr>
          <w:p w14:paraId="46E9C76E"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2  (</w:t>
            </w:r>
            <w:proofErr w:type="gramEnd"/>
            <w:r w:rsidRPr="00713197">
              <w:rPr>
                <w:rFonts w:eastAsia="Aptos"/>
                <w:i/>
                <w:color w:val="0E2841"/>
                <w:kern w:val="2"/>
                <w:sz w:val="18"/>
                <w:szCs w:val="18"/>
              </w:rPr>
              <w:t>-88%)</w:t>
            </w:r>
          </w:p>
        </w:tc>
        <w:tc>
          <w:tcPr>
            <w:tcW w:w="1134" w:type="dxa"/>
            <w:tcBorders>
              <w:top w:val="nil"/>
              <w:left w:val="nil"/>
              <w:bottom w:val="single" w:sz="4" w:space="0" w:color="D9D9D9"/>
              <w:right w:val="single" w:sz="4" w:space="0" w:color="D9D9D9"/>
            </w:tcBorders>
            <w:noWrap/>
            <w:vAlign w:val="center"/>
            <w:hideMark/>
          </w:tcPr>
          <w:p w14:paraId="1194987C"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1  (</w:t>
            </w:r>
            <w:proofErr w:type="gramEnd"/>
            <w:r w:rsidRPr="00713197">
              <w:rPr>
                <w:rFonts w:eastAsia="Aptos"/>
                <w:i/>
                <w:color w:val="0E2841"/>
                <w:kern w:val="2"/>
                <w:sz w:val="18"/>
                <w:szCs w:val="18"/>
              </w:rPr>
              <w:t>-87%)</w:t>
            </w:r>
          </w:p>
        </w:tc>
      </w:tr>
      <w:tr w:rsidR="000849E0" w:rsidRPr="000849E0" w14:paraId="1F928485" w14:textId="77777777" w:rsidTr="00713197">
        <w:trPr>
          <w:trHeight w:val="400"/>
        </w:trPr>
        <w:tc>
          <w:tcPr>
            <w:tcW w:w="1129" w:type="dxa"/>
            <w:vMerge/>
            <w:tcBorders>
              <w:top w:val="nil"/>
              <w:left w:val="single" w:sz="4" w:space="0" w:color="D9D9D9"/>
              <w:bottom w:val="single" w:sz="4" w:space="0" w:color="D9D9D9"/>
              <w:right w:val="single" w:sz="4" w:space="0" w:color="D9D9D9"/>
            </w:tcBorders>
            <w:vAlign w:val="center"/>
            <w:hideMark/>
          </w:tcPr>
          <w:p w14:paraId="07A93CF9" w14:textId="77777777" w:rsidR="000849E0" w:rsidRPr="00713197" w:rsidRDefault="000849E0" w:rsidP="00713197">
            <w:pPr>
              <w:jc w:val="center"/>
              <w:rPr>
                <w:rFonts w:eastAsia="Aptos"/>
                <w:b/>
                <w:i/>
                <w:color w:val="0E2841"/>
                <w:kern w:val="2"/>
                <w:sz w:val="18"/>
                <w:szCs w:val="18"/>
              </w:rPr>
            </w:pPr>
          </w:p>
        </w:tc>
        <w:tc>
          <w:tcPr>
            <w:tcW w:w="1026" w:type="dxa"/>
            <w:vMerge/>
            <w:tcBorders>
              <w:top w:val="nil"/>
              <w:left w:val="single" w:sz="4" w:space="0" w:color="D9D9D9"/>
              <w:bottom w:val="single" w:sz="4" w:space="0" w:color="D9D9D9"/>
              <w:right w:val="single" w:sz="4" w:space="0" w:color="D9D9D9"/>
            </w:tcBorders>
            <w:vAlign w:val="center"/>
            <w:hideMark/>
          </w:tcPr>
          <w:p w14:paraId="0294C11A" w14:textId="77777777" w:rsidR="000849E0" w:rsidRPr="00713197" w:rsidRDefault="000849E0" w:rsidP="00713197">
            <w:pPr>
              <w:jc w:val="center"/>
              <w:rPr>
                <w:rFonts w:eastAsia="Aptos"/>
                <w:b/>
                <w:i/>
                <w:color w:val="0E2841"/>
                <w:kern w:val="2"/>
                <w:sz w:val="18"/>
                <w:szCs w:val="18"/>
              </w:rPr>
            </w:pPr>
          </w:p>
        </w:tc>
        <w:tc>
          <w:tcPr>
            <w:tcW w:w="687" w:type="dxa"/>
            <w:tcBorders>
              <w:top w:val="nil"/>
              <w:left w:val="nil"/>
              <w:bottom w:val="single" w:sz="4" w:space="0" w:color="D9D9D9"/>
              <w:right w:val="single" w:sz="4" w:space="0" w:color="D9D9D9"/>
            </w:tcBorders>
            <w:noWrap/>
            <w:vAlign w:val="center"/>
            <w:hideMark/>
          </w:tcPr>
          <w:p w14:paraId="1FC0AF1B" w14:textId="77777777" w:rsidR="000849E0" w:rsidRPr="00713197" w:rsidRDefault="000849E0" w:rsidP="00713197">
            <w:pPr>
              <w:jc w:val="center"/>
              <w:rPr>
                <w:rFonts w:eastAsia="Aptos"/>
                <w:b/>
                <w:i/>
                <w:color w:val="0E2841"/>
                <w:kern w:val="2"/>
                <w:sz w:val="18"/>
                <w:szCs w:val="18"/>
              </w:rPr>
            </w:pPr>
            <w:r w:rsidRPr="00713197">
              <w:rPr>
                <w:rFonts w:eastAsia="Aptos"/>
                <w:b/>
                <w:i/>
                <w:color w:val="0E2841"/>
                <w:kern w:val="2"/>
                <w:sz w:val="18"/>
                <w:szCs w:val="18"/>
              </w:rPr>
              <w:t>Ga</w:t>
            </w:r>
          </w:p>
        </w:tc>
        <w:tc>
          <w:tcPr>
            <w:tcW w:w="1264" w:type="dxa"/>
            <w:tcBorders>
              <w:top w:val="nil"/>
              <w:left w:val="nil"/>
              <w:bottom w:val="single" w:sz="4" w:space="0" w:color="D9D9D9"/>
              <w:right w:val="single" w:sz="4" w:space="0" w:color="D9D9D9"/>
            </w:tcBorders>
            <w:noWrap/>
            <w:vAlign w:val="center"/>
            <w:hideMark/>
          </w:tcPr>
          <w:p w14:paraId="3E0A5C2D"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1  (</w:t>
            </w:r>
            <w:proofErr w:type="gramEnd"/>
            <w:r w:rsidRPr="00713197">
              <w:rPr>
                <w:rFonts w:eastAsia="Aptos"/>
                <w:i/>
                <w:color w:val="0E2841"/>
                <w:kern w:val="2"/>
                <w:sz w:val="18"/>
                <w:szCs w:val="18"/>
              </w:rPr>
              <w:t>-89%)</w:t>
            </w:r>
          </w:p>
        </w:tc>
        <w:tc>
          <w:tcPr>
            <w:tcW w:w="1276" w:type="dxa"/>
            <w:tcBorders>
              <w:top w:val="nil"/>
              <w:left w:val="nil"/>
              <w:bottom w:val="single" w:sz="4" w:space="0" w:color="D9D9D9"/>
              <w:right w:val="single" w:sz="4" w:space="0" w:color="D9D9D9"/>
            </w:tcBorders>
            <w:noWrap/>
            <w:vAlign w:val="center"/>
            <w:hideMark/>
          </w:tcPr>
          <w:p w14:paraId="2E7F1220"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1  (</w:t>
            </w:r>
            <w:proofErr w:type="gramEnd"/>
            <w:r w:rsidRPr="00713197">
              <w:rPr>
                <w:rFonts w:eastAsia="Aptos"/>
                <w:i/>
                <w:color w:val="0E2841"/>
                <w:kern w:val="2"/>
                <w:sz w:val="18"/>
                <w:szCs w:val="18"/>
              </w:rPr>
              <w:t>-89%)</w:t>
            </w:r>
          </w:p>
        </w:tc>
        <w:tc>
          <w:tcPr>
            <w:tcW w:w="1276" w:type="dxa"/>
            <w:tcBorders>
              <w:top w:val="nil"/>
              <w:left w:val="nil"/>
              <w:bottom w:val="single" w:sz="4" w:space="0" w:color="D9D9D9"/>
              <w:right w:val="single" w:sz="4" w:space="0" w:color="D9D9D9"/>
            </w:tcBorders>
            <w:noWrap/>
            <w:vAlign w:val="center"/>
            <w:hideMark/>
          </w:tcPr>
          <w:p w14:paraId="5BE71F0E"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0  (</w:t>
            </w:r>
            <w:proofErr w:type="gramEnd"/>
            <w:r w:rsidRPr="00713197">
              <w:rPr>
                <w:rFonts w:eastAsia="Aptos"/>
                <w:i/>
                <w:color w:val="0E2841"/>
                <w:kern w:val="2"/>
                <w:sz w:val="18"/>
                <w:szCs w:val="18"/>
              </w:rPr>
              <w:t>-89%)</w:t>
            </w:r>
          </w:p>
        </w:tc>
        <w:tc>
          <w:tcPr>
            <w:tcW w:w="1275" w:type="dxa"/>
            <w:tcBorders>
              <w:top w:val="nil"/>
              <w:left w:val="nil"/>
              <w:bottom w:val="single" w:sz="4" w:space="0" w:color="D9D9D9"/>
              <w:right w:val="single" w:sz="4" w:space="0" w:color="D9D9D9"/>
            </w:tcBorders>
            <w:noWrap/>
            <w:vAlign w:val="center"/>
            <w:hideMark/>
          </w:tcPr>
          <w:p w14:paraId="4C9F3639"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1  (</w:t>
            </w:r>
            <w:proofErr w:type="gramEnd"/>
            <w:r w:rsidRPr="00713197">
              <w:rPr>
                <w:rFonts w:eastAsia="Aptos"/>
                <w:i/>
                <w:color w:val="0E2841"/>
                <w:kern w:val="2"/>
                <w:sz w:val="18"/>
                <w:szCs w:val="18"/>
              </w:rPr>
              <w:t>-88%)</w:t>
            </w:r>
          </w:p>
        </w:tc>
        <w:tc>
          <w:tcPr>
            <w:tcW w:w="1134" w:type="dxa"/>
            <w:tcBorders>
              <w:top w:val="nil"/>
              <w:left w:val="nil"/>
              <w:bottom w:val="single" w:sz="4" w:space="0" w:color="D9D9D9"/>
              <w:right w:val="single" w:sz="4" w:space="0" w:color="D9D9D9"/>
            </w:tcBorders>
            <w:noWrap/>
            <w:vAlign w:val="center"/>
            <w:hideMark/>
          </w:tcPr>
          <w:p w14:paraId="12F01641"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0  (</w:t>
            </w:r>
            <w:proofErr w:type="gramEnd"/>
            <w:r w:rsidRPr="00713197">
              <w:rPr>
                <w:rFonts w:eastAsia="Aptos"/>
                <w:i/>
                <w:color w:val="0E2841"/>
                <w:kern w:val="2"/>
                <w:sz w:val="18"/>
                <w:szCs w:val="18"/>
              </w:rPr>
              <w:t>-86%)</w:t>
            </w:r>
          </w:p>
        </w:tc>
      </w:tr>
      <w:tr w:rsidR="000849E0" w:rsidRPr="000849E0" w14:paraId="505FAADF" w14:textId="77777777" w:rsidTr="00713197">
        <w:trPr>
          <w:trHeight w:val="400"/>
        </w:trPr>
        <w:tc>
          <w:tcPr>
            <w:tcW w:w="1129" w:type="dxa"/>
            <w:vMerge/>
            <w:tcBorders>
              <w:top w:val="nil"/>
              <w:left w:val="single" w:sz="4" w:space="0" w:color="D9D9D9"/>
              <w:bottom w:val="single" w:sz="4" w:space="0" w:color="D9D9D9"/>
              <w:right w:val="single" w:sz="4" w:space="0" w:color="D9D9D9"/>
            </w:tcBorders>
            <w:vAlign w:val="center"/>
            <w:hideMark/>
          </w:tcPr>
          <w:p w14:paraId="52F2B20A" w14:textId="77777777" w:rsidR="000849E0" w:rsidRPr="00713197" w:rsidRDefault="000849E0" w:rsidP="00713197">
            <w:pPr>
              <w:jc w:val="center"/>
              <w:rPr>
                <w:rFonts w:eastAsia="Aptos"/>
                <w:b/>
                <w:i/>
                <w:color w:val="0E2841"/>
                <w:kern w:val="2"/>
                <w:sz w:val="18"/>
                <w:szCs w:val="18"/>
              </w:rPr>
            </w:pPr>
          </w:p>
        </w:tc>
        <w:tc>
          <w:tcPr>
            <w:tcW w:w="1026" w:type="dxa"/>
            <w:vMerge/>
            <w:tcBorders>
              <w:top w:val="nil"/>
              <w:left w:val="single" w:sz="4" w:space="0" w:color="D9D9D9"/>
              <w:bottom w:val="single" w:sz="4" w:space="0" w:color="D9D9D9"/>
              <w:right w:val="single" w:sz="4" w:space="0" w:color="D9D9D9"/>
            </w:tcBorders>
            <w:vAlign w:val="center"/>
            <w:hideMark/>
          </w:tcPr>
          <w:p w14:paraId="43A50DAA" w14:textId="77777777" w:rsidR="000849E0" w:rsidRPr="00713197" w:rsidRDefault="000849E0" w:rsidP="00713197">
            <w:pPr>
              <w:jc w:val="center"/>
              <w:rPr>
                <w:rFonts w:eastAsia="Aptos"/>
                <w:b/>
                <w:i/>
                <w:color w:val="0E2841"/>
                <w:kern w:val="2"/>
                <w:sz w:val="18"/>
                <w:szCs w:val="18"/>
              </w:rPr>
            </w:pPr>
          </w:p>
        </w:tc>
        <w:tc>
          <w:tcPr>
            <w:tcW w:w="687" w:type="dxa"/>
            <w:tcBorders>
              <w:top w:val="nil"/>
              <w:left w:val="nil"/>
              <w:bottom w:val="single" w:sz="4" w:space="0" w:color="D9D9D9"/>
              <w:right w:val="single" w:sz="4" w:space="0" w:color="D9D9D9"/>
            </w:tcBorders>
            <w:noWrap/>
            <w:vAlign w:val="center"/>
            <w:hideMark/>
          </w:tcPr>
          <w:p w14:paraId="2E09F90B" w14:textId="77777777" w:rsidR="000849E0" w:rsidRPr="00713197" w:rsidRDefault="000849E0" w:rsidP="00713197">
            <w:pPr>
              <w:jc w:val="center"/>
              <w:rPr>
                <w:rFonts w:eastAsia="Aptos"/>
                <w:b/>
                <w:i/>
                <w:color w:val="0E2841"/>
                <w:kern w:val="2"/>
                <w:sz w:val="18"/>
                <w:szCs w:val="18"/>
              </w:rPr>
            </w:pPr>
            <w:r w:rsidRPr="00713197">
              <w:rPr>
                <w:rFonts w:eastAsia="Aptos"/>
                <w:b/>
                <w:i/>
                <w:color w:val="0E2841"/>
                <w:kern w:val="2"/>
                <w:sz w:val="18"/>
                <w:szCs w:val="18"/>
              </w:rPr>
              <w:t>Se</w:t>
            </w:r>
          </w:p>
        </w:tc>
        <w:tc>
          <w:tcPr>
            <w:tcW w:w="1264" w:type="dxa"/>
            <w:tcBorders>
              <w:top w:val="nil"/>
              <w:left w:val="nil"/>
              <w:bottom w:val="single" w:sz="4" w:space="0" w:color="D9D9D9"/>
              <w:right w:val="single" w:sz="4" w:space="0" w:color="D9D9D9"/>
            </w:tcBorders>
            <w:noWrap/>
            <w:vAlign w:val="center"/>
            <w:hideMark/>
          </w:tcPr>
          <w:p w14:paraId="4FA3DD02"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5  (</w:t>
            </w:r>
            <w:proofErr w:type="gramEnd"/>
            <w:r w:rsidRPr="00713197">
              <w:rPr>
                <w:rFonts w:eastAsia="Aptos"/>
                <w:i/>
                <w:color w:val="0E2841"/>
                <w:kern w:val="2"/>
                <w:sz w:val="18"/>
                <w:szCs w:val="18"/>
              </w:rPr>
              <w:t>-90%)</w:t>
            </w:r>
          </w:p>
        </w:tc>
        <w:tc>
          <w:tcPr>
            <w:tcW w:w="1276" w:type="dxa"/>
            <w:tcBorders>
              <w:top w:val="nil"/>
              <w:left w:val="nil"/>
              <w:bottom w:val="single" w:sz="4" w:space="0" w:color="D9D9D9"/>
              <w:right w:val="single" w:sz="4" w:space="0" w:color="D9D9D9"/>
            </w:tcBorders>
            <w:noWrap/>
            <w:vAlign w:val="center"/>
            <w:hideMark/>
          </w:tcPr>
          <w:p w14:paraId="5C62708A"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5  (</w:t>
            </w:r>
            <w:proofErr w:type="gramEnd"/>
            <w:r w:rsidRPr="00713197">
              <w:rPr>
                <w:rFonts w:eastAsia="Aptos"/>
                <w:i/>
                <w:color w:val="0E2841"/>
                <w:kern w:val="2"/>
                <w:sz w:val="18"/>
                <w:szCs w:val="18"/>
              </w:rPr>
              <w:t>-90%)</w:t>
            </w:r>
          </w:p>
        </w:tc>
        <w:tc>
          <w:tcPr>
            <w:tcW w:w="1276" w:type="dxa"/>
            <w:tcBorders>
              <w:top w:val="nil"/>
              <w:left w:val="nil"/>
              <w:bottom w:val="single" w:sz="4" w:space="0" w:color="D9D9D9"/>
              <w:right w:val="single" w:sz="4" w:space="0" w:color="D9D9D9"/>
            </w:tcBorders>
            <w:noWrap/>
            <w:vAlign w:val="center"/>
            <w:hideMark/>
          </w:tcPr>
          <w:p w14:paraId="47843DAB"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2  (</w:t>
            </w:r>
            <w:proofErr w:type="gramEnd"/>
            <w:r w:rsidRPr="00713197">
              <w:rPr>
                <w:rFonts w:eastAsia="Aptos"/>
                <w:i/>
                <w:color w:val="0E2841"/>
                <w:kern w:val="2"/>
                <w:sz w:val="18"/>
                <w:szCs w:val="18"/>
              </w:rPr>
              <w:t>-88%)</w:t>
            </w:r>
          </w:p>
        </w:tc>
        <w:tc>
          <w:tcPr>
            <w:tcW w:w="1275" w:type="dxa"/>
            <w:tcBorders>
              <w:top w:val="nil"/>
              <w:left w:val="nil"/>
              <w:bottom w:val="single" w:sz="4" w:space="0" w:color="D9D9D9"/>
              <w:right w:val="single" w:sz="4" w:space="0" w:color="D9D9D9"/>
            </w:tcBorders>
            <w:noWrap/>
            <w:vAlign w:val="center"/>
            <w:hideMark/>
          </w:tcPr>
          <w:p w14:paraId="373E934D"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5  (</w:t>
            </w:r>
            <w:proofErr w:type="gramEnd"/>
            <w:r w:rsidRPr="00713197">
              <w:rPr>
                <w:rFonts w:eastAsia="Aptos"/>
                <w:i/>
                <w:color w:val="0E2841"/>
                <w:kern w:val="2"/>
                <w:sz w:val="18"/>
                <w:szCs w:val="18"/>
              </w:rPr>
              <w:t>-88%)</w:t>
            </w:r>
          </w:p>
        </w:tc>
        <w:tc>
          <w:tcPr>
            <w:tcW w:w="1134" w:type="dxa"/>
            <w:tcBorders>
              <w:top w:val="nil"/>
              <w:left w:val="nil"/>
              <w:bottom w:val="single" w:sz="4" w:space="0" w:color="D9D9D9"/>
              <w:right w:val="single" w:sz="4" w:space="0" w:color="D9D9D9"/>
            </w:tcBorders>
            <w:noWrap/>
            <w:vAlign w:val="center"/>
            <w:hideMark/>
          </w:tcPr>
          <w:p w14:paraId="76A5C411" w14:textId="77777777" w:rsidR="000849E0" w:rsidRPr="00713197" w:rsidRDefault="000849E0" w:rsidP="00713197">
            <w:pPr>
              <w:jc w:val="center"/>
              <w:rPr>
                <w:rFonts w:eastAsia="Aptos"/>
                <w:i/>
                <w:color w:val="0E2841"/>
                <w:kern w:val="2"/>
                <w:sz w:val="18"/>
                <w:szCs w:val="18"/>
              </w:rPr>
            </w:pPr>
            <w:proofErr w:type="gramStart"/>
            <w:r w:rsidRPr="00713197">
              <w:rPr>
                <w:rFonts w:eastAsia="Aptos"/>
                <w:i/>
                <w:color w:val="0E2841"/>
                <w:kern w:val="2"/>
                <w:sz w:val="18"/>
                <w:szCs w:val="18"/>
              </w:rPr>
              <w:t>2  (</w:t>
            </w:r>
            <w:proofErr w:type="gramEnd"/>
            <w:r w:rsidRPr="00713197">
              <w:rPr>
                <w:rFonts w:eastAsia="Aptos"/>
                <w:i/>
                <w:color w:val="0E2841"/>
                <w:kern w:val="2"/>
                <w:sz w:val="18"/>
                <w:szCs w:val="18"/>
              </w:rPr>
              <w:t>-87%)</w:t>
            </w:r>
          </w:p>
        </w:tc>
      </w:tr>
    </w:tbl>
    <w:p w14:paraId="066CD20F" w14:textId="77777777" w:rsidR="005748AA" w:rsidRDefault="005748AA" w:rsidP="00315290">
      <w:pPr>
        <w:rPr>
          <w:lang w:val="en-GB"/>
        </w:rPr>
      </w:pPr>
    </w:p>
    <w:p w14:paraId="2C60003C" w14:textId="77777777" w:rsidR="005827D9" w:rsidRDefault="005827D9" w:rsidP="00315290">
      <w:pPr>
        <w:rPr>
          <w:lang w:val="en-GB"/>
        </w:rPr>
      </w:pPr>
    </w:p>
    <w:p w14:paraId="62DACDE0" w14:textId="77777777" w:rsidR="005827D9" w:rsidRDefault="005827D9" w:rsidP="00315290">
      <w:pPr>
        <w:rPr>
          <w:lang w:val="en-GB"/>
        </w:rPr>
      </w:pPr>
    </w:p>
    <w:p w14:paraId="4996CFDE" w14:textId="77777777" w:rsidR="005827D9" w:rsidRDefault="005827D9" w:rsidP="00315290">
      <w:pPr>
        <w:rPr>
          <w:lang w:val="en-GB"/>
        </w:rPr>
      </w:pPr>
    </w:p>
    <w:p w14:paraId="61370999" w14:textId="77777777" w:rsidR="005827D9" w:rsidRDefault="005827D9" w:rsidP="00315290">
      <w:pPr>
        <w:rPr>
          <w:lang w:val="en-GB"/>
        </w:rPr>
      </w:pPr>
    </w:p>
    <w:p w14:paraId="7711F156" w14:textId="77777777" w:rsidR="005827D9" w:rsidRDefault="005827D9" w:rsidP="00315290">
      <w:pPr>
        <w:rPr>
          <w:lang w:val="en-GB"/>
        </w:rPr>
      </w:pPr>
    </w:p>
    <w:p w14:paraId="5B2388B2" w14:textId="77777777" w:rsidR="005827D9" w:rsidRDefault="005827D9" w:rsidP="00315290">
      <w:pPr>
        <w:rPr>
          <w:lang w:val="en-GB"/>
        </w:rPr>
      </w:pPr>
    </w:p>
    <w:p w14:paraId="1BA127BD" w14:textId="77777777" w:rsidR="00597726" w:rsidRPr="00713197" w:rsidRDefault="00597726" w:rsidP="00713197">
      <w:pPr>
        <w:jc w:val="center"/>
        <w:rPr>
          <w:bCs/>
          <w:color w:val="0E2841"/>
          <w:sz w:val="18"/>
          <w:szCs w:val="18"/>
        </w:rPr>
      </w:pPr>
      <w:r w:rsidRPr="00713197">
        <w:rPr>
          <w:b/>
          <w:color w:val="0E2841"/>
          <w:sz w:val="18"/>
          <w:szCs w:val="18"/>
        </w:rPr>
        <w:t xml:space="preserve">Table S1.22: </w:t>
      </w:r>
      <w:bookmarkStart w:id="101" w:name="_Toc208849808"/>
      <w:r w:rsidRPr="00713197">
        <w:rPr>
          <w:bCs/>
          <w:color w:val="0E2841"/>
          <w:sz w:val="18"/>
          <w:szCs w:val="18"/>
        </w:rPr>
        <w:t>Sensitivity analysis for the cumulative demands (inflows) for minor metals (in</w:t>
      </w:r>
      <w:bookmarkEnd w:id="101"/>
    </w:p>
    <w:p w14:paraId="107E2B98" w14:textId="66102128" w:rsidR="00597726" w:rsidRPr="00713197" w:rsidRDefault="00597726" w:rsidP="00713197">
      <w:pPr>
        <w:jc w:val="center"/>
        <w:rPr>
          <w:bCs/>
          <w:color w:val="0E2841"/>
          <w:sz w:val="18"/>
          <w:szCs w:val="18"/>
        </w:rPr>
      </w:pPr>
      <w:bookmarkStart w:id="102" w:name="_Toc208849809"/>
      <w:r w:rsidRPr="00713197">
        <w:rPr>
          <w:bCs/>
          <w:color w:val="0E2841"/>
          <w:sz w:val="18"/>
          <w:szCs w:val="18"/>
        </w:rPr>
        <w:t>tons) for the period 2022-2050 in scenario SI</w:t>
      </w:r>
      <w:r w:rsidR="00E11DDF">
        <w:rPr>
          <w:bCs/>
          <w:color w:val="0E2841"/>
          <w:sz w:val="18"/>
          <w:szCs w:val="18"/>
        </w:rPr>
        <w:t>I</w:t>
      </w:r>
      <w:r w:rsidRPr="00713197">
        <w:rPr>
          <w:bCs/>
          <w:color w:val="0E2841"/>
          <w:sz w:val="18"/>
          <w:szCs w:val="18"/>
        </w:rPr>
        <w:t>. The percentage change from the original scenarios is presented in brackets.</w:t>
      </w:r>
      <w:bookmarkEnd w:id="102"/>
    </w:p>
    <w:tbl>
      <w:tblPr>
        <w:tblpPr w:leftFromText="180" w:rightFromText="180" w:vertAnchor="text" w:horzAnchor="margin" w:tblpY="407"/>
        <w:tblW w:w="9067" w:type="dxa"/>
        <w:tblLook w:val="04A0" w:firstRow="1" w:lastRow="0" w:firstColumn="1" w:lastColumn="0" w:noHBand="0" w:noVBand="1"/>
      </w:tblPr>
      <w:tblGrid>
        <w:gridCol w:w="1129"/>
        <w:gridCol w:w="1026"/>
        <w:gridCol w:w="687"/>
        <w:gridCol w:w="1264"/>
        <w:gridCol w:w="1276"/>
        <w:gridCol w:w="1276"/>
        <w:gridCol w:w="1275"/>
        <w:gridCol w:w="1134"/>
      </w:tblGrid>
      <w:tr w:rsidR="005827D9" w:rsidRPr="00597726" w14:paraId="27DAACF9" w14:textId="77777777" w:rsidTr="00BE4D65">
        <w:trPr>
          <w:trHeight w:val="274"/>
        </w:trPr>
        <w:tc>
          <w:tcPr>
            <w:tcW w:w="1129" w:type="dxa"/>
            <w:tcBorders>
              <w:top w:val="single" w:sz="4" w:space="0" w:color="D9D9D9"/>
              <w:left w:val="single" w:sz="4" w:space="0" w:color="D9D9D9"/>
              <w:bottom w:val="single" w:sz="4" w:space="0" w:color="D9D9D9"/>
              <w:right w:val="single" w:sz="4" w:space="0" w:color="D9D9D9"/>
            </w:tcBorders>
            <w:noWrap/>
            <w:vAlign w:val="center"/>
            <w:hideMark/>
          </w:tcPr>
          <w:p w14:paraId="535B26F5" w14:textId="77777777" w:rsidR="00315290" w:rsidRPr="00713197" w:rsidRDefault="00315290" w:rsidP="00713197">
            <w:pPr>
              <w:jc w:val="center"/>
              <w:rPr>
                <w:rFonts w:eastAsia="Aptos"/>
                <w:b/>
                <w:i/>
                <w:color w:val="0E2841"/>
                <w:kern w:val="2"/>
                <w:sz w:val="18"/>
                <w:szCs w:val="18"/>
              </w:rPr>
            </w:pPr>
            <w:r w:rsidRPr="00713197">
              <w:rPr>
                <w:rFonts w:eastAsia="Aptos"/>
                <w:b/>
                <w:i/>
                <w:color w:val="0E2841"/>
                <w:kern w:val="2"/>
                <w:sz w:val="18"/>
                <w:szCs w:val="18"/>
              </w:rPr>
              <w:t>Technology</w:t>
            </w:r>
          </w:p>
        </w:tc>
        <w:tc>
          <w:tcPr>
            <w:tcW w:w="1026" w:type="dxa"/>
            <w:tcBorders>
              <w:top w:val="single" w:sz="4" w:space="0" w:color="D9D9D9"/>
              <w:left w:val="nil"/>
              <w:bottom w:val="single" w:sz="4" w:space="0" w:color="D9D9D9"/>
              <w:right w:val="single" w:sz="4" w:space="0" w:color="D9D9D9"/>
            </w:tcBorders>
            <w:vAlign w:val="center"/>
            <w:hideMark/>
          </w:tcPr>
          <w:p w14:paraId="6AF25C71" w14:textId="77777777" w:rsidR="00315290" w:rsidRPr="00713197" w:rsidRDefault="00315290" w:rsidP="00713197">
            <w:pPr>
              <w:jc w:val="center"/>
              <w:rPr>
                <w:rFonts w:eastAsia="Aptos"/>
                <w:b/>
                <w:i/>
                <w:color w:val="0E2841"/>
                <w:kern w:val="2"/>
                <w:sz w:val="18"/>
                <w:szCs w:val="18"/>
              </w:rPr>
            </w:pPr>
            <w:r w:rsidRPr="00713197">
              <w:rPr>
                <w:rFonts w:eastAsia="Aptos"/>
                <w:b/>
                <w:i/>
                <w:color w:val="0E2841"/>
                <w:kern w:val="2"/>
                <w:sz w:val="18"/>
                <w:szCs w:val="18"/>
              </w:rPr>
              <w:t>Sub-technology</w:t>
            </w:r>
          </w:p>
        </w:tc>
        <w:tc>
          <w:tcPr>
            <w:tcW w:w="687" w:type="dxa"/>
            <w:tcBorders>
              <w:top w:val="single" w:sz="4" w:space="0" w:color="D9D9D9"/>
              <w:left w:val="nil"/>
              <w:bottom w:val="single" w:sz="4" w:space="0" w:color="D9D9D9"/>
              <w:right w:val="single" w:sz="4" w:space="0" w:color="D9D9D9"/>
            </w:tcBorders>
            <w:vAlign w:val="center"/>
            <w:hideMark/>
          </w:tcPr>
          <w:p w14:paraId="6ED15A47" w14:textId="77777777" w:rsidR="00315290" w:rsidRPr="00713197" w:rsidRDefault="00315290" w:rsidP="00713197">
            <w:pPr>
              <w:jc w:val="center"/>
              <w:rPr>
                <w:rFonts w:eastAsia="Aptos"/>
                <w:b/>
                <w:i/>
                <w:color w:val="0E2841"/>
                <w:kern w:val="2"/>
                <w:sz w:val="18"/>
                <w:szCs w:val="18"/>
              </w:rPr>
            </w:pPr>
            <w:r w:rsidRPr="00713197">
              <w:rPr>
                <w:rFonts w:eastAsia="Aptos"/>
                <w:b/>
                <w:i/>
                <w:color w:val="0E2841"/>
                <w:kern w:val="2"/>
                <w:sz w:val="18"/>
                <w:szCs w:val="18"/>
              </w:rPr>
              <w:t>Minor metal</w:t>
            </w:r>
          </w:p>
        </w:tc>
        <w:tc>
          <w:tcPr>
            <w:tcW w:w="1264" w:type="dxa"/>
            <w:tcBorders>
              <w:top w:val="single" w:sz="4" w:space="0" w:color="D9D9D9"/>
              <w:left w:val="nil"/>
              <w:bottom w:val="single" w:sz="4" w:space="0" w:color="D9D9D9"/>
              <w:right w:val="single" w:sz="4" w:space="0" w:color="D9D9D9"/>
            </w:tcBorders>
            <w:vAlign w:val="center"/>
            <w:hideMark/>
          </w:tcPr>
          <w:p w14:paraId="7081401D" w14:textId="77777777" w:rsidR="00315290" w:rsidRPr="00713197" w:rsidRDefault="00315290" w:rsidP="00713197">
            <w:pPr>
              <w:jc w:val="center"/>
              <w:rPr>
                <w:rFonts w:eastAsia="Aptos"/>
                <w:b/>
                <w:i/>
                <w:color w:val="0E2841"/>
                <w:kern w:val="2"/>
                <w:sz w:val="18"/>
                <w:szCs w:val="18"/>
              </w:rPr>
            </w:pPr>
            <w:r w:rsidRPr="00713197">
              <w:rPr>
                <w:rFonts w:eastAsia="Aptos"/>
                <w:b/>
                <w:i/>
                <w:color w:val="0E2841"/>
                <w:kern w:val="2"/>
                <w:sz w:val="18"/>
                <w:szCs w:val="18"/>
              </w:rPr>
              <w:t>Baseline</w:t>
            </w:r>
          </w:p>
        </w:tc>
        <w:tc>
          <w:tcPr>
            <w:tcW w:w="1276" w:type="dxa"/>
            <w:tcBorders>
              <w:top w:val="single" w:sz="4" w:space="0" w:color="D9D9D9"/>
              <w:left w:val="nil"/>
              <w:bottom w:val="single" w:sz="4" w:space="0" w:color="D9D9D9"/>
              <w:right w:val="single" w:sz="4" w:space="0" w:color="D9D9D9"/>
            </w:tcBorders>
            <w:vAlign w:val="center"/>
            <w:hideMark/>
          </w:tcPr>
          <w:p w14:paraId="29858F26" w14:textId="77777777" w:rsidR="00315290" w:rsidRPr="00713197" w:rsidRDefault="00315290" w:rsidP="00713197">
            <w:pPr>
              <w:jc w:val="center"/>
              <w:rPr>
                <w:rFonts w:eastAsia="Aptos"/>
                <w:b/>
                <w:i/>
                <w:color w:val="0E2841"/>
                <w:kern w:val="2"/>
                <w:sz w:val="18"/>
                <w:szCs w:val="18"/>
              </w:rPr>
            </w:pPr>
            <w:r w:rsidRPr="00713197">
              <w:rPr>
                <w:rFonts w:eastAsia="Aptos"/>
                <w:b/>
                <w:i/>
                <w:color w:val="0E2841"/>
                <w:kern w:val="2"/>
                <w:sz w:val="18"/>
                <w:szCs w:val="18"/>
              </w:rPr>
              <w:t>Lifespan expansion</w:t>
            </w:r>
          </w:p>
        </w:tc>
        <w:tc>
          <w:tcPr>
            <w:tcW w:w="1276" w:type="dxa"/>
            <w:tcBorders>
              <w:top w:val="single" w:sz="4" w:space="0" w:color="D9D9D9"/>
              <w:left w:val="nil"/>
              <w:bottom w:val="single" w:sz="4" w:space="0" w:color="D9D9D9"/>
              <w:right w:val="single" w:sz="4" w:space="0" w:color="D9D9D9"/>
            </w:tcBorders>
            <w:vAlign w:val="center"/>
            <w:hideMark/>
          </w:tcPr>
          <w:p w14:paraId="03D16CF7" w14:textId="77777777" w:rsidR="00315290" w:rsidRPr="00713197" w:rsidRDefault="00315290" w:rsidP="00713197">
            <w:pPr>
              <w:jc w:val="center"/>
              <w:rPr>
                <w:rFonts w:eastAsia="Aptos"/>
                <w:b/>
                <w:i/>
                <w:color w:val="0E2841"/>
                <w:kern w:val="2"/>
                <w:sz w:val="18"/>
                <w:szCs w:val="18"/>
              </w:rPr>
            </w:pPr>
            <w:r w:rsidRPr="00713197">
              <w:rPr>
                <w:rFonts w:eastAsia="Aptos"/>
                <w:b/>
                <w:i/>
                <w:color w:val="0E2841"/>
                <w:kern w:val="2"/>
                <w:sz w:val="18"/>
                <w:szCs w:val="18"/>
              </w:rPr>
              <w:t>MI reduction</w:t>
            </w:r>
          </w:p>
        </w:tc>
        <w:tc>
          <w:tcPr>
            <w:tcW w:w="1275" w:type="dxa"/>
            <w:tcBorders>
              <w:top w:val="single" w:sz="4" w:space="0" w:color="D9D9D9"/>
              <w:left w:val="nil"/>
              <w:bottom w:val="single" w:sz="4" w:space="0" w:color="D9D9D9"/>
              <w:right w:val="single" w:sz="4" w:space="0" w:color="D9D9D9"/>
            </w:tcBorders>
            <w:vAlign w:val="center"/>
            <w:hideMark/>
          </w:tcPr>
          <w:p w14:paraId="144DF023" w14:textId="77777777" w:rsidR="00315290" w:rsidRPr="00713197" w:rsidRDefault="00315290" w:rsidP="00713197">
            <w:pPr>
              <w:jc w:val="center"/>
              <w:rPr>
                <w:rFonts w:eastAsia="Aptos"/>
                <w:b/>
                <w:i/>
                <w:color w:val="0E2841"/>
                <w:kern w:val="2"/>
                <w:sz w:val="18"/>
                <w:szCs w:val="18"/>
              </w:rPr>
            </w:pPr>
            <w:r w:rsidRPr="00713197">
              <w:rPr>
                <w:rFonts w:eastAsia="Aptos"/>
                <w:b/>
                <w:i/>
                <w:color w:val="0E2841"/>
                <w:kern w:val="2"/>
                <w:sz w:val="18"/>
                <w:szCs w:val="18"/>
              </w:rPr>
              <w:t>Substitution</w:t>
            </w:r>
          </w:p>
        </w:tc>
        <w:tc>
          <w:tcPr>
            <w:tcW w:w="1134" w:type="dxa"/>
            <w:tcBorders>
              <w:top w:val="single" w:sz="4" w:space="0" w:color="D9D9D9"/>
              <w:left w:val="nil"/>
              <w:bottom w:val="single" w:sz="4" w:space="0" w:color="D9D9D9"/>
              <w:right w:val="single" w:sz="4" w:space="0" w:color="D9D9D9"/>
            </w:tcBorders>
            <w:vAlign w:val="center"/>
            <w:hideMark/>
          </w:tcPr>
          <w:p w14:paraId="0D022F3B" w14:textId="77777777" w:rsidR="00315290" w:rsidRPr="00713197" w:rsidRDefault="00315290" w:rsidP="00713197">
            <w:pPr>
              <w:jc w:val="center"/>
              <w:rPr>
                <w:rFonts w:eastAsia="Aptos"/>
                <w:b/>
                <w:i/>
                <w:color w:val="0E2841"/>
                <w:kern w:val="2"/>
                <w:sz w:val="18"/>
                <w:szCs w:val="18"/>
              </w:rPr>
            </w:pPr>
            <w:r w:rsidRPr="00713197">
              <w:rPr>
                <w:rFonts w:eastAsia="Aptos"/>
                <w:b/>
                <w:i/>
                <w:color w:val="0E2841"/>
                <w:kern w:val="2"/>
                <w:sz w:val="18"/>
                <w:szCs w:val="18"/>
              </w:rPr>
              <w:t>Composite</w:t>
            </w:r>
          </w:p>
        </w:tc>
      </w:tr>
      <w:tr w:rsidR="005827D9" w:rsidRPr="00597726" w14:paraId="7A6255A6" w14:textId="77777777" w:rsidTr="00BE4D65">
        <w:trPr>
          <w:trHeight w:val="360"/>
        </w:trPr>
        <w:tc>
          <w:tcPr>
            <w:tcW w:w="1129" w:type="dxa"/>
            <w:vMerge w:val="restart"/>
            <w:tcBorders>
              <w:top w:val="nil"/>
              <w:left w:val="single" w:sz="4" w:space="0" w:color="D9D9D9"/>
              <w:bottom w:val="single" w:sz="4" w:space="0" w:color="D9D9D9"/>
              <w:right w:val="single" w:sz="4" w:space="0" w:color="D9D9D9"/>
            </w:tcBorders>
            <w:vAlign w:val="center"/>
            <w:hideMark/>
          </w:tcPr>
          <w:p w14:paraId="0B2A8B53" w14:textId="77777777" w:rsidR="00315290" w:rsidRPr="00713197" w:rsidRDefault="00315290" w:rsidP="00713197">
            <w:pPr>
              <w:jc w:val="center"/>
              <w:rPr>
                <w:rFonts w:eastAsia="Aptos"/>
                <w:b/>
                <w:i/>
                <w:color w:val="0E2841"/>
                <w:kern w:val="2"/>
                <w:sz w:val="18"/>
                <w:szCs w:val="18"/>
              </w:rPr>
            </w:pPr>
            <w:r w:rsidRPr="00713197">
              <w:rPr>
                <w:rFonts w:eastAsia="Aptos"/>
                <w:b/>
                <w:i/>
                <w:color w:val="0E2841"/>
                <w:kern w:val="2"/>
                <w:sz w:val="18"/>
                <w:szCs w:val="18"/>
              </w:rPr>
              <w:t>Wind</w:t>
            </w:r>
            <w:r w:rsidRPr="00713197">
              <w:rPr>
                <w:rFonts w:eastAsia="Aptos"/>
                <w:b/>
                <w:i/>
                <w:color w:val="0E2841"/>
                <w:kern w:val="2"/>
                <w:sz w:val="18"/>
                <w:szCs w:val="18"/>
              </w:rPr>
              <w:br/>
              <w:t>(onshore &amp;</w:t>
            </w:r>
            <w:r w:rsidRPr="00713197">
              <w:rPr>
                <w:rFonts w:eastAsia="Aptos"/>
                <w:b/>
                <w:i/>
                <w:color w:val="0E2841"/>
                <w:kern w:val="2"/>
                <w:sz w:val="18"/>
                <w:szCs w:val="18"/>
              </w:rPr>
              <w:br/>
              <w:t>offshore)</w:t>
            </w:r>
          </w:p>
        </w:tc>
        <w:tc>
          <w:tcPr>
            <w:tcW w:w="1026" w:type="dxa"/>
            <w:vMerge w:val="restart"/>
            <w:tcBorders>
              <w:top w:val="nil"/>
              <w:left w:val="single" w:sz="4" w:space="0" w:color="D9D9D9"/>
              <w:bottom w:val="single" w:sz="4" w:space="0" w:color="D9D9D9"/>
              <w:right w:val="single" w:sz="4" w:space="0" w:color="D9D9D9"/>
            </w:tcBorders>
            <w:vAlign w:val="center"/>
            <w:hideMark/>
          </w:tcPr>
          <w:p w14:paraId="7A2FB1D6" w14:textId="77777777" w:rsidR="00315290" w:rsidRPr="00713197" w:rsidRDefault="00315290" w:rsidP="00713197">
            <w:pPr>
              <w:jc w:val="center"/>
              <w:rPr>
                <w:rFonts w:eastAsia="Aptos"/>
                <w:b/>
                <w:i/>
                <w:color w:val="0E2841"/>
                <w:kern w:val="2"/>
                <w:sz w:val="18"/>
                <w:szCs w:val="18"/>
              </w:rPr>
            </w:pPr>
            <w:r w:rsidRPr="00713197">
              <w:rPr>
                <w:rFonts w:eastAsia="Aptos"/>
                <w:b/>
                <w:i/>
                <w:color w:val="0E2841"/>
                <w:kern w:val="2"/>
                <w:sz w:val="18"/>
                <w:szCs w:val="18"/>
              </w:rPr>
              <w:t>DD-PMSG &amp; GB-PMSG</w:t>
            </w:r>
          </w:p>
        </w:tc>
        <w:tc>
          <w:tcPr>
            <w:tcW w:w="687" w:type="dxa"/>
            <w:tcBorders>
              <w:top w:val="nil"/>
              <w:left w:val="nil"/>
              <w:bottom w:val="single" w:sz="4" w:space="0" w:color="D9D9D9"/>
              <w:right w:val="single" w:sz="4" w:space="0" w:color="D9D9D9"/>
            </w:tcBorders>
            <w:noWrap/>
            <w:vAlign w:val="center"/>
            <w:hideMark/>
          </w:tcPr>
          <w:p w14:paraId="12C651E9" w14:textId="77777777" w:rsidR="00315290" w:rsidRPr="00713197" w:rsidRDefault="00315290" w:rsidP="00713197">
            <w:pPr>
              <w:jc w:val="center"/>
              <w:rPr>
                <w:rFonts w:eastAsia="Aptos"/>
                <w:b/>
                <w:i/>
                <w:color w:val="0E2841"/>
                <w:kern w:val="2"/>
                <w:sz w:val="18"/>
                <w:szCs w:val="18"/>
              </w:rPr>
            </w:pPr>
            <w:r w:rsidRPr="00713197">
              <w:rPr>
                <w:rFonts w:eastAsia="Aptos"/>
                <w:b/>
                <w:i/>
                <w:color w:val="0E2841"/>
                <w:kern w:val="2"/>
                <w:sz w:val="18"/>
                <w:szCs w:val="18"/>
              </w:rPr>
              <w:t>Nd</w:t>
            </w:r>
          </w:p>
        </w:tc>
        <w:tc>
          <w:tcPr>
            <w:tcW w:w="1264" w:type="dxa"/>
            <w:tcBorders>
              <w:top w:val="nil"/>
              <w:left w:val="nil"/>
              <w:bottom w:val="single" w:sz="4" w:space="0" w:color="D9D9D9"/>
              <w:right w:val="single" w:sz="4" w:space="0" w:color="D9D9D9"/>
            </w:tcBorders>
            <w:noWrap/>
            <w:vAlign w:val="center"/>
            <w:hideMark/>
          </w:tcPr>
          <w:p w14:paraId="5D411229"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9026  (</w:t>
            </w:r>
            <w:proofErr w:type="gramEnd"/>
            <w:r w:rsidRPr="00713197">
              <w:rPr>
                <w:rFonts w:eastAsia="Aptos"/>
                <w:bCs/>
                <w:i/>
                <w:color w:val="0E2841"/>
                <w:kern w:val="2"/>
                <w:sz w:val="18"/>
                <w:szCs w:val="18"/>
              </w:rPr>
              <w:t>58%)</w:t>
            </w:r>
          </w:p>
        </w:tc>
        <w:tc>
          <w:tcPr>
            <w:tcW w:w="1276" w:type="dxa"/>
            <w:tcBorders>
              <w:top w:val="nil"/>
              <w:left w:val="nil"/>
              <w:bottom w:val="single" w:sz="4" w:space="0" w:color="D9D9D9"/>
              <w:right w:val="single" w:sz="4" w:space="0" w:color="D9D9D9"/>
            </w:tcBorders>
            <w:noWrap/>
            <w:vAlign w:val="center"/>
            <w:hideMark/>
          </w:tcPr>
          <w:p w14:paraId="2462A9C7"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8661  (</w:t>
            </w:r>
            <w:proofErr w:type="gramEnd"/>
            <w:r w:rsidRPr="00713197">
              <w:rPr>
                <w:rFonts w:eastAsia="Aptos"/>
                <w:bCs/>
                <w:i/>
                <w:color w:val="0E2841"/>
                <w:kern w:val="2"/>
                <w:sz w:val="18"/>
                <w:szCs w:val="18"/>
              </w:rPr>
              <w:t>58%)</w:t>
            </w:r>
          </w:p>
        </w:tc>
        <w:tc>
          <w:tcPr>
            <w:tcW w:w="1276" w:type="dxa"/>
            <w:tcBorders>
              <w:top w:val="nil"/>
              <w:left w:val="nil"/>
              <w:bottom w:val="single" w:sz="4" w:space="0" w:color="D9D9D9"/>
              <w:right w:val="single" w:sz="4" w:space="0" w:color="D9D9D9"/>
            </w:tcBorders>
            <w:noWrap/>
            <w:vAlign w:val="center"/>
            <w:hideMark/>
          </w:tcPr>
          <w:p w14:paraId="78180CEF"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6655  (</w:t>
            </w:r>
            <w:proofErr w:type="gramEnd"/>
            <w:r w:rsidRPr="00713197">
              <w:rPr>
                <w:rFonts w:eastAsia="Aptos"/>
                <w:bCs/>
                <w:i/>
                <w:color w:val="0E2841"/>
                <w:kern w:val="2"/>
                <w:sz w:val="18"/>
                <w:szCs w:val="18"/>
              </w:rPr>
              <w:t>43%)</w:t>
            </w:r>
          </w:p>
        </w:tc>
        <w:tc>
          <w:tcPr>
            <w:tcW w:w="1275" w:type="dxa"/>
            <w:tcBorders>
              <w:top w:val="nil"/>
              <w:left w:val="nil"/>
              <w:bottom w:val="single" w:sz="4" w:space="0" w:color="D9D9D9"/>
              <w:right w:val="single" w:sz="4" w:space="0" w:color="D9D9D9"/>
            </w:tcBorders>
            <w:noWrap/>
            <w:vAlign w:val="center"/>
            <w:hideMark/>
          </w:tcPr>
          <w:p w14:paraId="4DB51E44"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5346  (</w:t>
            </w:r>
            <w:proofErr w:type="gramEnd"/>
            <w:r w:rsidRPr="00713197">
              <w:rPr>
                <w:rFonts w:eastAsia="Aptos"/>
                <w:bCs/>
                <w:i/>
                <w:color w:val="0E2841"/>
                <w:kern w:val="2"/>
                <w:sz w:val="18"/>
                <w:szCs w:val="18"/>
              </w:rPr>
              <w:t>36%)</w:t>
            </w:r>
          </w:p>
        </w:tc>
        <w:tc>
          <w:tcPr>
            <w:tcW w:w="1134" w:type="dxa"/>
            <w:tcBorders>
              <w:top w:val="nil"/>
              <w:left w:val="nil"/>
              <w:bottom w:val="single" w:sz="4" w:space="0" w:color="D9D9D9"/>
              <w:right w:val="single" w:sz="4" w:space="0" w:color="D9D9D9"/>
            </w:tcBorders>
            <w:noWrap/>
            <w:vAlign w:val="center"/>
            <w:hideMark/>
          </w:tcPr>
          <w:p w14:paraId="3856F0D8"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4496  (</w:t>
            </w:r>
            <w:proofErr w:type="gramEnd"/>
            <w:r w:rsidRPr="00713197">
              <w:rPr>
                <w:rFonts w:eastAsia="Aptos"/>
                <w:bCs/>
                <w:i/>
                <w:color w:val="0E2841"/>
                <w:kern w:val="2"/>
                <w:sz w:val="18"/>
                <w:szCs w:val="18"/>
              </w:rPr>
              <w:t>43%)</w:t>
            </w:r>
          </w:p>
        </w:tc>
      </w:tr>
      <w:tr w:rsidR="005827D9" w:rsidRPr="00597726" w14:paraId="044B5FB1" w14:textId="77777777" w:rsidTr="00BE4D65">
        <w:trPr>
          <w:trHeight w:val="360"/>
        </w:trPr>
        <w:tc>
          <w:tcPr>
            <w:tcW w:w="1129" w:type="dxa"/>
            <w:vMerge/>
            <w:tcBorders>
              <w:top w:val="nil"/>
              <w:left w:val="single" w:sz="4" w:space="0" w:color="D9D9D9"/>
              <w:bottom w:val="single" w:sz="4" w:space="0" w:color="D9D9D9"/>
              <w:right w:val="single" w:sz="4" w:space="0" w:color="D9D9D9"/>
            </w:tcBorders>
            <w:vAlign w:val="center"/>
            <w:hideMark/>
          </w:tcPr>
          <w:p w14:paraId="297CB093" w14:textId="77777777" w:rsidR="00315290" w:rsidRPr="00713197" w:rsidRDefault="00315290" w:rsidP="00713197">
            <w:pPr>
              <w:jc w:val="center"/>
              <w:rPr>
                <w:rFonts w:eastAsia="Aptos"/>
                <w:b/>
                <w:i/>
                <w:color w:val="0E2841"/>
                <w:kern w:val="2"/>
                <w:sz w:val="18"/>
                <w:szCs w:val="18"/>
              </w:rPr>
            </w:pPr>
          </w:p>
        </w:tc>
        <w:tc>
          <w:tcPr>
            <w:tcW w:w="1026" w:type="dxa"/>
            <w:vMerge/>
            <w:tcBorders>
              <w:top w:val="nil"/>
              <w:left w:val="single" w:sz="4" w:space="0" w:color="D9D9D9"/>
              <w:bottom w:val="single" w:sz="4" w:space="0" w:color="D9D9D9"/>
              <w:right w:val="single" w:sz="4" w:space="0" w:color="D9D9D9"/>
            </w:tcBorders>
            <w:vAlign w:val="center"/>
            <w:hideMark/>
          </w:tcPr>
          <w:p w14:paraId="2F8EC734" w14:textId="77777777" w:rsidR="00315290" w:rsidRPr="00713197" w:rsidRDefault="00315290" w:rsidP="00713197">
            <w:pPr>
              <w:jc w:val="center"/>
              <w:rPr>
                <w:rFonts w:eastAsia="Aptos"/>
                <w:b/>
                <w:i/>
                <w:color w:val="0E2841"/>
                <w:kern w:val="2"/>
                <w:sz w:val="18"/>
                <w:szCs w:val="18"/>
              </w:rPr>
            </w:pPr>
          </w:p>
        </w:tc>
        <w:tc>
          <w:tcPr>
            <w:tcW w:w="687" w:type="dxa"/>
            <w:tcBorders>
              <w:top w:val="nil"/>
              <w:left w:val="nil"/>
              <w:bottom w:val="single" w:sz="4" w:space="0" w:color="D9D9D9"/>
              <w:right w:val="single" w:sz="4" w:space="0" w:color="D9D9D9"/>
            </w:tcBorders>
            <w:noWrap/>
            <w:vAlign w:val="center"/>
            <w:hideMark/>
          </w:tcPr>
          <w:p w14:paraId="137CDA87" w14:textId="77777777" w:rsidR="00315290" w:rsidRPr="00713197" w:rsidRDefault="00315290" w:rsidP="00713197">
            <w:pPr>
              <w:jc w:val="center"/>
              <w:rPr>
                <w:rFonts w:eastAsia="Aptos"/>
                <w:b/>
                <w:i/>
                <w:color w:val="0E2841"/>
                <w:kern w:val="2"/>
                <w:sz w:val="18"/>
                <w:szCs w:val="18"/>
              </w:rPr>
            </w:pPr>
            <w:proofErr w:type="spellStart"/>
            <w:r w:rsidRPr="00713197">
              <w:rPr>
                <w:rFonts w:eastAsia="Aptos"/>
                <w:b/>
                <w:i/>
                <w:color w:val="0E2841"/>
                <w:kern w:val="2"/>
                <w:sz w:val="18"/>
                <w:szCs w:val="18"/>
              </w:rPr>
              <w:t>Pr</w:t>
            </w:r>
            <w:proofErr w:type="spellEnd"/>
          </w:p>
        </w:tc>
        <w:tc>
          <w:tcPr>
            <w:tcW w:w="1264" w:type="dxa"/>
            <w:tcBorders>
              <w:top w:val="nil"/>
              <w:left w:val="nil"/>
              <w:bottom w:val="single" w:sz="4" w:space="0" w:color="D9D9D9"/>
              <w:right w:val="single" w:sz="4" w:space="0" w:color="D9D9D9"/>
            </w:tcBorders>
            <w:noWrap/>
            <w:vAlign w:val="center"/>
            <w:hideMark/>
          </w:tcPr>
          <w:p w14:paraId="37D82F35"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1803  (</w:t>
            </w:r>
            <w:proofErr w:type="gramEnd"/>
            <w:r w:rsidRPr="00713197">
              <w:rPr>
                <w:rFonts w:eastAsia="Aptos"/>
                <w:bCs/>
                <w:i/>
                <w:color w:val="0E2841"/>
                <w:kern w:val="2"/>
                <w:sz w:val="18"/>
                <w:szCs w:val="18"/>
              </w:rPr>
              <w:t>58%)</w:t>
            </w:r>
          </w:p>
        </w:tc>
        <w:tc>
          <w:tcPr>
            <w:tcW w:w="1276" w:type="dxa"/>
            <w:tcBorders>
              <w:top w:val="nil"/>
              <w:left w:val="nil"/>
              <w:bottom w:val="single" w:sz="4" w:space="0" w:color="D9D9D9"/>
              <w:right w:val="single" w:sz="4" w:space="0" w:color="D9D9D9"/>
            </w:tcBorders>
            <w:noWrap/>
            <w:vAlign w:val="center"/>
            <w:hideMark/>
          </w:tcPr>
          <w:p w14:paraId="7B97C6A3"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1730  (</w:t>
            </w:r>
            <w:proofErr w:type="gramEnd"/>
            <w:r w:rsidRPr="00713197">
              <w:rPr>
                <w:rFonts w:eastAsia="Aptos"/>
                <w:bCs/>
                <w:i/>
                <w:color w:val="0E2841"/>
                <w:kern w:val="2"/>
                <w:sz w:val="18"/>
                <w:szCs w:val="18"/>
              </w:rPr>
              <w:t>58%)</w:t>
            </w:r>
          </w:p>
        </w:tc>
        <w:tc>
          <w:tcPr>
            <w:tcW w:w="1276" w:type="dxa"/>
            <w:tcBorders>
              <w:top w:val="nil"/>
              <w:left w:val="nil"/>
              <w:bottom w:val="single" w:sz="4" w:space="0" w:color="D9D9D9"/>
              <w:right w:val="single" w:sz="4" w:space="0" w:color="D9D9D9"/>
            </w:tcBorders>
            <w:noWrap/>
            <w:vAlign w:val="center"/>
            <w:hideMark/>
          </w:tcPr>
          <w:p w14:paraId="08AC58E0"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1329  (</w:t>
            </w:r>
            <w:proofErr w:type="gramEnd"/>
            <w:r w:rsidRPr="00713197">
              <w:rPr>
                <w:rFonts w:eastAsia="Aptos"/>
                <w:bCs/>
                <w:i/>
                <w:color w:val="0E2841"/>
                <w:kern w:val="2"/>
                <w:sz w:val="18"/>
                <w:szCs w:val="18"/>
              </w:rPr>
              <w:t>43%)</w:t>
            </w:r>
          </w:p>
        </w:tc>
        <w:tc>
          <w:tcPr>
            <w:tcW w:w="1275" w:type="dxa"/>
            <w:tcBorders>
              <w:top w:val="nil"/>
              <w:left w:val="nil"/>
              <w:bottom w:val="single" w:sz="4" w:space="0" w:color="D9D9D9"/>
              <w:right w:val="single" w:sz="4" w:space="0" w:color="D9D9D9"/>
            </w:tcBorders>
            <w:noWrap/>
            <w:vAlign w:val="center"/>
            <w:hideMark/>
          </w:tcPr>
          <w:p w14:paraId="56DA2E04"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1069  (</w:t>
            </w:r>
            <w:proofErr w:type="gramEnd"/>
            <w:r w:rsidRPr="00713197">
              <w:rPr>
                <w:rFonts w:eastAsia="Aptos"/>
                <w:bCs/>
                <w:i/>
                <w:color w:val="0E2841"/>
                <w:kern w:val="2"/>
                <w:sz w:val="18"/>
                <w:szCs w:val="18"/>
              </w:rPr>
              <w:t>36%)</w:t>
            </w:r>
          </w:p>
        </w:tc>
        <w:tc>
          <w:tcPr>
            <w:tcW w:w="1134" w:type="dxa"/>
            <w:tcBorders>
              <w:top w:val="nil"/>
              <w:left w:val="nil"/>
              <w:bottom w:val="single" w:sz="4" w:space="0" w:color="D9D9D9"/>
              <w:right w:val="single" w:sz="4" w:space="0" w:color="D9D9D9"/>
            </w:tcBorders>
            <w:noWrap/>
            <w:vAlign w:val="center"/>
            <w:hideMark/>
          </w:tcPr>
          <w:p w14:paraId="0B24227A"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898  (</w:t>
            </w:r>
            <w:proofErr w:type="gramEnd"/>
            <w:r w:rsidRPr="00713197">
              <w:rPr>
                <w:rFonts w:eastAsia="Aptos"/>
                <w:bCs/>
                <w:i/>
                <w:color w:val="0E2841"/>
                <w:kern w:val="2"/>
                <w:sz w:val="18"/>
                <w:szCs w:val="18"/>
              </w:rPr>
              <w:t>43%)</w:t>
            </w:r>
          </w:p>
        </w:tc>
      </w:tr>
      <w:tr w:rsidR="005827D9" w:rsidRPr="00597726" w14:paraId="73F1C809" w14:textId="77777777" w:rsidTr="00BE4D65">
        <w:trPr>
          <w:trHeight w:val="360"/>
        </w:trPr>
        <w:tc>
          <w:tcPr>
            <w:tcW w:w="1129" w:type="dxa"/>
            <w:vMerge/>
            <w:tcBorders>
              <w:top w:val="nil"/>
              <w:left w:val="single" w:sz="4" w:space="0" w:color="D9D9D9"/>
              <w:bottom w:val="single" w:sz="4" w:space="0" w:color="D9D9D9"/>
              <w:right w:val="single" w:sz="4" w:space="0" w:color="D9D9D9"/>
            </w:tcBorders>
            <w:vAlign w:val="center"/>
            <w:hideMark/>
          </w:tcPr>
          <w:p w14:paraId="5AA2B3B5" w14:textId="77777777" w:rsidR="00315290" w:rsidRPr="00713197" w:rsidRDefault="00315290" w:rsidP="00713197">
            <w:pPr>
              <w:jc w:val="center"/>
              <w:rPr>
                <w:rFonts w:eastAsia="Aptos"/>
                <w:b/>
                <w:i/>
                <w:color w:val="0E2841"/>
                <w:kern w:val="2"/>
                <w:sz w:val="18"/>
                <w:szCs w:val="18"/>
              </w:rPr>
            </w:pPr>
          </w:p>
        </w:tc>
        <w:tc>
          <w:tcPr>
            <w:tcW w:w="1026" w:type="dxa"/>
            <w:vMerge/>
            <w:tcBorders>
              <w:top w:val="nil"/>
              <w:left w:val="single" w:sz="4" w:space="0" w:color="D9D9D9"/>
              <w:bottom w:val="single" w:sz="4" w:space="0" w:color="D9D9D9"/>
              <w:right w:val="single" w:sz="4" w:space="0" w:color="D9D9D9"/>
            </w:tcBorders>
            <w:vAlign w:val="center"/>
            <w:hideMark/>
          </w:tcPr>
          <w:p w14:paraId="2ED51F9D" w14:textId="77777777" w:rsidR="00315290" w:rsidRPr="00713197" w:rsidRDefault="00315290" w:rsidP="00713197">
            <w:pPr>
              <w:jc w:val="center"/>
              <w:rPr>
                <w:rFonts w:eastAsia="Aptos"/>
                <w:b/>
                <w:i/>
                <w:color w:val="0E2841"/>
                <w:kern w:val="2"/>
                <w:sz w:val="18"/>
                <w:szCs w:val="18"/>
              </w:rPr>
            </w:pPr>
          </w:p>
        </w:tc>
        <w:tc>
          <w:tcPr>
            <w:tcW w:w="687" w:type="dxa"/>
            <w:tcBorders>
              <w:top w:val="nil"/>
              <w:left w:val="nil"/>
              <w:bottom w:val="single" w:sz="4" w:space="0" w:color="D9D9D9"/>
              <w:right w:val="single" w:sz="4" w:space="0" w:color="D9D9D9"/>
            </w:tcBorders>
            <w:noWrap/>
            <w:vAlign w:val="center"/>
            <w:hideMark/>
          </w:tcPr>
          <w:p w14:paraId="412AA35A" w14:textId="77777777" w:rsidR="00315290" w:rsidRPr="00713197" w:rsidRDefault="00315290" w:rsidP="00713197">
            <w:pPr>
              <w:jc w:val="center"/>
              <w:rPr>
                <w:rFonts w:eastAsia="Aptos"/>
                <w:b/>
                <w:i/>
                <w:color w:val="0E2841"/>
                <w:kern w:val="2"/>
                <w:sz w:val="18"/>
                <w:szCs w:val="18"/>
              </w:rPr>
            </w:pPr>
            <w:r w:rsidRPr="00713197">
              <w:rPr>
                <w:rFonts w:eastAsia="Aptos"/>
                <w:b/>
                <w:i/>
                <w:color w:val="0E2841"/>
                <w:kern w:val="2"/>
                <w:sz w:val="18"/>
                <w:szCs w:val="18"/>
              </w:rPr>
              <w:t>Dy</w:t>
            </w:r>
          </w:p>
        </w:tc>
        <w:tc>
          <w:tcPr>
            <w:tcW w:w="1264" w:type="dxa"/>
            <w:tcBorders>
              <w:top w:val="nil"/>
              <w:left w:val="nil"/>
              <w:bottom w:val="single" w:sz="4" w:space="0" w:color="D9D9D9"/>
              <w:right w:val="single" w:sz="4" w:space="0" w:color="D9D9D9"/>
            </w:tcBorders>
            <w:noWrap/>
            <w:vAlign w:val="center"/>
            <w:hideMark/>
          </w:tcPr>
          <w:p w14:paraId="1BC97AF4"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1355  (</w:t>
            </w:r>
            <w:proofErr w:type="gramEnd"/>
            <w:r w:rsidRPr="00713197">
              <w:rPr>
                <w:rFonts w:eastAsia="Aptos"/>
                <w:bCs/>
                <w:i/>
                <w:color w:val="0E2841"/>
                <w:kern w:val="2"/>
                <w:sz w:val="18"/>
                <w:szCs w:val="18"/>
              </w:rPr>
              <w:t>58%)</w:t>
            </w:r>
          </w:p>
        </w:tc>
        <w:tc>
          <w:tcPr>
            <w:tcW w:w="1276" w:type="dxa"/>
            <w:tcBorders>
              <w:top w:val="nil"/>
              <w:left w:val="nil"/>
              <w:bottom w:val="single" w:sz="4" w:space="0" w:color="D9D9D9"/>
              <w:right w:val="single" w:sz="4" w:space="0" w:color="D9D9D9"/>
            </w:tcBorders>
            <w:noWrap/>
            <w:vAlign w:val="center"/>
            <w:hideMark/>
          </w:tcPr>
          <w:p w14:paraId="1B7EB284"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1300  (</w:t>
            </w:r>
            <w:proofErr w:type="gramEnd"/>
            <w:r w:rsidRPr="00713197">
              <w:rPr>
                <w:rFonts w:eastAsia="Aptos"/>
                <w:bCs/>
                <w:i/>
                <w:color w:val="0E2841"/>
                <w:kern w:val="2"/>
                <w:sz w:val="18"/>
                <w:szCs w:val="18"/>
              </w:rPr>
              <w:t>58%)</w:t>
            </w:r>
          </w:p>
        </w:tc>
        <w:tc>
          <w:tcPr>
            <w:tcW w:w="1276" w:type="dxa"/>
            <w:tcBorders>
              <w:top w:val="nil"/>
              <w:left w:val="nil"/>
              <w:bottom w:val="single" w:sz="4" w:space="0" w:color="D9D9D9"/>
              <w:right w:val="single" w:sz="4" w:space="0" w:color="D9D9D9"/>
            </w:tcBorders>
            <w:noWrap/>
            <w:vAlign w:val="center"/>
            <w:hideMark/>
          </w:tcPr>
          <w:p w14:paraId="66933D8E"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844  (</w:t>
            </w:r>
            <w:proofErr w:type="gramEnd"/>
            <w:r w:rsidRPr="00713197">
              <w:rPr>
                <w:rFonts w:eastAsia="Aptos"/>
                <w:bCs/>
                <w:i/>
                <w:color w:val="0E2841"/>
                <w:kern w:val="2"/>
                <w:sz w:val="18"/>
                <w:szCs w:val="18"/>
              </w:rPr>
              <w:t>43%)</w:t>
            </w:r>
          </w:p>
        </w:tc>
        <w:tc>
          <w:tcPr>
            <w:tcW w:w="1275" w:type="dxa"/>
            <w:tcBorders>
              <w:top w:val="nil"/>
              <w:left w:val="nil"/>
              <w:bottom w:val="single" w:sz="4" w:space="0" w:color="D9D9D9"/>
              <w:right w:val="single" w:sz="4" w:space="0" w:color="D9D9D9"/>
            </w:tcBorders>
            <w:noWrap/>
            <w:vAlign w:val="center"/>
            <w:hideMark/>
          </w:tcPr>
          <w:p w14:paraId="39AD54FE"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804  (</w:t>
            </w:r>
            <w:proofErr w:type="gramEnd"/>
            <w:r w:rsidRPr="00713197">
              <w:rPr>
                <w:rFonts w:eastAsia="Aptos"/>
                <w:bCs/>
                <w:i/>
                <w:color w:val="0E2841"/>
                <w:kern w:val="2"/>
                <w:sz w:val="18"/>
                <w:szCs w:val="18"/>
              </w:rPr>
              <w:t>36%)</w:t>
            </w:r>
          </w:p>
        </w:tc>
        <w:tc>
          <w:tcPr>
            <w:tcW w:w="1134" w:type="dxa"/>
            <w:tcBorders>
              <w:top w:val="nil"/>
              <w:left w:val="nil"/>
              <w:bottom w:val="single" w:sz="4" w:space="0" w:color="D9D9D9"/>
              <w:right w:val="single" w:sz="4" w:space="0" w:color="D9D9D9"/>
            </w:tcBorders>
            <w:noWrap/>
            <w:vAlign w:val="center"/>
            <w:hideMark/>
          </w:tcPr>
          <w:p w14:paraId="49A25709"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581  (</w:t>
            </w:r>
            <w:proofErr w:type="gramEnd"/>
            <w:r w:rsidRPr="00713197">
              <w:rPr>
                <w:rFonts w:eastAsia="Aptos"/>
                <w:bCs/>
                <w:i/>
                <w:color w:val="0E2841"/>
                <w:kern w:val="2"/>
                <w:sz w:val="18"/>
                <w:szCs w:val="18"/>
              </w:rPr>
              <w:t>43%)</w:t>
            </w:r>
          </w:p>
        </w:tc>
      </w:tr>
      <w:tr w:rsidR="005827D9" w:rsidRPr="00597726" w14:paraId="7C4892C2" w14:textId="77777777" w:rsidTr="00BE4D65">
        <w:trPr>
          <w:trHeight w:val="360"/>
        </w:trPr>
        <w:tc>
          <w:tcPr>
            <w:tcW w:w="1129" w:type="dxa"/>
            <w:vMerge/>
            <w:tcBorders>
              <w:top w:val="nil"/>
              <w:left w:val="single" w:sz="4" w:space="0" w:color="D9D9D9"/>
              <w:bottom w:val="single" w:sz="4" w:space="0" w:color="D9D9D9"/>
              <w:right w:val="single" w:sz="4" w:space="0" w:color="D9D9D9"/>
            </w:tcBorders>
            <w:vAlign w:val="center"/>
            <w:hideMark/>
          </w:tcPr>
          <w:p w14:paraId="1D940452" w14:textId="77777777" w:rsidR="00315290" w:rsidRPr="00713197" w:rsidRDefault="00315290" w:rsidP="00713197">
            <w:pPr>
              <w:jc w:val="center"/>
              <w:rPr>
                <w:rFonts w:eastAsia="Aptos"/>
                <w:b/>
                <w:i/>
                <w:color w:val="0E2841"/>
                <w:kern w:val="2"/>
                <w:sz w:val="18"/>
                <w:szCs w:val="18"/>
              </w:rPr>
            </w:pPr>
          </w:p>
        </w:tc>
        <w:tc>
          <w:tcPr>
            <w:tcW w:w="1026" w:type="dxa"/>
            <w:vMerge/>
            <w:tcBorders>
              <w:top w:val="nil"/>
              <w:left w:val="single" w:sz="4" w:space="0" w:color="D9D9D9"/>
              <w:bottom w:val="single" w:sz="4" w:space="0" w:color="D9D9D9"/>
              <w:right w:val="single" w:sz="4" w:space="0" w:color="D9D9D9"/>
            </w:tcBorders>
            <w:vAlign w:val="center"/>
            <w:hideMark/>
          </w:tcPr>
          <w:p w14:paraId="52768BCA" w14:textId="77777777" w:rsidR="00315290" w:rsidRPr="00713197" w:rsidRDefault="00315290" w:rsidP="00713197">
            <w:pPr>
              <w:jc w:val="center"/>
              <w:rPr>
                <w:rFonts w:eastAsia="Aptos"/>
                <w:b/>
                <w:i/>
                <w:color w:val="0E2841"/>
                <w:kern w:val="2"/>
                <w:sz w:val="18"/>
                <w:szCs w:val="18"/>
              </w:rPr>
            </w:pPr>
          </w:p>
        </w:tc>
        <w:tc>
          <w:tcPr>
            <w:tcW w:w="687" w:type="dxa"/>
            <w:tcBorders>
              <w:top w:val="nil"/>
              <w:left w:val="nil"/>
              <w:bottom w:val="single" w:sz="4" w:space="0" w:color="D9D9D9"/>
              <w:right w:val="single" w:sz="4" w:space="0" w:color="D9D9D9"/>
            </w:tcBorders>
            <w:noWrap/>
            <w:vAlign w:val="center"/>
            <w:hideMark/>
          </w:tcPr>
          <w:p w14:paraId="28DDA198" w14:textId="77777777" w:rsidR="00315290" w:rsidRPr="00713197" w:rsidRDefault="00315290" w:rsidP="00713197">
            <w:pPr>
              <w:jc w:val="center"/>
              <w:rPr>
                <w:rFonts w:eastAsia="Aptos"/>
                <w:b/>
                <w:i/>
                <w:color w:val="0E2841"/>
                <w:kern w:val="2"/>
                <w:sz w:val="18"/>
                <w:szCs w:val="18"/>
              </w:rPr>
            </w:pPr>
            <w:r w:rsidRPr="00713197">
              <w:rPr>
                <w:rFonts w:eastAsia="Aptos"/>
                <w:b/>
                <w:i/>
                <w:color w:val="0E2841"/>
                <w:kern w:val="2"/>
                <w:sz w:val="18"/>
                <w:szCs w:val="18"/>
              </w:rPr>
              <w:t>Tb</w:t>
            </w:r>
          </w:p>
        </w:tc>
        <w:tc>
          <w:tcPr>
            <w:tcW w:w="1264" w:type="dxa"/>
            <w:tcBorders>
              <w:top w:val="nil"/>
              <w:left w:val="nil"/>
              <w:bottom w:val="single" w:sz="4" w:space="0" w:color="D9D9D9"/>
              <w:right w:val="single" w:sz="4" w:space="0" w:color="D9D9D9"/>
            </w:tcBorders>
            <w:noWrap/>
            <w:vAlign w:val="center"/>
            <w:hideMark/>
          </w:tcPr>
          <w:p w14:paraId="598D1C8F"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295  (</w:t>
            </w:r>
            <w:proofErr w:type="gramEnd"/>
            <w:r w:rsidRPr="00713197">
              <w:rPr>
                <w:rFonts w:eastAsia="Aptos"/>
                <w:bCs/>
                <w:i/>
                <w:color w:val="0E2841"/>
                <w:kern w:val="2"/>
                <w:sz w:val="18"/>
                <w:szCs w:val="18"/>
              </w:rPr>
              <w:t>57%)</w:t>
            </w:r>
          </w:p>
        </w:tc>
        <w:tc>
          <w:tcPr>
            <w:tcW w:w="1276" w:type="dxa"/>
            <w:tcBorders>
              <w:top w:val="nil"/>
              <w:left w:val="nil"/>
              <w:bottom w:val="single" w:sz="4" w:space="0" w:color="D9D9D9"/>
              <w:right w:val="single" w:sz="4" w:space="0" w:color="D9D9D9"/>
            </w:tcBorders>
            <w:noWrap/>
            <w:vAlign w:val="center"/>
            <w:hideMark/>
          </w:tcPr>
          <w:p w14:paraId="158D79B6"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283  (</w:t>
            </w:r>
            <w:proofErr w:type="gramEnd"/>
            <w:r w:rsidRPr="00713197">
              <w:rPr>
                <w:rFonts w:eastAsia="Aptos"/>
                <w:bCs/>
                <w:i/>
                <w:color w:val="0E2841"/>
                <w:kern w:val="2"/>
                <w:sz w:val="18"/>
                <w:szCs w:val="18"/>
              </w:rPr>
              <w:t>56%)</w:t>
            </w:r>
          </w:p>
        </w:tc>
        <w:tc>
          <w:tcPr>
            <w:tcW w:w="1276" w:type="dxa"/>
            <w:tcBorders>
              <w:top w:val="nil"/>
              <w:left w:val="nil"/>
              <w:bottom w:val="single" w:sz="4" w:space="0" w:color="D9D9D9"/>
              <w:right w:val="single" w:sz="4" w:space="0" w:color="D9D9D9"/>
            </w:tcBorders>
            <w:noWrap/>
            <w:vAlign w:val="center"/>
            <w:hideMark/>
          </w:tcPr>
          <w:p w14:paraId="6F82F3D6"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184  (</w:t>
            </w:r>
            <w:proofErr w:type="gramEnd"/>
            <w:r w:rsidRPr="00713197">
              <w:rPr>
                <w:rFonts w:eastAsia="Aptos"/>
                <w:bCs/>
                <w:i/>
                <w:color w:val="0E2841"/>
                <w:kern w:val="2"/>
                <w:sz w:val="18"/>
                <w:szCs w:val="18"/>
              </w:rPr>
              <w:t>42%)</w:t>
            </w:r>
          </w:p>
        </w:tc>
        <w:tc>
          <w:tcPr>
            <w:tcW w:w="1275" w:type="dxa"/>
            <w:tcBorders>
              <w:top w:val="nil"/>
              <w:left w:val="nil"/>
              <w:bottom w:val="single" w:sz="4" w:space="0" w:color="D9D9D9"/>
              <w:right w:val="single" w:sz="4" w:space="0" w:color="D9D9D9"/>
            </w:tcBorders>
            <w:noWrap/>
            <w:vAlign w:val="center"/>
            <w:hideMark/>
          </w:tcPr>
          <w:p w14:paraId="0DD145D7"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173  (</w:t>
            </w:r>
            <w:proofErr w:type="gramEnd"/>
            <w:r w:rsidRPr="00713197">
              <w:rPr>
                <w:rFonts w:eastAsia="Aptos"/>
                <w:bCs/>
                <w:i/>
                <w:color w:val="0E2841"/>
                <w:kern w:val="2"/>
                <w:sz w:val="18"/>
                <w:szCs w:val="18"/>
              </w:rPr>
              <w:t>34%)</w:t>
            </w:r>
          </w:p>
        </w:tc>
        <w:tc>
          <w:tcPr>
            <w:tcW w:w="1134" w:type="dxa"/>
            <w:tcBorders>
              <w:top w:val="nil"/>
              <w:left w:val="nil"/>
              <w:bottom w:val="single" w:sz="4" w:space="0" w:color="D9D9D9"/>
              <w:right w:val="single" w:sz="4" w:space="0" w:color="D9D9D9"/>
            </w:tcBorders>
            <w:noWrap/>
            <w:vAlign w:val="center"/>
            <w:hideMark/>
          </w:tcPr>
          <w:p w14:paraId="30710E91"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127  (</w:t>
            </w:r>
            <w:proofErr w:type="gramEnd"/>
            <w:r w:rsidRPr="00713197">
              <w:rPr>
                <w:rFonts w:eastAsia="Aptos"/>
                <w:bCs/>
                <w:i/>
                <w:color w:val="0E2841"/>
                <w:kern w:val="2"/>
                <w:sz w:val="18"/>
                <w:szCs w:val="18"/>
              </w:rPr>
              <w:t>42%)</w:t>
            </w:r>
          </w:p>
        </w:tc>
      </w:tr>
      <w:tr w:rsidR="005827D9" w:rsidRPr="00597726" w14:paraId="080011C2" w14:textId="77777777" w:rsidTr="00BE4D65">
        <w:trPr>
          <w:trHeight w:val="360"/>
        </w:trPr>
        <w:tc>
          <w:tcPr>
            <w:tcW w:w="1129" w:type="dxa"/>
            <w:vMerge w:val="restart"/>
            <w:tcBorders>
              <w:top w:val="nil"/>
              <w:left w:val="single" w:sz="4" w:space="0" w:color="D9D9D9"/>
              <w:bottom w:val="single" w:sz="4" w:space="0" w:color="D9D9D9"/>
              <w:right w:val="single" w:sz="4" w:space="0" w:color="D9D9D9"/>
            </w:tcBorders>
            <w:vAlign w:val="center"/>
            <w:hideMark/>
          </w:tcPr>
          <w:p w14:paraId="073324A0" w14:textId="77777777" w:rsidR="00315290" w:rsidRPr="00713197" w:rsidRDefault="00315290" w:rsidP="00713197">
            <w:pPr>
              <w:jc w:val="center"/>
              <w:rPr>
                <w:rFonts w:eastAsia="Aptos"/>
                <w:b/>
                <w:i/>
                <w:color w:val="0E2841"/>
                <w:kern w:val="2"/>
                <w:sz w:val="18"/>
                <w:szCs w:val="18"/>
              </w:rPr>
            </w:pPr>
            <w:r w:rsidRPr="00713197">
              <w:rPr>
                <w:rFonts w:eastAsia="Aptos"/>
                <w:b/>
                <w:i/>
                <w:color w:val="0E2841"/>
                <w:kern w:val="2"/>
                <w:sz w:val="18"/>
                <w:szCs w:val="18"/>
              </w:rPr>
              <w:t>Solar PV (distributed &amp; centralized)</w:t>
            </w:r>
          </w:p>
        </w:tc>
        <w:tc>
          <w:tcPr>
            <w:tcW w:w="1026" w:type="dxa"/>
            <w:tcBorders>
              <w:top w:val="nil"/>
              <w:left w:val="nil"/>
              <w:bottom w:val="single" w:sz="4" w:space="0" w:color="D9D9D9"/>
              <w:right w:val="single" w:sz="4" w:space="0" w:color="D9D9D9"/>
            </w:tcBorders>
            <w:noWrap/>
            <w:vAlign w:val="center"/>
            <w:hideMark/>
          </w:tcPr>
          <w:p w14:paraId="5010C340" w14:textId="77777777" w:rsidR="00315290" w:rsidRPr="00713197" w:rsidRDefault="00315290" w:rsidP="00713197">
            <w:pPr>
              <w:jc w:val="center"/>
              <w:rPr>
                <w:rFonts w:eastAsia="Aptos"/>
                <w:b/>
                <w:i/>
                <w:color w:val="0E2841"/>
                <w:kern w:val="2"/>
                <w:sz w:val="18"/>
                <w:szCs w:val="18"/>
              </w:rPr>
            </w:pPr>
            <w:r w:rsidRPr="00713197">
              <w:rPr>
                <w:rFonts w:eastAsia="Aptos"/>
                <w:b/>
                <w:i/>
                <w:color w:val="0E2841"/>
                <w:kern w:val="2"/>
                <w:sz w:val="18"/>
                <w:szCs w:val="18"/>
              </w:rPr>
              <w:t>c-Si</w:t>
            </w:r>
          </w:p>
        </w:tc>
        <w:tc>
          <w:tcPr>
            <w:tcW w:w="687" w:type="dxa"/>
            <w:tcBorders>
              <w:top w:val="nil"/>
              <w:left w:val="nil"/>
              <w:bottom w:val="single" w:sz="4" w:space="0" w:color="D9D9D9"/>
              <w:right w:val="single" w:sz="4" w:space="0" w:color="D9D9D9"/>
            </w:tcBorders>
            <w:noWrap/>
            <w:vAlign w:val="center"/>
            <w:hideMark/>
          </w:tcPr>
          <w:p w14:paraId="2E1F3FC6" w14:textId="77777777" w:rsidR="00315290" w:rsidRPr="00713197" w:rsidRDefault="00315290" w:rsidP="00713197">
            <w:pPr>
              <w:jc w:val="center"/>
              <w:rPr>
                <w:rFonts w:eastAsia="Aptos"/>
                <w:b/>
                <w:i/>
                <w:color w:val="0E2841"/>
                <w:kern w:val="2"/>
                <w:sz w:val="18"/>
                <w:szCs w:val="18"/>
              </w:rPr>
            </w:pPr>
            <w:r w:rsidRPr="00713197">
              <w:rPr>
                <w:rFonts w:eastAsia="Aptos"/>
                <w:b/>
                <w:i/>
                <w:color w:val="0E2841"/>
                <w:kern w:val="2"/>
                <w:sz w:val="18"/>
                <w:szCs w:val="18"/>
              </w:rPr>
              <w:t>Ag</w:t>
            </w:r>
          </w:p>
        </w:tc>
        <w:tc>
          <w:tcPr>
            <w:tcW w:w="1264" w:type="dxa"/>
            <w:tcBorders>
              <w:top w:val="nil"/>
              <w:left w:val="nil"/>
              <w:bottom w:val="single" w:sz="4" w:space="0" w:color="D9D9D9"/>
              <w:right w:val="single" w:sz="4" w:space="0" w:color="D9D9D9"/>
            </w:tcBorders>
            <w:noWrap/>
            <w:vAlign w:val="center"/>
            <w:hideMark/>
          </w:tcPr>
          <w:p w14:paraId="7FDE5A61"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816  (</w:t>
            </w:r>
            <w:proofErr w:type="gramEnd"/>
            <w:r w:rsidRPr="00713197">
              <w:rPr>
                <w:rFonts w:eastAsia="Aptos"/>
                <w:bCs/>
                <w:i/>
                <w:color w:val="0E2841"/>
                <w:kern w:val="2"/>
                <w:sz w:val="18"/>
                <w:szCs w:val="18"/>
              </w:rPr>
              <w:t>-5%)</w:t>
            </w:r>
          </w:p>
        </w:tc>
        <w:tc>
          <w:tcPr>
            <w:tcW w:w="1276" w:type="dxa"/>
            <w:tcBorders>
              <w:top w:val="nil"/>
              <w:left w:val="nil"/>
              <w:bottom w:val="single" w:sz="4" w:space="0" w:color="D9D9D9"/>
              <w:right w:val="single" w:sz="4" w:space="0" w:color="D9D9D9"/>
            </w:tcBorders>
            <w:noWrap/>
            <w:vAlign w:val="center"/>
            <w:hideMark/>
          </w:tcPr>
          <w:p w14:paraId="103E3812"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780  (</w:t>
            </w:r>
            <w:proofErr w:type="gramEnd"/>
            <w:r w:rsidRPr="00713197">
              <w:rPr>
                <w:rFonts w:eastAsia="Aptos"/>
                <w:bCs/>
                <w:i/>
                <w:color w:val="0E2841"/>
                <w:kern w:val="2"/>
                <w:sz w:val="18"/>
                <w:szCs w:val="18"/>
              </w:rPr>
              <w:t>-5%)</w:t>
            </w:r>
          </w:p>
        </w:tc>
        <w:tc>
          <w:tcPr>
            <w:tcW w:w="1276" w:type="dxa"/>
            <w:tcBorders>
              <w:top w:val="nil"/>
              <w:left w:val="nil"/>
              <w:bottom w:val="single" w:sz="4" w:space="0" w:color="D9D9D9"/>
              <w:right w:val="single" w:sz="4" w:space="0" w:color="D9D9D9"/>
            </w:tcBorders>
            <w:noWrap/>
            <w:vAlign w:val="center"/>
            <w:hideMark/>
          </w:tcPr>
          <w:p w14:paraId="3DF9D5B1"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168  (</w:t>
            </w:r>
            <w:proofErr w:type="gramEnd"/>
            <w:r w:rsidRPr="00713197">
              <w:rPr>
                <w:rFonts w:eastAsia="Aptos"/>
                <w:bCs/>
                <w:i/>
                <w:color w:val="0E2841"/>
                <w:kern w:val="2"/>
                <w:sz w:val="18"/>
                <w:szCs w:val="18"/>
              </w:rPr>
              <w:t>-9%)</w:t>
            </w:r>
          </w:p>
        </w:tc>
        <w:tc>
          <w:tcPr>
            <w:tcW w:w="1275" w:type="dxa"/>
            <w:tcBorders>
              <w:top w:val="nil"/>
              <w:left w:val="nil"/>
              <w:bottom w:val="single" w:sz="4" w:space="0" w:color="D9D9D9"/>
              <w:right w:val="single" w:sz="4" w:space="0" w:color="D9D9D9"/>
            </w:tcBorders>
            <w:noWrap/>
            <w:vAlign w:val="center"/>
            <w:hideMark/>
          </w:tcPr>
          <w:p w14:paraId="3487C842"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657  (</w:t>
            </w:r>
            <w:proofErr w:type="gramEnd"/>
            <w:r w:rsidRPr="00713197">
              <w:rPr>
                <w:rFonts w:eastAsia="Aptos"/>
                <w:bCs/>
                <w:i/>
                <w:color w:val="0E2841"/>
                <w:kern w:val="2"/>
                <w:sz w:val="18"/>
                <w:szCs w:val="18"/>
              </w:rPr>
              <w:t>-13%)</w:t>
            </w:r>
          </w:p>
        </w:tc>
        <w:tc>
          <w:tcPr>
            <w:tcW w:w="1134" w:type="dxa"/>
            <w:tcBorders>
              <w:top w:val="nil"/>
              <w:left w:val="nil"/>
              <w:bottom w:val="single" w:sz="4" w:space="0" w:color="D9D9D9"/>
              <w:right w:val="single" w:sz="4" w:space="0" w:color="D9D9D9"/>
            </w:tcBorders>
            <w:noWrap/>
            <w:vAlign w:val="center"/>
            <w:hideMark/>
          </w:tcPr>
          <w:p w14:paraId="581A6776"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153  (</w:t>
            </w:r>
            <w:proofErr w:type="gramEnd"/>
            <w:r w:rsidRPr="00713197">
              <w:rPr>
                <w:rFonts w:eastAsia="Aptos"/>
                <w:bCs/>
                <w:i/>
                <w:color w:val="0E2841"/>
                <w:kern w:val="2"/>
                <w:sz w:val="18"/>
                <w:szCs w:val="18"/>
              </w:rPr>
              <w:t>-9%)</w:t>
            </w:r>
          </w:p>
        </w:tc>
      </w:tr>
      <w:tr w:rsidR="005827D9" w:rsidRPr="00597726" w14:paraId="479E16B2" w14:textId="77777777" w:rsidTr="00BE4D65">
        <w:trPr>
          <w:trHeight w:val="360"/>
        </w:trPr>
        <w:tc>
          <w:tcPr>
            <w:tcW w:w="1129" w:type="dxa"/>
            <w:vMerge/>
            <w:tcBorders>
              <w:top w:val="nil"/>
              <w:left w:val="single" w:sz="4" w:space="0" w:color="D9D9D9"/>
              <w:bottom w:val="single" w:sz="4" w:space="0" w:color="D9D9D9"/>
              <w:right w:val="single" w:sz="4" w:space="0" w:color="D9D9D9"/>
            </w:tcBorders>
            <w:vAlign w:val="center"/>
            <w:hideMark/>
          </w:tcPr>
          <w:p w14:paraId="05B5E492" w14:textId="77777777" w:rsidR="00315290" w:rsidRPr="00713197" w:rsidRDefault="00315290" w:rsidP="00713197">
            <w:pPr>
              <w:jc w:val="center"/>
              <w:rPr>
                <w:rFonts w:eastAsia="Aptos"/>
                <w:b/>
                <w:i/>
                <w:color w:val="0E2841"/>
                <w:kern w:val="2"/>
                <w:sz w:val="18"/>
                <w:szCs w:val="18"/>
              </w:rPr>
            </w:pPr>
          </w:p>
        </w:tc>
        <w:tc>
          <w:tcPr>
            <w:tcW w:w="1026" w:type="dxa"/>
            <w:tcBorders>
              <w:top w:val="nil"/>
              <w:left w:val="nil"/>
              <w:bottom w:val="single" w:sz="4" w:space="0" w:color="D9D9D9"/>
              <w:right w:val="single" w:sz="4" w:space="0" w:color="D9D9D9"/>
            </w:tcBorders>
            <w:noWrap/>
            <w:vAlign w:val="center"/>
            <w:hideMark/>
          </w:tcPr>
          <w:p w14:paraId="2E0E6525" w14:textId="77777777" w:rsidR="00315290" w:rsidRPr="00713197" w:rsidRDefault="00315290" w:rsidP="00713197">
            <w:pPr>
              <w:jc w:val="center"/>
              <w:rPr>
                <w:rFonts w:eastAsia="Aptos"/>
                <w:b/>
                <w:i/>
                <w:color w:val="0E2841"/>
                <w:kern w:val="2"/>
                <w:sz w:val="18"/>
                <w:szCs w:val="18"/>
              </w:rPr>
            </w:pPr>
            <w:r w:rsidRPr="00713197">
              <w:rPr>
                <w:rFonts w:eastAsia="Aptos"/>
                <w:b/>
                <w:i/>
                <w:color w:val="0E2841"/>
                <w:kern w:val="2"/>
                <w:sz w:val="18"/>
                <w:szCs w:val="18"/>
              </w:rPr>
              <w:t>a-Si</w:t>
            </w:r>
          </w:p>
        </w:tc>
        <w:tc>
          <w:tcPr>
            <w:tcW w:w="687" w:type="dxa"/>
            <w:tcBorders>
              <w:top w:val="nil"/>
              <w:left w:val="nil"/>
              <w:bottom w:val="single" w:sz="4" w:space="0" w:color="D9D9D9"/>
              <w:right w:val="single" w:sz="4" w:space="0" w:color="D9D9D9"/>
            </w:tcBorders>
            <w:noWrap/>
            <w:vAlign w:val="center"/>
            <w:hideMark/>
          </w:tcPr>
          <w:p w14:paraId="794B0771" w14:textId="77777777" w:rsidR="00315290" w:rsidRPr="00713197" w:rsidRDefault="00315290" w:rsidP="00713197">
            <w:pPr>
              <w:jc w:val="center"/>
              <w:rPr>
                <w:rFonts w:eastAsia="Aptos"/>
                <w:b/>
                <w:i/>
                <w:color w:val="0E2841"/>
                <w:kern w:val="2"/>
                <w:sz w:val="18"/>
                <w:szCs w:val="18"/>
              </w:rPr>
            </w:pPr>
            <w:r w:rsidRPr="00713197">
              <w:rPr>
                <w:rFonts w:eastAsia="Aptos"/>
                <w:b/>
                <w:i/>
                <w:color w:val="0E2841"/>
                <w:kern w:val="2"/>
                <w:sz w:val="18"/>
                <w:szCs w:val="18"/>
              </w:rPr>
              <w:t>Ge</w:t>
            </w:r>
          </w:p>
        </w:tc>
        <w:tc>
          <w:tcPr>
            <w:tcW w:w="1264" w:type="dxa"/>
            <w:tcBorders>
              <w:top w:val="nil"/>
              <w:left w:val="nil"/>
              <w:bottom w:val="single" w:sz="4" w:space="0" w:color="D9D9D9"/>
              <w:right w:val="single" w:sz="4" w:space="0" w:color="D9D9D9"/>
            </w:tcBorders>
            <w:noWrap/>
            <w:vAlign w:val="center"/>
            <w:hideMark/>
          </w:tcPr>
          <w:p w14:paraId="4E69736F"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239  (</w:t>
            </w:r>
            <w:proofErr w:type="gramEnd"/>
            <w:r w:rsidRPr="00713197">
              <w:rPr>
                <w:rFonts w:eastAsia="Aptos"/>
                <w:bCs/>
                <w:i/>
                <w:color w:val="0E2841"/>
                <w:kern w:val="2"/>
                <w:sz w:val="18"/>
                <w:szCs w:val="18"/>
              </w:rPr>
              <w:t>139%)</w:t>
            </w:r>
          </w:p>
        </w:tc>
        <w:tc>
          <w:tcPr>
            <w:tcW w:w="1276" w:type="dxa"/>
            <w:tcBorders>
              <w:top w:val="nil"/>
              <w:left w:val="nil"/>
              <w:bottom w:val="single" w:sz="4" w:space="0" w:color="D9D9D9"/>
              <w:right w:val="single" w:sz="4" w:space="0" w:color="D9D9D9"/>
            </w:tcBorders>
            <w:noWrap/>
            <w:vAlign w:val="center"/>
            <w:hideMark/>
          </w:tcPr>
          <w:p w14:paraId="3E7E4D0E"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232  (</w:t>
            </w:r>
            <w:proofErr w:type="gramEnd"/>
            <w:r w:rsidRPr="00713197">
              <w:rPr>
                <w:rFonts w:eastAsia="Aptos"/>
                <w:bCs/>
                <w:i/>
                <w:color w:val="0E2841"/>
                <w:kern w:val="2"/>
                <w:sz w:val="18"/>
                <w:szCs w:val="18"/>
              </w:rPr>
              <w:t>142%)</w:t>
            </w:r>
          </w:p>
        </w:tc>
        <w:tc>
          <w:tcPr>
            <w:tcW w:w="1276" w:type="dxa"/>
            <w:tcBorders>
              <w:top w:val="nil"/>
              <w:left w:val="nil"/>
              <w:bottom w:val="single" w:sz="4" w:space="0" w:color="D9D9D9"/>
              <w:right w:val="single" w:sz="4" w:space="0" w:color="D9D9D9"/>
            </w:tcBorders>
            <w:noWrap/>
            <w:vAlign w:val="center"/>
            <w:hideMark/>
          </w:tcPr>
          <w:p w14:paraId="0E5EE2DD"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67  (</w:t>
            </w:r>
            <w:proofErr w:type="gramEnd"/>
            <w:r w:rsidRPr="00713197">
              <w:rPr>
                <w:rFonts w:eastAsia="Aptos"/>
                <w:bCs/>
                <w:i/>
                <w:color w:val="0E2841"/>
                <w:kern w:val="2"/>
                <w:sz w:val="18"/>
                <w:szCs w:val="18"/>
              </w:rPr>
              <w:t>109%)</w:t>
            </w:r>
          </w:p>
        </w:tc>
        <w:tc>
          <w:tcPr>
            <w:tcW w:w="1275" w:type="dxa"/>
            <w:tcBorders>
              <w:top w:val="nil"/>
              <w:left w:val="nil"/>
              <w:bottom w:val="single" w:sz="4" w:space="0" w:color="D9D9D9"/>
              <w:right w:val="single" w:sz="4" w:space="0" w:color="D9D9D9"/>
            </w:tcBorders>
            <w:noWrap/>
            <w:vAlign w:val="center"/>
            <w:hideMark/>
          </w:tcPr>
          <w:p w14:paraId="6931E46A"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188  (</w:t>
            </w:r>
            <w:proofErr w:type="gramEnd"/>
            <w:r w:rsidRPr="00713197">
              <w:rPr>
                <w:rFonts w:eastAsia="Aptos"/>
                <w:bCs/>
                <w:i/>
                <w:color w:val="0E2841"/>
                <w:kern w:val="2"/>
                <w:sz w:val="18"/>
                <w:szCs w:val="18"/>
              </w:rPr>
              <w:t>116%)</w:t>
            </w:r>
          </w:p>
        </w:tc>
        <w:tc>
          <w:tcPr>
            <w:tcW w:w="1134" w:type="dxa"/>
            <w:tcBorders>
              <w:top w:val="nil"/>
              <w:left w:val="nil"/>
              <w:bottom w:val="single" w:sz="4" w:space="0" w:color="D9D9D9"/>
              <w:right w:val="single" w:sz="4" w:space="0" w:color="D9D9D9"/>
            </w:tcBorders>
            <w:noWrap/>
            <w:vAlign w:val="center"/>
            <w:hideMark/>
          </w:tcPr>
          <w:p w14:paraId="3A14B630"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58  (</w:t>
            </w:r>
            <w:proofErr w:type="gramEnd"/>
            <w:r w:rsidRPr="00713197">
              <w:rPr>
                <w:rFonts w:eastAsia="Aptos"/>
                <w:bCs/>
                <w:i/>
                <w:color w:val="0E2841"/>
                <w:kern w:val="2"/>
                <w:sz w:val="18"/>
                <w:szCs w:val="18"/>
              </w:rPr>
              <w:t>108%)</w:t>
            </w:r>
          </w:p>
        </w:tc>
      </w:tr>
      <w:tr w:rsidR="005827D9" w:rsidRPr="00597726" w14:paraId="62DD45AE" w14:textId="77777777" w:rsidTr="00BE4D65">
        <w:trPr>
          <w:trHeight w:val="360"/>
        </w:trPr>
        <w:tc>
          <w:tcPr>
            <w:tcW w:w="1129" w:type="dxa"/>
            <w:vMerge/>
            <w:tcBorders>
              <w:top w:val="nil"/>
              <w:left w:val="single" w:sz="4" w:space="0" w:color="D9D9D9"/>
              <w:bottom w:val="single" w:sz="4" w:space="0" w:color="D9D9D9"/>
              <w:right w:val="single" w:sz="4" w:space="0" w:color="D9D9D9"/>
            </w:tcBorders>
            <w:vAlign w:val="center"/>
            <w:hideMark/>
          </w:tcPr>
          <w:p w14:paraId="16D97A8A" w14:textId="77777777" w:rsidR="00315290" w:rsidRPr="00713197" w:rsidRDefault="00315290" w:rsidP="00713197">
            <w:pPr>
              <w:jc w:val="center"/>
              <w:rPr>
                <w:rFonts w:eastAsia="Aptos"/>
                <w:b/>
                <w:i/>
                <w:color w:val="0E2841"/>
                <w:kern w:val="2"/>
                <w:sz w:val="18"/>
                <w:szCs w:val="18"/>
              </w:rPr>
            </w:pPr>
          </w:p>
        </w:tc>
        <w:tc>
          <w:tcPr>
            <w:tcW w:w="1026" w:type="dxa"/>
            <w:vMerge w:val="restart"/>
            <w:tcBorders>
              <w:top w:val="nil"/>
              <w:left w:val="single" w:sz="4" w:space="0" w:color="D9D9D9"/>
              <w:bottom w:val="single" w:sz="4" w:space="0" w:color="D9D9D9"/>
              <w:right w:val="single" w:sz="4" w:space="0" w:color="D9D9D9"/>
            </w:tcBorders>
            <w:noWrap/>
            <w:vAlign w:val="center"/>
            <w:hideMark/>
          </w:tcPr>
          <w:p w14:paraId="303ECBBD" w14:textId="77777777" w:rsidR="00315290" w:rsidRPr="00713197" w:rsidRDefault="00315290" w:rsidP="00713197">
            <w:pPr>
              <w:jc w:val="center"/>
              <w:rPr>
                <w:rFonts w:eastAsia="Aptos"/>
                <w:b/>
                <w:i/>
                <w:color w:val="0E2841"/>
                <w:kern w:val="2"/>
                <w:sz w:val="18"/>
                <w:szCs w:val="18"/>
              </w:rPr>
            </w:pPr>
            <w:proofErr w:type="spellStart"/>
            <w:r w:rsidRPr="00713197">
              <w:rPr>
                <w:rFonts w:eastAsia="Aptos"/>
                <w:b/>
                <w:i/>
                <w:color w:val="0E2841"/>
                <w:kern w:val="2"/>
                <w:sz w:val="18"/>
                <w:szCs w:val="18"/>
              </w:rPr>
              <w:t>CdTe</w:t>
            </w:r>
            <w:proofErr w:type="spellEnd"/>
          </w:p>
        </w:tc>
        <w:tc>
          <w:tcPr>
            <w:tcW w:w="687" w:type="dxa"/>
            <w:tcBorders>
              <w:top w:val="nil"/>
              <w:left w:val="nil"/>
              <w:bottom w:val="single" w:sz="4" w:space="0" w:color="D9D9D9"/>
              <w:right w:val="single" w:sz="4" w:space="0" w:color="D9D9D9"/>
            </w:tcBorders>
            <w:noWrap/>
            <w:vAlign w:val="center"/>
            <w:hideMark/>
          </w:tcPr>
          <w:p w14:paraId="741ACFB3" w14:textId="77777777" w:rsidR="00315290" w:rsidRPr="00713197" w:rsidRDefault="00315290" w:rsidP="00713197">
            <w:pPr>
              <w:jc w:val="center"/>
              <w:rPr>
                <w:rFonts w:eastAsia="Aptos"/>
                <w:b/>
                <w:i/>
                <w:color w:val="0E2841"/>
                <w:kern w:val="2"/>
                <w:sz w:val="18"/>
                <w:szCs w:val="18"/>
              </w:rPr>
            </w:pPr>
            <w:r w:rsidRPr="00713197">
              <w:rPr>
                <w:rFonts w:eastAsia="Aptos"/>
                <w:b/>
                <w:i/>
                <w:color w:val="0E2841"/>
                <w:kern w:val="2"/>
                <w:sz w:val="18"/>
                <w:szCs w:val="18"/>
              </w:rPr>
              <w:t>Cd</w:t>
            </w:r>
          </w:p>
        </w:tc>
        <w:tc>
          <w:tcPr>
            <w:tcW w:w="1264" w:type="dxa"/>
            <w:tcBorders>
              <w:top w:val="nil"/>
              <w:left w:val="nil"/>
              <w:bottom w:val="single" w:sz="4" w:space="0" w:color="D9D9D9"/>
              <w:right w:val="single" w:sz="4" w:space="0" w:color="D9D9D9"/>
            </w:tcBorders>
            <w:noWrap/>
            <w:vAlign w:val="center"/>
            <w:hideMark/>
          </w:tcPr>
          <w:p w14:paraId="439EEF27"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186  (</w:t>
            </w:r>
            <w:proofErr w:type="gramEnd"/>
            <w:r w:rsidRPr="00713197">
              <w:rPr>
                <w:rFonts w:eastAsia="Aptos"/>
                <w:bCs/>
                <w:i/>
                <w:color w:val="0E2841"/>
                <w:kern w:val="2"/>
                <w:sz w:val="18"/>
                <w:szCs w:val="18"/>
              </w:rPr>
              <w:t>141%)</w:t>
            </w:r>
          </w:p>
        </w:tc>
        <w:tc>
          <w:tcPr>
            <w:tcW w:w="1276" w:type="dxa"/>
            <w:tcBorders>
              <w:top w:val="nil"/>
              <w:left w:val="nil"/>
              <w:bottom w:val="single" w:sz="4" w:space="0" w:color="D9D9D9"/>
              <w:right w:val="single" w:sz="4" w:space="0" w:color="D9D9D9"/>
            </w:tcBorders>
            <w:noWrap/>
            <w:vAlign w:val="center"/>
            <w:hideMark/>
          </w:tcPr>
          <w:p w14:paraId="43497F03"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181  (</w:t>
            </w:r>
            <w:proofErr w:type="gramEnd"/>
            <w:r w:rsidRPr="00713197">
              <w:rPr>
                <w:rFonts w:eastAsia="Aptos"/>
                <w:bCs/>
                <w:i/>
                <w:color w:val="0E2841"/>
                <w:kern w:val="2"/>
                <w:sz w:val="18"/>
                <w:szCs w:val="18"/>
              </w:rPr>
              <w:t>141%)</w:t>
            </w:r>
          </w:p>
        </w:tc>
        <w:tc>
          <w:tcPr>
            <w:tcW w:w="1276" w:type="dxa"/>
            <w:tcBorders>
              <w:top w:val="nil"/>
              <w:left w:val="nil"/>
              <w:bottom w:val="single" w:sz="4" w:space="0" w:color="D9D9D9"/>
              <w:right w:val="single" w:sz="4" w:space="0" w:color="D9D9D9"/>
            </w:tcBorders>
            <w:noWrap/>
            <w:vAlign w:val="center"/>
            <w:hideMark/>
          </w:tcPr>
          <w:p w14:paraId="759A79BE"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71  (</w:t>
            </w:r>
            <w:proofErr w:type="gramEnd"/>
            <w:r w:rsidRPr="00713197">
              <w:rPr>
                <w:rFonts w:eastAsia="Aptos"/>
                <w:bCs/>
                <w:i/>
                <w:color w:val="0E2841"/>
                <w:kern w:val="2"/>
                <w:sz w:val="18"/>
                <w:szCs w:val="18"/>
              </w:rPr>
              <w:t>110%)</w:t>
            </w:r>
          </w:p>
        </w:tc>
        <w:tc>
          <w:tcPr>
            <w:tcW w:w="1275" w:type="dxa"/>
            <w:tcBorders>
              <w:top w:val="nil"/>
              <w:left w:val="nil"/>
              <w:bottom w:val="single" w:sz="4" w:space="0" w:color="D9D9D9"/>
              <w:right w:val="single" w:sz="4" w:space="0" w:color="D9D9D9"/>
            </w:tcBorders>
            <w:noWrap/>
            <w:vAlign w:val="center"/>
            <w:hideMark/>
          </w:tcPr>
          <w:p w14:paraId="423D5E31"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147  (</w:t>
            </w:r>
            <w:proofErr w:type="gramEnd"/>
            <w:r w:rsidRPr="00713197">
              <w:rPr>
                <w:rFonts w:eastAsia="Aptos"/>
                <w:bCs/>
                <w:i/>
                <w:color w:val="0E2841"/>
                <w:kern w:val="2"/>
                <w:sz w:val="18"/>
                <w:szCs w:val="18"/>
              </w:rPr>
              <w:t>115%)</w:t>
            </w:r>
          </w:p>
        </w:tc>
        <w:tc>
          <w:tcPr>
            <w:tcW w:w="1134" w:type="dxa"/>
            <w:tcBorders>
              <w:top w:val="nil"/>
              <w:left w:val="nil"/>
              <w:bottom w:val="single" w:sz="4" w:space="0" w:color="D9D9D9"/>
              <w:right w:val="single" w:sz="4" w:space="0" w:color="D9D9D9"/>
            </w:tcBorders>
            <w:noWrap/>
            <w:vAlign w:val="center"/>
            <w:hideMark/>
          </w:tcPr>
          <w:p w14:paraId="4753547E"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62  (</w:t>
            </w:r>
            <w:proofErr w:type="gramEnd"/>
            <w:r w:rsidRPr="00713197">
              <w:rPr>
                <w:rFonts w:eastAsia="Aptos"/>
                <w:bCs/>
                <w:i/>
                <w:color w:val="0E2841"/>
                <w:kern w:val="2"/>
                <w:sz w:val="18"/>
                <w:szCs w:val="18"/>
              </w:rPr>
              <w:t>105%)</w:t>
            </w:r>
          </w:p>
        </w:tc>
      </w:tr>
      <w:tr w:rsidR="005827D9" w:rsidRPr="00597726" w14:paraId="14429F20" w14:textId="77777777" w:rsidTr="00BE4D65">
        <w:trPr>
          <w:trHeight w:val="360"/>
        </w:trPr>
        <w:tc>
          <w:tcPr>
            <w:tcW w:w="1129" w:type="dxa"/>
            <w:vMerge/>
            <w:tcBorders>
              <w:top w:val="nil"/>
              <w:left w:val="single" w:sz="4" w:space="0" w:color="D9D9D9"/>
              <w:bottom w:val="single" w:sz="4" w:space="0" w:color="D9D9D9"/>
              <w:right w:val="single" w:sz="4" w:space="0" w:color="D9D9D9"/>
            </w:tcBorders>
            <w:vAlign w:val="center"/>
            <w:hideMark/>
          </w:tcPr>
          <w:p w14:paraId="5DC7113B" w14:textId="77777777" w:rsidR="00315290" w:rsidRPr="00713197" w:rsidRDefault="00315290" w:rsidP="00713197">
            <w:pPr>
              <w:jc w:val="center"/>
              <w:rPr>
                <w:rFonts w:eastAsia="Aptos"/>
                <w:b/>
                <w:i/>
                <w:color w:val="0E2841"/>
                <w:kern w:val="2"/>
                <w:sz w:val="18"/>
                <w:szCs w:val="18"/>
              </w:rPr>
            </w:pPr>
          </w:p>
        </w:tc>
        <w:tc>
          <w:tcPr>
            <w:tcW w:w="1026" w:type="dxa"/>
            <w:vMerge/>
            <w:tcBorders>
              <w:top w:val="nil"/>
              <w:left w:val="single" w:sz="4" w:space="0" w:color="D9D9D9"/>
              <w:bottom w:val="single" w:sz="4" w:space="0" w:color="D9D9D9"/>
              <w:right w:val="single" w:sz="4" w:space="0" w:color="D9D9D9"/>
            </w:tcBorders>
            <w:vAlign w:val="center"/>
            <w:hideMark/>
          </w:tcPr>
          <w:p w14:paraId="38ECE94A" w14:textId="77777777" w:rsidR="00315290" w:rsidRPr="00713197" w:rsidRDefault="00315290" w:rsidP="00713197">
            <w:pPr>
              <w:jc w:val="center"/>
              <w:rPr>
                <w:rFonts w:eastAsia="Aptos"/>
                <w:b/>
                <w:i/>
                <w:color w:val="0E2841"/>
                <w:kern w:val="2"/>
                <w:sz w:val="18"/>
                <w:szCs w:val="18"/>
              </w:rPr>
            </w:pPr>
          </w:p>
        </w:tc>
        <w:tc>
          <w:tcPr>
            <w:tcW w:w="687" w:type="dxa"/>
            <w:tcBorders>
              <w:top w:val="nil"/>
              <w:left w:val="nil"/>
              <w:bottom w:val="single" w:sz="4" w:space="0" w:color="D9D9D9"/>
              <w:right w:val="single" w:sz="4" w:space="0" w:color="D9D9D9"/>
            </w:tcBorders>
            <w:noWrap/>
            <w:vAlign w:val="center"/>
            <w:hideMark/>
          </w:tcPr>
          <w:p w14:paraId="73BE8216" w14:textId="77777777" w:rsidR="00315290" w:rsidRPr="00713197" w:rsidRDefault="00315290" w:rsidP="00713197">
            <w:pPr>
              <w:jc w:val="center"/>
              <w:rPr>
                <w:rFonts w:eastAsia="Aptos"/>
                <w:b/>
                <w:i/>
                <w:color w:val="0E2841"/>
                <w:kern w:val="2"/>
                <w:sz w:val="18"/>
                <w:szCs w:val="18"/>
              </w:rPr>
            </w:pPr>
            <w:proofErr w:type="spellStart"/>
            <w:r w:rsidRPr="00713197">
              <w:rPr>
                <w:rFonts w:eastAsia="Aptos"/>
                <w:b/>
                <w:i/>
                <w:color w:val="0E2841"/>
                <w:kern w:val="2"/>
                <w:sz w:val="18"/>
                <w:szCs w:val="18"/>
              </w:rPr>
              <w:t>Te</w:t>
            </w:r>
            <w:proofErr w:type="spellEnd"/>
          </w:p>
        </w:tc>
        <w:tc>
          <w:tcPr>
            <w:tcW w:w="1264" w:type="dxa"/>
            <w:tcBorders>
              <w:top w:val="nil"/>
              <w:left w:val="nil"/>
              <w:bottom w:val="single" w:sz="4" w:space="0" w:color="D9D9D9"/>
              <w:right w:val="single" w:sz="4" w:space="0" w:color="D9D9D9"/>
            </w:tcBorders>
            <w:noWrap/>
            <w:vAlign w:val="center"/>
            <w:hideMark/>
          </w:tcPr>
          <w:p w14:paraId="6E918DC2"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38  (</w:t>
            </w:r>
            <w:proofErr w:type="gramEnd"/>
            <w:r w:rsidRPr="00713197">
              <w:rPr>
                <w:rFonts w:eastAsia="Aptos"/>
                <w:bCs/>
                <w:i/>
                <w:color w:val="0E2841"/>
                <w:kern w:val="2"/>
                <w:sz w:val="18"/>
                <w:szCs w:val="18"/>
              </w:rPr>
              <w:t>215%)</w:t>
            </w:r>
          </w:p>
        </w:tc>
        <w:tc>
          <w:tcPr>
            <w:tcW w:w="1276" w:type="dxa"/>
            <w:tcBorders>
              <w:top w:val="nil"/>
              <w:left w:val="nil"/>
              <w:bottom w:val="single" w:sz="4" w:space="0" w:color="D9D9D9"/>
              <w:right w:val="single" w:sz="4" w:space="0" w:color="D9D9D9"/>
            </w:tcBorders>
            <w:noWrap/>
            <w:vAlign w:val="center"/>
            <w:hideMark/>
          </w:tcPr>
          <w:p w14:paraId="60F850C6"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37  (</w:t>
            </w:r>
            <w:proofErr w:type="gramEnd"/>
            <w:r w:rsidRPr="00713197">
              <w:rPr>
                <w:rFonts w:eastAsia="Aptos"/>
                <w:bCs/>
                <w:i/>
                <w:color w:val="0E2841"/>
                <w:kern w:val="2"/>
                <w:sz w:val="18"/>
                <w:szCs w:val="18"/>
              </w:rPr>
              <w:t>204%)</w:t>
            </w:r>
          </w:p>
        </w:tc>
        <w:tc>
          <w:tcPr>
            <w:tcW w:w="1276" w:type="dxa"/>
            <w:tcBorders>
              <w:top w:val="nil"/>
              <w:left w:val="nil"/>
              <w:bottom w:val="single" w:sz="4" w:space="0" w:color="D9D9D9"/>
              <w:right w:val="single" w:sz="4" w:space="0" w:color="D9D9D9"/>
            </w:tcBorders>
            <w:noWrap/>
            <w:vAlign w:val="center"/>
            <w:hideMark/>
          </w:tcPr>
          <w:p w14:paraId="313F9B2A"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18  (</w:t>
            </w:r>
            <w:proofErr w:type="gramEnd"/>
            <w:r w:rsidRPr="00713197">
              <w:rPr>
                <w:rFonts w:eastAsia="Aptos"/>
                <w:bCs/>
                <w:i/>
                <w:color w:val="0E2841"/>
                <w:kern w:val="2"/>
                <w:sz w:val="18"/>
                <w:szCs w:val="18"/>
              </w:rPr>
              <w:t>151%)</w:t>
            </w:r>
          </w:p>
        </w:tc>
        <w:tc>
          <w:tcPr>
            <w:tcW w:w="1275" w:type="dxa"/>
            <w:tcBorders>
              <w:top w:val="nil"/>
              <w:left w:val="nil"/>
              <w:bottom w:val="single" w:sz="4" w:space="0" w:color="D9D9D9"/>
              <w:right w:val="single" w:sz="4" w:space="0" w:color="D9D9D9"/>
            </w:tcBorders>
            <w:noWrap/>
            <w:vAlign w:val="center"/>
            <w:hideMark/>
          </w:tcPr>
          <w:p w14:paraId="70306EED"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30  (</w:t>
            </w:r>
            <w:proofErr w:type="gramEnd"/>
            <w:r w:rsidRPr="00713197">
              <w:rPr>
                <w:rFonts w:eastAsia="Aptos"/>
                <w:bCs/>
                <w:i/>
                <w:color w:val="0E2841"/>
                <w:kern w:val="2"/>
                <w:sz w:val="18"/>
                <w:szCs w:val="18"/>
              </w:rPr>
              <w:t>173%)</w:t>
            </w:r>
          </w:p>
        </w:tc>
        <w:tc>
          <w:tcPr>
            <w:tcW w:w="1134" w:type="dxa"/>
            <w:tcBorders>
              <w:top w:val="nil"/>
              <w:left w:val="nil"/>
              <w:bottom w:val="single" w:sz="4" w:space="0" w:color="D9D9D9"/>
              <w:right w:val="single" w:sz="4" w:space="0" w:color="D9D9D9"/>
            </w:tcBorders>
            <w:noWrap/>
            <w:vAlign w:val="center"/>
            <w:hideMark/>
          </w:tcPr>
          <w:p w14:paraId="0D1C5DAE"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15  (</w:t>
            </w:r>
            <w:proofErr w:type="gramEnd"/>
            <w:r w:rsidRPr="00713197">
              <w:rPr>
                <w:rFonts w:eastAsia="Aptos"/>
                <w:bCs/>
                <w:i/>
                <w:color w:val="0E2841"/>
                <w:kern w:val="2"/>
                <w:sz w:val="18"/>
                <w:szCs w:val="18"/>
              </w:rPr>
              <w:t>155%)</w:t>
            </w:r>
          </w:p>
        </w:tc>
      </w:tr>
      <w:tr w:rsidR="005827D9" w:rsidRPr="00597726" w14:paraId="135D87A0" w14:textId="77777777" w:rsidTr="00BE4D65">
        <w:trPr>
          <w:trHeight w:val="360"/>
        </w:trPr>
        <w:tc>
          <w:tcPr>
            <w:tcW w:w="1129" w:type="dxa"/>
            <w:vMerge/>
            <w:tcBorders>
              <w:top w:val="nil"/>
              <w:left w:val="single" w:sz="4" w:space="0" w:color="D9D9D9"/>
              <w:bottom w:val="single" w:sz="4" w:space="0" w:color="D9D9D9"/>
              <w:right w:val="single" w:sz="4" w:space="0" w:color="D9D9D9"/>
            </w:tcBorders>
            <w:vAlign w:val="center"/>
            <w:hideMark/>
          </w:tcPr>
          <w:p w14:paraId="5ADF49F8" w14:textId="77777777" w:rsidR="00315290" w:rsidRPr="00713197" w:rsidRDefault="00315290" w:rsidP="00713197">
            <w:pPr>
              <w:jc w:val="center"/>
              <w:rPr>
                <w:rFonts w:eastAsia="Aptos"/>
                <w:b/>
                <w:i/>
                <w:color w:val="0E2841"/>
                <w:kern w:val="2"/>
                <w:sz w:val="18"/>
                <w:szCs w:val="18"/>
              </w:rPr>
            </w:pPr>
          </w:p>
        </w:tc>
        <w:tc>
          <w:tcPr>
            <w:tcW w:w="1026" w:type="dxa"/>
            <w:vMerge w:val="restart"/>
            <w:tcBorders>
              <w:top w:val="nil"/>
              <w:left w:val="single" w:sz="4" w:space="0" w:color="D9D9D9"/>
              <w:bottom w:val="single" w:sz="4" w:space="0" w:color="D9D9D9"/>
              <w:right w:val="single" w:sz="4" w:space="0" w:color="D9D9D9"/>
            </w:tcBorders>
            <w:noWrap/>
            <w:vAlign w:val="center"/>
            <w:hideMark/>
          </w:tcPr>
          <w:p w14:paraId="4325838A" w14:textId="77777777" w:rsidR="00315290" w:rsidRPr="00713197" w:rsidRDefault="00315290" w:rsidP="00713197">
            <w:pPr>
              <w:jc w:val="center"/>
              <w:rPr>
                <w:rFonts w:eastAsia="Aptos"/>
                <w:b/>
                <w:i/>
                <w:color w:val="0E2841"/>
                <w:kern w:val="2"/>
                <w:sz w:val="18"/>
                <w:szCs w:val="18"/>
              </w:rPr>
            </w:pPr>
            <w:r w:rsidRPr="00713197">
              <w:rPr>
                <w:rFonts w:eastAsia="Aptos"/>
                <w:b/>
                <w:i/>
                <w:color w:val="0E2841"/>
                <w:kern w:val="2"/>
                <w:sz w:val="18"/>
                <w:szCs w:val="18"/>
              </w:rPr>
              <w:t>CIGS</w:t>
            </w:r>
          </w:p>
        </w:tc>
        <w:tc>
          <w:tcPr>
            <w:tcW w:w="687" w:type="dxa"/>
            <w:tcBorders>
              <w:top w:val="nil"/>
              <w:left w:val="nil"/>
              <w:bottom w:val="single" w:sz="4" w:space="0" w:color="D9D9D9"/>
              <w:right w:val="single" w:sz="4" w:space="0" w:color="D9D9D9"/>
            </w:tcBorders>
            <w:noWrap/>
            <w:vAlign w:val="center"/>
            <w:hideMark/>
          </w:tcPr>
          <w:p w14:paraId="113413D0" w14:textId="77777777" w:rsidR="00315290" w:rsidRPr="00713197" w:rsidRDefault="00315290" w:rsidP="00713197">
            <w:pPr>
              <w:jc w:val="center"/>
              <w:rPr>
                <w:rFonts w:eastAsia="Aptos"/>
                <w:b/>
                <w:i/>
                <w:color w:val="0E2841"/>
                <w:kern w:val="2"/>
                <w:sz w:val="18"/>
                <w:szCs w:val="18"/>
              </w:rPr>
            </w:pPr>
            <w:r w:rsidRPr="00713197">
              <w:rPr>
                <w:rFonts w:eastAsia="Aptos"/>
                <w:b/>
                <w:i/>
                <w:color w:val="0E2841"/>
                <w:kern w:val="2"/>
                <w:sz w:val="18"/>
                <w:szCs w:val="18"/>
              </w:rPr>
              <w:t>In</w:t>
            </w:r>
          </w:p>
        </w:tc>
        <w:tc>
          <w:tcPr>
            <w:tcW w:w="1264" w:type="dxa"/>
            <w:tcBorders>
              <w:top w:val="nil"/>
              <w:left w:val="nil"/>
              <w:bottom w:val="single" w:sz="4" w:space="0" w:color="D9D9D9"/>
              <w:right w:val="single" w:sz="4" w:space="0" w:color="D9D9D9"/>
            </w:tcBorders>
            <w:noWrap/>
            <w:vAlign w:val="center"/>
            <w:hideMark/>
          </w:tcPr>
          <w:p w14:paraId="15E8BB67"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48  (</w:t>
            </w:r>
            <w:proofErr w:type="gramEnd"/>
            <w:r w:rsidRPr="00713197">
              <w:rPr>
                <w:rFonts w:eastAsia="Aptos"/>
                <w:bCs/>
                <w:i/>
                <w:color w:val="0E2841"/>
                <w:kern w:val="2"/>
                <w:sz w:val="18"/>
                <w:szCs w:val="18"/>
              </w:rPr>
              <w:t>141%)</w:t>
            </w:r>
          </w:p>
        </w:tc>
        <w:tc>
          <w:tcPr>
            <w:tcW w:w="1276" w:type="dxa"/>
            <w:tcBorders>
              <w:top w:val="nil"/>
              <w:left w:val="nil"/>
              <w:bottom w:val="single" w:sz="4" w:space="0" w:color="D9D9D9"/>
              <w:right w:val="single" w:sz="4" w:space="0" w:color="D9D9D9"/>
            </w:tcBorders>
            <w:noWrap/>
            <w:vAlign w:val="center"/>
            <w:hideMark/>
          </w:tcPr>
          <w:p w14:paraId="1C6A11AC"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47  (</w:t>
            </w:r>
            <w:proofErr w:type="gramEnd"/>
            <w:r w:rsidRPr="00713197">
              <w:rPr>
                <w:rFonts w:eastAsia="Aptos"/>
                <w:bCs/>
                <w:i/>
                <w:color w:val="0E2841"/>
                <w:kern w:val="2"/>
                <w:sz w:val="18"/>
                <w:szCs w:val="18"/>
              </w:rPr>
              <w:t>148%)</w:t>
            </w:r>
          </w:p>
        </w:tc>
        <w:tc>
          <w:tcPr>
            <w:tcW w:w="1276" w:type="dxa"/>
            <w:tcBorders>
              <w:top w:val="nil"/>
              <w:left w:val="nil"/>
              <w:bottom w:val="single" w:sz="4" w:space="0" w:color="D9D9D9"/>
              <w:right w:val="single" w:sz="4" w:space="0" w:color="D9D9D9"/>
            </w:tcBorders>
            <w:noWrap/>
            <w:vAlign w:val="center"/>
            <w:hideMark/>
          </w:tcPr>
          <w:p w14:paraId="2C34B041"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22  (</w:t>
            </w:r>
            <w:proofErr w:type="gramEnd"/>
            <w:r w:rsidRPr="00713197">
              <w:rPr>
                <w:rFonts w:eastAsia="Aptos"/>
                <w:bCs/>
                <w:i/>
                <w:color w:val="0E2841"/>
                <w:kern w:val="2"/>
                <w:sz w:val="18"/>
                <w:szCs w:val="18"/>
              </w:rPr>
              <w:t>116%)</w:t>
            </w:r>
          </w:p>
        </w:tc>
        <w:tc>
          <w:tcPr>
            <w:tcW w:w="1275" w:type="dxa"/>
            <w:tcBorders>
              <w:top w:val="nil"/>
              <w:left w:val="nil"/>
              <w:bottom w:val="single" w:sz="4" w:space="0" w:color="D9D9D9"/>
              <w:right w:val="single" w:sz="4" w:space="0" w:color="D9D9D9"/>
            </w:tcBorders>
            <w:noWrap/>
            <w:vAlign w:val="center"/>
            <w:hideMark/>
          </w:tcPr>
          <w:p w14:paraId="7C5A6D00"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38  (</w:t>
            </w:r>
            <w:proofErr w:type="gramEnd"/>
            <w:r w:rsidRPr="00713197">
              <w:rPr>
                <w:rFonts w:eastAsia="Aptos"/>
                <w:bCs/>
                <w:i/>
                <w:color w:val="0E2841"/>
                <w:kern w:val="2"/>
                <w:sz w:val="18"/>
                <w:szCs w:val="18"/>
              </w:rPr>
              <w:t>122%)</w:t>
            </w:r>
          </w:p>
        </w:tc>
        <w:tc>
          <w:tcPr>
            <w:tcW w:w="1134" w:type="dxa"/>
            <w:tcBorders>
              <w:top w:val="nil"/>
              <w:left w:val="nil"/>
              <w:bottom w:val="single" w:sz="4" w:space="0" w:color="D9D9D9"/>
              <w:right w:val="single" w:sz="4" w:space="0" w:color="D9D9D9"/>
            </w:tcBorders>
            <w:noWrap/>
            <w:vAlign w:val="center"/>
            <w:hideMark/>
          </w:tcPr>
          <w:p w14:paraId="34148C77"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18  (</w:t>
            </w:r>
            <w:proofErr w:type="gramEnd"/>
            <w:r w:rsidRPr="00713197">
              <w:rPr>
                <w:rFonts w:eastAsia="Aptos"/>
                <w:bCs/>
                <w:i/>
                <w:color w:val="0E2841"/>
                <w:kern w:val="2"/>
                <w:sz w:val="18"/>
                <w:szCs w:val="18"/>
              </w:rPr>
              <w:t>131%)</w:t>
            </w:r>
          </w:p>
        </w:tc>
      </w:tr>
      <w:tr w:rsidR="005827D9" w:rsidRPr="00597726" w14:paraId="05252E9A" w14:textId="77777777" w:rsidTr="00BE4D65">
        <w:trPr>
          <w:trHeight w:val="360"/>
        </w:trPr>
        <w:tc>
          <w:tcPr>
            <w:tcW w:w="1129" w:type="dxa"/>
            <w:vMerge/>
            <w:tcBorders>
              <w:top w:val="nil"/>
              <w:left w:val="single" w:sz="4" w:space="0" w:color="D9D9D9"/>
              <w:bottom w:val="single" w:sz="4" w:space="0" w:color="D9D9D9"/>
              <w:right w:val="single" w:sz="4" w:space="0" w:color="D9D9D9"/>
            </w:tcBorders>
            <w:vAlign w:val="center"/>
            <w:hideMark/>
          </w:tcPr>
          <w:p w14:paraId="0628C92A" w14:textId="77777777" w:rsidR="00315290" w:rsidRPr="00713197" w:rsidRDefault="00315290" w:rsidP="00713197">
            <w:pPr>
              <w:jc w:val="center"/>
              <w:rPr>
                <w:rFonts w:eastAsia="Aptos"/>
                <w:b/>
                <w:i/>
                <w:color w:val="0E2841"/>
                <w:kern w:val="2"/>
                <w:sz w:val="18"/>
                <w:szCs w:val="18"/>
              </w:rPr>
            </w:pPr>
          </w:p>
        </w:tc>
        <w:tc>
          <w:tcPr>
            <w:tcW w:w="1026" w:type="dxa"/>
            <w:vMerge/>
            <w:tcBorders>
              <w:top w:val="nil"/>
              <w:left w:val="single" w:sz="4" w:space="0" w:color="D9D9D9"/>
              <w:bottom w:val="single" w:sz="4" w:space="0" w:color="D9D9D9"/>
              <w:right w:val="single" w:sz="4" w:space="0" w:color="D9D9D9"/>
            </w:tcBorders>
            <w:vAlign w:val="center"/>
            <w:hideMark/>
          </w:tcPr>
          <w:p w14:paraId="65BA0109" w14:textId="77777777" w:rsidR="00315290" w:rsidRPr="00713197" w:rsidRDefault="00315290" w:rsidP="00713197">
            <w:pPr>
              <w:jc w:val="center"/>
              <w:rPr>
                <w:rFonts w:eastAsia="Aptos"/>
                <w:b/>
                <w:i/>
                <w:color w:val="0E2841"/>
                <w:kern w:val="2"/>
                <w:sz w:val="18"/>
                <w:szCs w:val="18"/>
              </w:rPr>
            </w:pPr>
          </w:p>
        </w:tc>
        <w:tc>
          <w:tcPr>
            <w:tcW w:w="687" w:type="dxa"/>
            <w:tcBorders>
              <w:top w:val="nil"/>
              <w:left w:val="nil"/>
              <w:bottom w:val="single" w:sz="4" w:space="0" w:color="D9D9D9"/>
              <w:right w:val="single" w:sz="4" w:space="0" w:color="D9D9D9"/>
            </w:tcBorders>
            <w:noWrap/>
            <w:vAlign w:val="center"/>
            <w:hideMark/>
          </w:tcPr>
          <w:p w14:paraId="2BC699A0" w14:textId="77777777" w:rsidR="00315290" w:rsidRPr="00713197" w:rsidRDefault="00315290" w:rsidP="00713197">
            <w:pPr>
              <w:jc w:val="center"/>
              <w:rPr>
                <w:rFonts w:eastAsia="Aptos"/>
                <w:b/>
                <w:i/>
                <w:color w:val="0E2841"/>
                <w:kern w:val="2"/>
                <w:sz w:val="18"/>
                <w:szCs w:val="18"/>
              </w:rPr>
            </w:pPr>
            <w:r w:rsidRPr="00713197">
              <w:rPr>
                <w:rFonts w:eastAsia="Aptos"/>
                <w:b/>
                <w:i/>
                <w:color w:val="0E2841"/>
                <w:kern w:val="2"/>
                <w:sz w:val="18"/>
                <w:szCs w:val="18"/>
              </w:rPr>
              <w:t>Ga</w:t>
            </w:r>
          </w:p>
        </w:tc>
        <w:tc>
          <w:tcPr>
            <w:tcW w:w="1264" w:type="dxa"/>
            <w:tcBorders>
              <w:top w:val="nil"/>
              <w:left w:val="nil"/>
              <w:bottom w:val="single" w:sz="4" w:space="0" w:color="D9D9D9"/>
              <w:right w:val="single" w:sz="4" w:space="0" w:color="D9D9D9"/>
            </w:tcBorders>
            <w:noWrap/>
            <w:vAlign w:val="center"/>
            <w:hideMark/>
          </w:tcPr>
          <w:p w14:paraId="7D00636A"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18  (</w:t>
            </w:r>
            <w:proofErr w:type="gramEnd"/>
            <w:r w:rsidRPr="00713197">
              <w:rPr>
                <w:rFonts w:eastAsia="Aptos"/>
                <w:bCs/>
                <w:i/>
                <w:color w:val="0E2841"/>
                <w:kern w:val="2"/>
                <w:sz w:val="18"/>
                <w:szCs w:val="18"/>
              </w:rPr>
              <w:t>160%)</w:t>
            </w:r>
          </w:p>
        </w:tc>
        <w:tc>
          <w:tcPr>
            <w:tcW w:w="1276" w:type="dxa"/>
            <w:tcBorders>
              <w:top w:val="nil"/>
              <w:left w:val="nil"/>
              <w:bottom w:val="single" w:sz="4" w:space="0" w:color="D9D9D9"/>
              <w:right w:val="single" w:sz="4" w:space="0" w:color="D9D9D9"/>
            </w:tcBorders>
            <w:noWrap/>
            <w:vAlign w:val="center"/>
            <w:hideMark/>
          </w:tcPr>
          <w:p w14:paraId="12F2E6FA"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18  (</w:t>
            </w:r>
            <w:proofErr w:type="gramEnd"/>
            <w:r w:rsidRPr="00713197">
              <w:rPr>
                <w:rFonts w:eastAsia="Aptos"/>
                <w:bCs/>
                <w:i/>
                <w:color w:val="0E2841"/>
                <w:kern w:val="2"/>
                <w:sz w:val="18"/>
                <w:szCs w:val="18"/>
              </w:rPr>
              <w:t>153%)</w:t>
            </w:r>
          </w:p>
        </w:tc>
        <w:tc>
          <w:tcPr>
            <w:tcW w:w="1276" w:type="dxa"/>
            <w:tcBorders>
              <w:top w:val="nil"/>
              <w:left w:val="nil"/>
              <w:bottom w:val="single" w:sz="4" w:space="0" w:color="D9D9D9"/>
              <w:right w:val="single" w:sz="4" w:space="0" w:color="D9D9D9"/>
            </w:tcBorders>
            <w:noWrap/>
            <w:vAlign w:val="center"/>
            <w:hideMark/>
          </w:tcPr>
          <w:p w14:paraId="0B93B5E7"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6  (</w:t>
            </w:r>
            <w:proofErr w:type="gramEnd"/>
            <w:r w:rsidRPr="00713197">
              <w:rPr>
                <w:rFonts w:eastAsia="Aptos"/>
                <w:bCs/>
                <w:i/>
                <w:color w:val="0E2841"/>
                <w:kern w:val="2"/>
                <w:sz w:val="18"/>
                <w:szCs w:val="18"/>
              </w:rPr>
              <w:t>86%)</w:t>
            </w:r>
          </w:p>
        </w:tc>
        <w:tc>
          <w:tcPr>
            <w:tcW w:w="1275" w:type="dxa"/>
            <w:tcBorders>
              <w:top w:val="nil"/>
              <w:left w:val="nil"/>
              <w:bottom w:val="single" w:sz="4" w:space="0" w:color="D9D9D9"/>
              <w:right w:val="single" w:sz="4" w:space="0" w:color="D9D9D9"/>
            </w:tcBorders>
            <w:noWrap/>
            <w:vAlign w:val="center"/>
            <w:hideMark/>
          </w:tcPr>
          <w:p w14:paraId="3CB6116C"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14  (</w:t>
            </w:r>
            <w:proofErr w:type="gramEnd"/>
            <w:r w:rsidRPr="00713197">
              <w:rPr>
                <w:rFonts w:eastAsia="Aptos"/>
                <w:bCs/>
                <w:i/>
                <w:color w:val="0E2841"/>
                <w:kern w:val="2"/>
                <w:sz w:val="18"/>
                <w:szCs w:val="18"/>
              </w:rPr>
              <w:t>137%)</w:t>
            </w:r>
          </w:p>
        </w:tc>
        <w:tc>
          <w:tcPr>
            <w:tcW w:w="1134" w:type="dxa"/>
            <w:tcBorders>
              <w:top w:val="nil"/>
              <w:left w:val="nil"/>
              <w:bottom w:val="single" w:sz="4" w:space="0" w:color="D9D9D9"/>
              <w:right w:val="single" w:sz="4" w:space="0" w:color="D9D9D9"/>
            </w:tcBorders>
            <w:noWrap/>
            <w:vAlign w:val="center"/>
            <w:hideMark/>
          </w:tcPr>
          <w:p w14:paraId="2FC7200C"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5  (</w:t>
            </w:r>
            <w:proofErr w:type="gramEnd"/>
            <w:r w:rsidRPr="00713197">
              <w:rPr>
                <w:rFonts w:eastAsia="Aptos"/>
                <w:bCs/>
                <w:i/>
                <w:color w:val="0E2841"/>
                <w:kern w:val="2"/>
                <w:sz w:val="18"/>
                <w:szCs w:val="18"/>
              </w:rPr>
              <w:t>140%)</w:t>
            </w:r>
          </w:p>
        </w:tc>
      </w:tr>
      <w:tr w:rsidR="005827D9" w:rsidRPr="00597726" w14:paraId="2F25CA22" w14:textId="77777777" w:rsidTr="00BE4D65">
        <w:trPr>
          <w:trHeight w:val="360"/>
        </w:trPr>
        <w:tc>
          <w:tcPr>
            <w:tcW w:w="1129" w:type="dxa"/>
            <w:vMerge/>
            <w:tcBorders>
              <w:top w:val="nil"/>
              <w:left w:val="single" w:sz="4" w:space="0" w:color="D9D9D9"/>
              <w:bottom w:val="single" w:sz="4" w:space="0" w:color="D9D9D9"/>
              <w:right w:val="single" w:sz="4" w:space="0" w:color="D9D9D9"/>
            </w:tcBorders>
            <w:vAlign w:val="center"/>
            <w:hideMark/>
          </w:tcPr>
          <w:p w14:paraId="7E796CEF" w14:textId="77777777" w:rsidR="00315290" w:rsidRPr="00713197" w:rsidRDefault="00315290" w:rsidP="00713197">
            <w:pPr>
              <w:jc w:val="center"/>
              <w:rPr>
                <w:rFonts w:eastAsia="Aptos"/>
                <w:b/>
                <w:i/>
                <w:color w:val="0E2841"/>
                <w:kern w:val="2"/>
                <w:sz w:val="18"/>
                <w:szCs w:val="18"/>
              </w:rPr>
            </w:pPr>
          </w:p>
        </w:tc>
        <w:tc>
          <w:tcPr>
            <w:tcW w:w="1026" w:type="dxa"/>
            <w:vMerge/>
            <w:tcBorders>
              <w:top w:val="nil"/>
              <w:left w:val="single" w:sz="4" w:space="0" w:color="D9D9D9"/>
              <w:bottom w:val="single" w:sz="4" w:space="0" w:color="D9D9D9"/>
              <w:right w:val="single" w:sz="4" w:space="0" w:color="D9D9D9"/>
            </w:tcBorders>
            <w:vAlign w:val="center"/>
            <w:hideMark/>
          </w:tcPr>
          <w:p w14:paraId="1355065C" w14:textId="77777777" w:rsidR="00315290" w:rsidRPr="00713197" w:rsidRDefault="00315290" w:rsidP="00713197">
            <w:pPr>
              <w:jc w:val="center"/>
              <w:rPr>
                <w:rFonts w:eastAsia="Aptos"/>
                <w:b/>
                <w:i/>
                <w:color w:val="0E2841"/>
                <w:kern w:val="2"/>
                <w:sz w:val="18"/>
                <w:szCs w:val="18"/>
              </w:rPr>
            </w:pPr>
          </w:p>
        </w:tc>
        <w:tc>
          <w:tcPr>
            <w:tcW w:w="687" w:type="dxa"/>
            <w:tcBorders>
              <w:top w:val="nil"/>
              <w:left w:val="nil"/>
              <w:bottom w:val="single" w:sz="4" w:space="0" w:color="D9D9D9"/>
              <w:right w:val="single" w:sz="4" w:space="0" w:color="D9D9D9"/>
            </w:tcBorders>
            <w:noWrap/>
            <w:vAlign w:val="center"/>
            <w:hideMark/>
          </w:tcPr>
          <w:p w14:paraId="3FE1C2E0" w14:textId="77777777" w:rsidR="00315290" w:rsidRPr="00713197" w:rsidRDefault="00315290" w:rsidP="00713197">
            <w:pPr>
              <w:jc w:val="center"/>
              <w:rPr>
                <w:rFonts w:eastAsia="Aptos"/>
                <w:b/>
                <w:i/>
                <w:color w:val="0E2841"/>
                <w:kern w:val="2"/>
                <w:sz w:val="18"/>
                <w:szCs w:val="18"/>
              </w:rPr>
            </w:pPr>
            <w:r w:rsidRPr="00713197">
              <w:rPr>
                <w:rFonts w:eastAsia="Aptos"/>
                <w:b/>
                <w:i/>
                <w:color w:val="0E2841"/>
                <w:kern w:val="2"/>
                <w:sz w:val="18"/>
                <w:szCs w:val="18"/>
              </w:rPr>
              <w:t>Se</w:t>
            </w:r>
          </w:p>
        </w:tc>
        <w:tc>
          <w:tcPr>
            <w:tcW w:w="1264" w:type="dxa"/>
            <w:tcBorders>
              <w:top w:val="nil"/>
              <w:left w:val="nil"/>
              <w:bottom w:val="single" w:sz="4" w:space="0" w:color="D9D9D9"/>
              <w:right w:val="single" w:sz="4" w:space="0" w:color="D9D9D9"/>
            </w:tcBorders>
            <w:noWrap/>
            <w:vAlign w:val="center"/>
            <w:hideMark/>
          </w:tcPr>
          <w:p w14:paraId="52FDE1D7"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111  (</w:t>
            </w:r>
            <w:proofErr w:type="gramEnd"/>
            <w:r w:rsidRPr="00713197">
              <w:rPr>
                <w:rFonts w:eastAsia="Aptos"/>
                <w:bCs/>
                <w:i/>
                <w:color w:val="0E2841"/>
                <w:kern w:val="2"/>
                <w:sz w:val="18"/>
                <w:szCs w:val="18"/>
              </w:rPr>
              <w:t>142%)</w:t>
            </w:r>
          </w:p>
        </w:tc>
        <w:tc>
          <w:tcPr>
            <w:tcW w:w="1276" w:type="dxa"/>
            <w:tcBorders>
              <w:top w:val="nil"/>
              <w:left w:val="nil"/>
              <w:bottom w:val="single" w:sz="4" w:space="0" w:color="D9D9D9"/>
              <w:right w:val="single" w:sz="4" w:space="0" w:color="D9D9D9"/>
            </w:tcBorders>
            <w:noWrap/>
            <w:vAlign w:val="center"/>
            <w:hideMark/>
          </w:tcPr>
          <w:p w14:paraId="70CDE678"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108  (</w:t>
            </w:r>
            <w:proofErr w:type="gramEnd"/>
            <w:r w:rsidRPr="00713197">
              <w:rPr>
                <w:rFonts w:eastAsia="Aptos"/>
                <w:bCs/>
                <w:i/>
                <w:color w:val="0E2841"/>
                <w:kern w:val="2"/>
                <w:sz w:val="18"/>
                <w:szCs w:val="18"/>
              </w:rPr>
              <w:t>147%)</w:t>
            </w:r>
          </w:p>
        </w:tc>
        <w:tc>
          <w:tcPr>
            <w:tcW w:w="1276" w:type="dxa"/>
            <w:tcBorders>
              <w:top w:val="nil"/>
              <w:left w:val="nil"/>
              <w:bottom w:val="single" w:sz="4" w:space="0" w:color="D9D9D9"/>
              <w:right w:val="single" w:sz="4" w:space="0" w:color="D9D9D9"/>
            </w:tcBorders>
            <w:noWrap/>
            <w:vAlign w:val="center"/>
            <w:hideMark/>
          </w:tcPr>
          <w:p w14:paraId="260F82FB"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45  (</w:t>
            </w:r>
            <w:proofErr w:type="gramEnd"/>
            <w:r w:rsidRPr="00713197">
              <w:rPr>
                <w:rFonts w:eastAsia="Aptos"/>
                <w:bCs/>
                <w:i/>
                <w:color w:val="0E2841"/>
                <w:kern w:val="2"/>
                <w:sz w:val="18"/>
                <w:szCs w:val="18"/>
              </w:rPr>
              <w:t>124%)</w:t>
            </w:r>
          </w:p>
        </w:tc>
        <w:tc>
          <w:tcPr>
            <w:tcW w:w="1275" w:type="dxa"/>
            <w:tcBorders>
              <w:top w:val="nil"/>
              <w:left w:val="nil"/>
              <w:bottom w:val="single" w:sz="4" w:space="0" w:color="D9D9D9"/>
              <w:right w:val="single" w:sz="4" w:space="0" w:color="D9D9D9"/>
            </w:tcBorders>
            <w:noWrap/>
            <w:vAlign w:val="center"/>
            <w:hideMark/>
          </w:tcPr>
          <w:p w14:paraId="3C20948D"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87  (</w:t>
            </w:r>
            <w:proofErr w:type="gramEnd"/>
            <w:r w:rsidRPr="00713197">
              <w:rPr>
                <w:rFonts w:eastAsia="Aptos"/>
                <w:bCs/>
                <w:i/>
                <w:color w:val="0E2841"/>
                <w:kern w:val="2"/>
                <w:sz w:val="18"/>
                <w:szCs w:val="18"/>
              </w:rPr>
              <w:t>123%)</w:t>
            </w:r>
          </w:p>
        </w:tc>
        <w:tc>
          <w:tcPr>
            <w:tcW w:w="1134" w:type="dxa"/>
            <w:tcBorders>
              <w:top w:val="nil"/>
              <w:left w:val="nil"/>
              <w:bottom w:val="single" w:sz="4" w:space="0" w:color="D9D9D9"/>
              <w:right w:val="single" w:sz="4" w:space="0" w:color="D9D9D9"/>
            </w:tcBorders>
            <w:noWrap/>
            <w:vAlign w:val="center"/>
            <w:hideMark/>
          </w:tcPr>
          <w:p w14:paraId="48EFB5FF" w14:textId="77777777" w:rsidR="00315290" w:rsidRPr="00713197" w:rsidRDefault="00315290" w:rsidP="00713197">
            <w:pPr>
              <w:jc w:val="center"/>
              <w:rPr>
                <w:rFonts w:eastAsia="Aptos"/>
                <w:bCs/>
                <w:i/>
                <w:color w:val="0E2841"/>
                <w:kern w:val="2"/>
                <w:sz w:val="18"/>
                <w:szCs w:val="18"/>
              </w:rPr>
            </w:pPr>
            <w:proofErr w:type="gramStart"/>
            <w:r w:rsidRPr="00713197">
              <w:rPr>
                <w:rFonts w:eastAsia="Aptos"/>
                <w:bCs/>
                <w:i/>
                <w:color w:val="0E2841"/>
                <w:kern w:val="2"/>
                <w:sz w:val="18"/>
                <w:szCs w:val="18"/>
              </w:rPr>
              <w:t>38  (</w:t>
            </w:r>
            <w:proofErr w:type="gramEnd"/>
            <w:r w:rsidRPr="00713197">
              <w:rPr>
                <w:rFonts w:eastAsia="Aptos"/>
                <w:bCs/>
                <w:i/>
                <w:color w:val="0E2841"/>
                <w:kern w:val="2"/>
                <w:sz w:val="18"/>
                <w:szCs w:val="18"/>
              </w:rPr>
              <w:t>126%)</w:t>
            </w:r>
          </w:p>
        </w:tc>
      </w:tr>
    </w:tbl>
    <w:p w14:paraId="0E6B3AE2" w14:textId="77777777" w:rsidR="00597726" w:rsidRDefault="00597726" w:rsidP="00315290">
      <w:pPr>
        <w:rPr>
          <w:lang w:val="en-GB"/>
        </w:rPr>
      </w:pPr>
    </w:p>
    <w:p w14:paraId="57B41AB6" w14:textId="77777777" w:rsidR="00E11DDF" w:rsidRPr="00EE1723" w:rsidRDefault="00E11DDF" w:rsidP="00713197">
      <w:pPr>
        <w:rPr>
          <w:lang w:val="en-GB"/>
        </w:rPr>
      </w:pPr>
    </w:p>
    <w:p w14:paraId="7749F1A0" w14:textId="42D19AC7" w:rsidR="00240422" w:rsidRDefault="004E2A55" w:rsidP="00EE1723">
      <w:pPr>
        <w:jc w:val="center"/>
        <w:rPr>
          <w:lang w:val="en-GB"/>
        </w:rPr>
      </w:pPr>
      <w:r w:rsidRPr="00680353">
        <w:rPr>
          <w:noProof/>
        </w:rPr>
        <w:drawing>
          <wp:inline distT="0" distB="0" distL="0" distR="0" wp14:anchorId="7E2BA566" wp14:editId="5FA3B816">
            <wp:extent cx="5486400" cy="1930119"/>
            <wp:effectExtent l="0" t="0" r="0" b="0"/>
            <wp:docPr id="58644390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443903"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5486400" cy="1930119"/>
                    </a:xfrm>
                    <a:prstGeom prst="rect">
                      <a:avLst/>
                    </a:prstGeom>
                  </pic:spPr>
                </pic:pic>
              </a:graphicData>
            </a:graphic>
          </wp:inline>
        </w:drawing>
      </w:r>
    </w:p>
    <w:p w14:paraId="1C4983A7" w14:textId="0E1EC91D" w:rsidR="00D91558" w:rsidRPr="00713197" w:rsidRDefault="00D91558" w:rsidP="00554A20">
      <w:pPr>
        <w:jc w:val="center"/>
        <w:rPr>
          <w:i/>
          <w:color w:val="0E2841"/>
          <w:sz w:val="18"/>
          <w:szCs w:val="18"/>
          <w:lang w:val="en-GB"/>
        </w:rPr>
      </w:pPr>
      <w:r w:rsidRPr="00F05D5B">
        <w:rPr>
          <w:b/>
          <w:color w:val="0E2841"/>
          <w:sz w:val="18"/>
          <w:szCs w:val="18"/>
        </w:rPr>
        <w:t>Figure S</w:t>
      </w:r>
      <w:r>
        <w:rPr>
          <w:b/>
          <w:color w:val="0E2841"/>
          <w:sz w:val="18"/>
          <w:szCs w:val="18"/>
        </w:rPr>
        <w:t>1.</w:t>
      </w:r>
      <w:r w:rsidR="0029776D">
        <w:rPr>
          <w:b/>
          <w:color w:val="0E2841"/>
          <w:sz w:val="18"/>
          <w:szCs w:val="18"/>
        </w:rPr>
        <w:t>9</w:t>
      </w:r>
      <w:r w:rsidRPr="00F05D5B">
        <w:rPr>
          <w:b/>
          <w:color w:val="0E2841"/>
          <w:sz w:val="18"/>
          <w:szCs w:val="18"/>
        </w:rPr>
        <w:t>:</w:t>
      </w:r>
      <w:r w:rsidRPr="00F05D5B">
        <w:rPr>
          <w:color w:val="0E2841"/>
          <w:sz w:val="18"/>
          <w:szCs w:val="18"/>
        </w:rPr>
        <w:t xml:space="preserve"> Market shares for the DD-PMSG and GB-PMSG sub-technologies (PM-containing drivetrains) over time for the period of 2018–2050</w:t>
      </w:r>
      <w:r>
        <w:rPr>
          <w:color w:val="0E2841"/>
          <w:sz w:val="18"/>
          <w:szCs w:val="18"/>
        </w:rPr>
        <w:t xml:space="preserve"> </w:t>
      </w:r>
      <w:r w:rsidRPr="00F05D5B">
        <w:rPr>
          <w:color w:val="0E2841"/>
          <w:sz w:val="18"/>
          <w:szCs w:val="18"/>
        </w:rPr>
        <w:t xml:space="preserve">for </w:t>
      </w:r>
      <w:r>
        <w:rPr>
          <w:color w:val="0E2841"/>
          <w:sz w:val="18"/>
          <w:szCs w:val="18"/>
        </w:rPr>
        <w:t xml:space="preserve">a. </w:t>
      </w:r>
      <w:r w:rsidRPr="00F05D5B">
        <w:rPr>
          <w:color w:val="0E2841"/>
          <w:sz w:val="18"/>
          <w:szCs w:val="18"/>
        </w:rPr>
        <w:t xml:space="preserve">onshore wind turbines and </w:t>
      </w:r>
      <w:r>
        <w:rPr>
          <w:color w:val="0E2841"/>
          <w:sz w:val="18"/>
          <w:szCs w:val="18"/>
        </w:rPr>
        <w:t xml:space="preserve">b. </w:t>
      </w:r>
      <w:r w:rsidRPr="00F05D5B">
        <w:rPr>
          <w:color w:val="0E2841"/>
          <w:sz w:val="18"/>
          <w:szCs w:val="18"/>
        </w:rPr>
        <w:t>offshore wind turbines</w:t>
      </w:r>
      <w:r>
        <w:rPr>
          <w:color w:val="0E2841"/>
          <w:sz w:val="18"/>
          <w:szCs w:val="18"/>
        </w:rPr>
        <w:t xml:space="preserve"> in </w:t>
      </w:r>
      <w:r w:rsidRPr="00D91558">
        <w:rPr>
          <w:i/>
          <w:color w:val="0E2841"/>
          <w:sz w:val="18"/>
          <w:szCs w:val="18"/>
        </w:rPr>
        <w:t xml:space="preserve">JRC’s </w:t>
      </w:r>
      <w:r w:rsidRPr="00D91558">
        <w:rPr>
          <w:i/>
          <w:color w:val="0E2841"/>
          <w:sz w:val="18"/>
          <w:szCs w:val="18"/>
          <w:lang w:val="en-GB"/>
        </w:rPr>
        <w:t>Low</w:t>
      </w:r>
      <w:r w:rsidRPr="00D91558">
        <w:rPr>
          <w:i/>
          <w:color w:val="0E2841"/>
          <w:sz w:val="18"/>
          <w:szCs w:val="18"/>
        </w:rPr>
        <w:t xml:space="preserve"> Demand Scenario (</w:t>
      </w:r>
      <w:r w:rsidRPr="00D91558">
        <w:rPr>
          <w:i/>
          <w:color w:val="0E2841"/>
          <w:sz w:val="18"/>
          <w:szCs w:val="18"/>
          <w:lang w:val="en-GB"/>
        </w:rPr>
        <w:t>L</w:t>
      </w:r>
      <w:r w:rsidRPr="00D91558">
        <w:rPr>
          <w:i/>
          <w:color w:val="0E2841"/>
          <w:sz w:val="18"/>
          <w:szCs w:val="18"/>
        </w:rPr>
        <w:t>DS)</w:t>
      </w:r>
      <w:r w:rsidRPr="00F05D5B">
        <w:rPr>
          <w:color w:val="0E2841"/>
          <w:sz w:val="18"/>
          <w:szCs w:val="18"/>
        </w:rPr>
        <w:t>.</w:t>
      </w:r>
      <w:r w:rsidR="00512600">
        <w:rPr>
          <w:i/>
          <w:color w:val="0E2841"/>
          <w:sz w:val="18"/>
          <w:szCs w:val="18"/>
          <w:lang w:val="en-GB"/>
        </w:rPr>
        <w:t xml:space="preserve"> </w:t>
      </w:r>
      <w:r w:rsidRPr="00F05D5B">
        <w:rPr>
          <w:color w:val="0E2841"/>
          <w:sz w:val="18"/>
          <w:szCs w:val="18"/>
        </w:rPr>
        <w:t xml:space="preserve">Note: The category of ‘Other’ technologies includes </w:t>
      </w:r>
      <w:r w:rsidRPr="00F05D5B">
        <w:rPr>
          <w:color w:val="0E2841"/>
          <w:sz w:val="18"/>
          <w:szCs w:val="18"/>
          <w:lang w:val="en-GB"/>
        </w:rPr>
        <w:t>Direct Drive Electrically Excited Synchronous Generator (</w:t>
      </w:r>
      <w:r w:rsidRPr="00F05D5B">
        <w:rPr>
          <w:color w:val="0E2841"/>
          <w:sz w:val="18"/>
          <w:szCs w:val="18"/>
        </w:rPr>
        <w:t xml:space="preserve">DD-EESG), </w:t>
      </w:r>
      <w:r w:rsidRPr="00F05D5B">
        <w:rPr>
          <w:color w:val="0E2841"/>
          <w:sz w:val="18"/>
          <w:szCs w:val="18"/>
          <w:lang w:val="en-GB"/>
        </w:rPr>
        <w:t>Gearbox Double-Fed Induction Generator (</w:t>
      </w:r>
      <w:r w:rsidRPr="00F05D5B">
        <w:rPr>
          <w:color w:val="0E2841"/>
          <w:sz w:val="18"/>
          <w:szCs w:val="18"/>
        </w:rPr>
        <w:t xml:space="preserve">GB-DFIG), </w:t>
      </w:r>
      <w:r w:rsidRPr="00F05D5B">
        <w:rPr>
          <w:color w:val="0E2841"/>
          <w:sz w:val="18"/>
          <w:szCs w:val="18"/>
          <w:lang w:val="en-GB"/>
        </w:rPr>
        <w:t>Gearbox Squirrel Cage Induction Generator (</w:t>
      </w:r>
      <w:r w:rsidRPr="00F05D5B">
        <w:rPr>
          <w:color w:val="0E2841"/>
          <w:sz w:val="18"/>
          <w:szCs w:val="18"/>
        </w:rPr>
        <w:t xml:space="preserve">GB-SCIG), and Direct Drive </w:t>
      </w:r>
      <w:r w:rsidRPr="00F05D5B">
        <w:rPr>
          <w:color w:val="0E2841"/>
          <w:sz w:val="18"/>
          <w:szCs w:val="18"/>
          <w:lang w:val="en-GB"/>
        </w:rPr>
        <w:t>High-Temperature Superconductors</w:t>
      </w:r>
      <w:r w:rsidRPr="00F05D5B">
        <w:rPr>
          <w:color w:val="0E2841"/>
          <w:sz w:val="18"/>
          <w:szCs w:val="18"/>
        </w:rPr>
        <w:t xml:space="preserve"> (DD-HTS).</w:t>
      </w:r>
    </w:p>
    <w:p w14:paraId="11AA8EC9" w14:textId="77777777" w:rsidR="00C74D14" w:rsidRDefault="00C74D14" w:rsidP="00D91558">
      <w:pPr>
        <w:jc w:val="center"/>
        <w:rPr>
          <w:color w:val="0E2841"/>
          <w:sz w:val="18"/>
          <w:szCs w:val="18"/>
        </w:rPr>
      </w:pPr>
    </w:p>
    <w:p w14:paraId="04F1243D" w14:textId="516FC070" w:rsidR="00C74D14" w:rsidRPr="00010BCE" w:rsidRDefault="009B568F" w:rsidP="00D91558">
      <w:pPr>
        <w:jc w:val="center"/>
        <w:rPr>
          <w:color w:val="0E2841"/>
          <w:sz w:val="18"/>
          <w:szCs w:val="18"/>
        </w:rPr>
      </w:pPr>
      <w:r w:rsidRPr="00680353">
        <w:rPr>
          <w:noProof/>
        </w:rPr>
        <w:lastRenderedPageBreak/>
        <w:drawing>
          <wp:inline distT="0" distB="0" distL="0" distR="0" wp14:anchorId="473666F2" wp14:editId="0D4C3DAC">
            <wp:extent cx="5572685" cy="1929600"/>
            <wp:effectExtent l="0" t="0" r="0" b="0"/>
            <wp:docPr id="8937491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74910"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5572685" cy="1929600"/>
                    </a:xfrm>
                    <a:prstGeom prst="rect">
                      <a:avLst/>
                    </a:prstGeom>
                  </pic:spPr>
                </pic:pic>
              </a:graphicData>
            </a:graphic>
          </wp:inline>
        </w:drawing>
      </w:r>
    </w:p>
    <w:p w14:paraId="6E68C090" w14:textId="39422424" w:rsidR="009B568F" w:rsidRPr="00713197" w:rsidRDefault="009B568F" w:rsidP="00512600">
      <w:pPr>
        <w:jc w:val="center"/>
        <w:rPr>
          <w:i/>
          <w:color w:val="0E2841"/>
          <w:sz w:val="18"/>
          <w:szCs w:val="18"/>
          <w:lang w:val="en-GB"/>
        </w:rPr>
      </w:pPr>
      <w:r w:rsidRPr="00F05D5B">
        <w:rPr>
          <w:b/>
          <w:color w:val="0E2841"/>
          <w:sz w:val="18"/>
          <w:szCs w:val="18"/>
        </w:rPr>
        <w:t>Figure S</w:t>
      </w:r>
      <w:r>
        <w:rPr>
          <w:b/>
          <w:color w:val="0E2841"/>
          <w:sz w:val="18"/>
          <w:szCs w:val="18"/>
        </w:rPr>
        <w:t>1.</w:t>
      </w:r>
      <w:r w:rsidR="0029776D">
        <w:rPr>
          <w:b/>
          <w:color w:val="0E2841"/>
          <w:sz w:val="18"/>
          <w:szCs w:val="18"/>
        </w:rPr>
        <w:t>10</w:t>
      </w:r>
      <w:r w:rsidRPr="00F05D5B">
        <w:rPr>
          <w:b/>
          <w:color w:val="0E2841"/>
          <w:sz w:val="18"/>
          <w:szCs w:val="18"/>
        </w:rPr>
        <w:t>:</w:t>
      </w:r>
      <w:r w:rsidRPr="00F05D5B">
        <w:rPr>
          <w:color w:val="0E2841"/>
          <w:sz w:val="18"/>
          <w:szCs w:val="18"/>
        </w:rPr>
        <w:t xml:space="preserve"> Market shares for the DD-PMSG and GB-PMSG sub-technologies (PM-containing drivetrains) over time for the period of 2018–2050</w:t>
      </w:r>
      <w:r>
        <w:rPr>
          <w:color w:val="0E2841"/>
          <w:sz w:val="18"/>
          <w:szCs w:val="18"/>
        </w:rPr>
        <w:t xml:space="preserve"> </w:t>
      </w:r>
      <w:r w:rsidRPr="00F05D5B">
        <w:rPr>
          <w:color w:val="0E2841"/>
          <w:sz w:val="18"/>
          <w:szCs w:val="18"/>
        </w:rPr>
        <w:t xml:space="preserve">for </w:t>
      </w:r>
      <w:r>
        <w:rPr>
          <w:color w:val="0E2841"/>
          <w:sz w:val="18"/>
          <w:szCs w:val="18"/>
        </w:rPr>
        <w:t xml:space="preserve">a. </w:t>
      </w:r>
      <w:r w:rsidRPr="00F05D5B">
        <w:rPr>
          <w:color w:val="0E2841"/>
          <w:sz w:val="18"/>
          <w:szCs w:val="18"/>
        </w:rPr>
        <w:t xml:space="preserve">onshore wind turbines and </w:t>
      </w:r>
      <w:r>
        <w:rPr>
          <w:color w:val="0E2841"/>
          <w:sz w:val="18"/>
          <w:szCs w:val="18"/>
        </w:rPr>
        <w:t xml:space="preserve">b. </w:t>
      </w:r>
      <w:r w:rsidRPr="00F05D5B">
        <w:rPr>
          <w:color w:val="0E2841"/>
          <w:sz w:val="18"/>
          <w:szCs w:val="18"/>
        </w:rPr>
        <w:t>offshore wind turbines</w:t>
      </w:r>
      <w:r>
        <w:rPr>
          <w:color w:val="0E2841"/>
          <w:sz w:val="18"/>
          <w:szCs w:val="18"/>
        </w:rPr>
        <w:t xml:space="preserve"> in </w:t>
      </w:r>
      <w:r w:rsidRPr="00D91558">
        <w:rPr>
          <w:i/>
          <w:color w:val="0E2841"/>
          <w:sz w:val="18"/>
          <w:szCs w:val="18"/>
        </w:rPr>
        <w:t xml:space="preserve">JRC’s </w:t>
      </w:r>
      <w:r>
        <w:rPr>
          <w:i/>
          <w:color w:val="0E2841"/>
          <w:sz w:val="18"/>
          <w:szCs w:val="18"/>
          <w:lang w:val="en-GB"/>
        </w:rPr>
        <w:t>High</w:t>
      </w:r>
      <w:r w:rsidRPr="00D91558">
        <w:rPr>
          <w:i/>
          <w:color w:val="0E2841"/>
          <w:sz w:val="18"/>
          <w:szCs w:val="18"/>
        </w:rPr>
        <w:t xml:space="preserve"> Demand Scenario (</w:t>
      </w:r>
      <w:r w:rsidR="00667E66">
        <w:rPr>
          <w:i/>
          <w:color w:val="0E2841"/>
          <w:sz w:val="18"/>
          <w:szCs w:val="18"/>
          <w:lang w:val="en-GB"/>
        </w:rPr>
        <w:t>H</w:t>
      </w:r>
      <w:r w:rsidRPr="00D91558">
        <w:rPr>
          <w:i/>
          <w:color w:val="0E2841"/>
          <w:sz w:val="18"/>
          <w:szCs w:val="18"/>
        </w:rPr>
        <w:t>DS)</w:t>
      </w:r>
      <w:r w:rsidRPr="00F05D5B">
        <w:rPr>
          <w:color w:val="0E2841"/>
          <w:sz w:val="18"/>
          <w:szCs w:val="18"/>
        </w:rPr>
        <w:t>.</w:t>
      </w:r>
      <w:r w:rsidR="00512600">
        <w:rPr>
          <w:i/>
          <w:color w:val="0E2841"/>
          <w:sz w:val="18"/>
          <w:szCs w:val="18"/>
          <w:lang w:val="en-GB"/>
        </w:rPr>
        <w:t xml:space="preserve"> </w:t>
      </w:r>
      <w:r w:rsidRPr="00F05D5B">
        <w:rPr>
          <w:color w:val="0E2841"/>
          <w:sz w:val="18"/>
          <w:szCs w:val="18"/>
        </w:rPr>
        <w:t xml:space="preserve">Note: The category of ‘Other’ technologies includes </w:t>
      </w:r>
      <w:r w:rsidRPr="00F05D5B">
        <w:rPr>
          <w:color w:val="0E2841"/>
          <w:sz w:val="18"/>
          <w:szCs w:val="18"/>
          <w:lang w:val="en-GB"/>
        </w:rPr>
        <w:t>Direct Drive Electrically Excited Synchronous Generator (</w:t>
      </w:r>
      <w:r w:rsidRPr="00F05D5B">
        <w:rPr>
          <w:color w:val="0E2841"/>
          <w:sz w:val="18"/>
          <w:szCs w:val="18"/>
        </w:rPr>
        <w:t xml:space="preserve">DD-EESG), </w:t>
      </w:r>
      <w:r w:rsidRPr="00F05D5B">
        <w:rPr>
          <w:color w:val="0E2841"/>
          <w:sz w:val="18"/>
          <w:szCs w:val="18"/>
          <w:lang w:val="en-GB"/>
        </w:rPr>
        <w:t>Gearbox Double-Fed Induction Generator (</w:t>
      </w:r>
      <w:r w:rsidRPr="00F05D5B">
        <w:rPr>
          <w:color w:val="0E2841"/>
          <w:sz w:val="18"/>
          <w:szCs w:val="18"/>
        </w:rPr>
        <w:t xml:space="preserve">GB-DFIG), </w:t>
      </w:r>
      <w:r w:rsidRPr="00F05D5B">
        <w:rPr>
          <w:color w:val="0E2841"/>
          <w:sz w:val="18"/>
          <w:szCs w:val="18"/>
          <w:lang w:val="en-GB"/>
        </w:rPr>
        <w:t>Gearbox Squirrel Cage Induction Generator (</w:t>
      </w:r>
      <w:r w:rsidRPr="00F05D5B">
        <w:rPr>
          <w:color w:val="0E2841"/>
          <w:sz w:val="18"/>
          <w:szCs w:val="18"/>
        </w:rPr>
        <w:t xml:space="preserve">GB-SCIG), and Direct Drive </w:t>
      </w:r>
      <w:r w:rsidRPr="00F05D5B">
        <w:rPr>
          <w:color w:val="0E2841"/>
          <w:sz w:val="18"/>
          <w:szCs w:val="18"/>
          <w:lang w:val="en-GB"/>
        </w:rPr>
        <w:t>High-Temperature Superconductors</w:t>
      </w:r>
      <w:r w:rsidRPr="00F05D5B">
        <w:rPr>
          <w:color w:val="0E2841"/>
          <w:sz w:val="18"/>
          <w:szCs w:val="18"/>
        </w:rPr>
        <w:t xml:space="preserve"> (DD-HTS).</w:t>
      </w:r>
    </w:p>
    <w:p w14:paraId="28F0B6AE" w14:textId="5D504327" w:rsidR="007F6E54" w:rsidRPr="00EE1723" w:rsidRDefault="007F6E54" w:rsidP="00EE1723"/>
    <w:p w14:paraId="3827A038" w14:textId="77777777" w:rsidR="005748AA" w:rsidRPr="00EE1723" w:rsidRDefault="005748AA" w:rsidP="00460C5E">
      <w:pPr>
        <w:pStyle w:val="Heading1"/>
        <w:rPr>
          <w:color w:val="0E2841" w:themeColor="text2"/>
          <w:sz w:val="32"/>
          <w:szCs w:val="32"/>
          <w:lang w:val="en-GB"/>
        </w:rPr>
      </w:pPr>
    </w:p>
    <w:p w14:paraId="1A3C3FBE" w14:textId="747041D8" w:rsidR="00460C5E" w:rsidRPr="00EC0378" w:rsidRDefault="00460C5E" w:rsidP="00460C5E">
      <w:pPr>
        <w:pStyle w:val="Heading1"/>
        <w:rPr>
          <w:color w:val="0E2841" w:themeColor="text2"/>
          <w:sz w:val="32"/>
          <w:szCs w:val="32"/>
        </w:rPr>
      </w:pPr>
      <w:bookmarkStart w:id="103" w:name="_Toc208849810"/>
      <w:bookmarkStart w:id="104" w:name="_Toc208850252"/>
      <w:r w:rsidRPr="00EC0378">
        <w:rPr>
          <w:color w:val="0E2841" w:themeColor="text2"/>
          <w:sz w:val="32"/>
          <w:szCs w:val="32"/>
        </w:rPr>
        <w:t>References</w:t>
      </w:r>
      <w:bookmarkEnd w:id="103"/>
      <w:bookmarkEnd w:id="104"/>
    </w:p>
    <w:p w14:paraId="5506CA37" w14:textId="77777777" w:rsidR="00B22663" w:rsidRPr="00030243" w:rsidRDefault="00460C5E" w:rsidP="00030243">
      <w:pPr>
        <w:pStyle w:val="Bibliography"/>
        <w:rPr>
          <w:lang w:val="en-GB"/>
        </w:rPr>
      </w:pPr>
      <w:r w:rsidRPr="00460C5E">
        <w:rPr>
          <w:sz w:val="22"/>
          <w:szCs w:val="22"/>
        </w:rPr>
        <w:fldChar w:fldCharType="begin"/>
      </w:r>
      <w:r w:rsidR="002120D9">
        <w:rPr>
          <w:sz w:val="22"/>
          <w:szCs w:val="22"/>
        </w:rPr>
        <w:instrText xml:space="preserve"> ADDIN ZOTERO_BIBL {"uncited":[],"omitted":[],"custom":[]} CSL_BIBLIOGRAPHY </w:instrText>
      </w:r>
      <w:r w:rsidRPr="00460C5E">
        <w:rPr>
          <w:sz w:val="22"/>
          <w:szCs w:val="22"/>
        </w:rPr>
        <w:fldChar w:fldCharType="separate"/>
      </w:r>
      <w:r w:rsidR="00B22663" w:rsidRPr="00030243">
        <w:rPr>
          <w:lang w:val="en-GB"/>
        </w:rPr>
        <w:t xml:space="preserve">Adamas Intelligence. (2023). </w:t>
      </w:r>
      <w:r w:rsidR="00B22663" w:rsidRPr="00030243">
        <w:rPr>
          <w:i/>
          <w:iCs/>
          <w:lang w:val="en-GB"/>
        </w:rPr>
        <w:t>Implications: Tesla Announces Next Generation Rare-Earth-Free PMSM</w:t>
      </w:r>
      <w:r w:rsidR="00B22663" w:rsidRPr="00030243">
        <w:rPr>
          <w:lang w:val="en-GB"/>
        </w:rPr>
        <w:t>. https://www.adamasintel.com/tesla-rare-earth-free-motor/</w:t>
      </w:r>
    </w:p>
    <w:p w14:paraId="00888DAE" w14:textId="77777777" w:rsidR="00B22663" w:rsidRPr="00CD7521" w:rsidRDefault="00B22663" w:rsidP="00030243">
      <w:pPr>
        <w:pStyle w:val="Bibliography"/>
        <w:rPr>
          <w:lang w:val="sv-SE"/>
        </w:rPr>
      </w:pPr>
      <w:proofErr w:type="spellStart"/>
      <w:r w:rsidRPr="00030243">
        <w:rPr>
          <w:lang w:val="en-GB"/>
        </w:rPr>
        <w:t>Allekotte</w:t>
      </w:r>
      <w:proofErr w:type="spellEnd"/>
      <w:r w:rsidRPr="00030243">
        <w:rPr>
          <w:lang w:val="en-GB"/>
        </w:rPr>
        <w:t xml:space="preserve">, L., &amp; Garrett, P. (2024). </w:t>
      </w:r>
      <w:r w:rsidRPr="00030243">
        <w:rPr>
          <w:i/>
          <w:iCs/>
          <w:lang w:val="en-GB"/>
        </w:rPr>
        <w:t>Life Cycle Assessment of electricity production from an offshore V236.15 MW wind plant</w:t>
      </w:r>
      <w:r w:rsidRPr="00030243">
        <w:rPr>
          <w:lang w:val="en-GB"/>
        </w:rPr>
        <w:t xml:space="preserve">. </w:t>
      </w:r>
      <w:r w:rsidRPr="00CD7521">
        <w:rPr>
          <w:lang w:val="sv-SE"/>
        </w:rPr>
        <w:t>Vestas. https://www.vestas.com/en/sustainability/environment/lifecycle-assessments</w:t>
      </w:r>
    </w:p>
    <w:p w14:paraId="11AFFCB1" w14:textId="77777777" w:rsidR="00B22663" w:rsidRPr="00030243" w:rsidRDefault="00B22663" w:rsidP="00030243">
      <w:pPr>
        <w:pStyle w:val="Bibliography"/>
        <w:rPr>
          <w:lang w:val="en-GB"/>
        </w:rPr>
      </w:pPr>
      <w:r w:rsidRPr="00CD7521">
        <w:rPr>
          <w:lang w:val="sv-SE"/>
        </w:rPr>
        <w:t xml:space="preserve">Arvidsson, R., &amp; Sandén, B. A. (2017). </w:t>
      </w:r>
      <w:r w:rsidRPr="00030243">
        <w:rPr>
          <w:lang w:val="en-GB"/>
        </w:rPr>
        <w:t xml:space="preserve">Carbon nanomaterials as potential substitutes for scarce metals. </w:t>
      </w:r>
      <w:r w:rsidRPr="00030243">
        <w:rPr>
          <w:i/>
          <w:iCs/>
          <w:lang w:val="en-GB"/>
        </w:rPr>
        <w:t>Journal of Cleaner Production</w:t>
      </w:r>
      <w:r w:rsidRPr="00030243">
        <w:rPr>
          <w:lang w:val="en-GB"/>
        </w:rPr>
        <w:t xml:space="preserve">, </w:t>
      </w:r>
      <w:r w:rsidRPr="00030243">
        <w:rPr>
          <w:i/>
          <w:iCs/>
          <w:lang w:val="en-GB"/>
        </w:rPr>
        <w:t>156</w:t>
      </w:r>
      <w:r w:rsidRPr="00030243">
        <w:rPr>
          <w:lang w:val="en-GB"/>
        </w:rPr>
        <w:t>, 253–261. https://doi.org/10.1016/j.jclepro.2017.04.048</w:t>
      </w:r>
    </w:p>
    <w:p w14:paraId="277DD9C9" w14:textId="77777777" w:rsidR="00B22663" w:rsidRPr="00030243" w:rsidRDefault="00B22663" w:rsidP="00030243">
      <w:pPr>
        <w:pStyle w:val="Bibliography"/>
        <w:rPr>
          <w:lang w:val="en-GB"/>
        </w:rPr>
      </w:pPr>
      <w:r w:rsidRPr="00030243">
        <w:rPr>
          <w:lang w:val="en-GB"/>
        </w:rPr>
        <w:t xml:space="preserve">Bordoff, J., &amp; O’Sullivan Meghan, L. (2022). </w:t>
      </w:r>
      <w:r w:rsidRPr="00030243">
        <w:rPr>
          <w:i/>
          <w:iCs/>
          <w:lang w:val="en-GB"/>
        </w:rPr>
        <w:t>Green upheaval: The new geopolitics of energy</w:t>
      </w:r>
      <w:r w:rsidRPr="00030243">
        <w:rPr>
          <w:lang w:val="en-GB"/>
        </w:rPr>
        <w:t xml:space="preserve"> (Foreign Aff. 101, 68).</w:t>
      </w:r>
    </w:p>
    <w:p w14:paraId="2218BDF0" w14:textId="77777777" w:rsidR="00B22663" w:rsidRPr="00030243" w:rsidRDefault="00B22663" w:rsidP="00030243">
      <w:pPr>
        <w:pStyle w:val="Bibliography"/>
        <w:rPr>
          <w:lang w:val="en-GB"/>
        </w:rPr>
      </w:pPr>
      <w:r w:rsidRPr="00CD7521">
        <w:rPr>
          <w:lang w:val="sv-SE"/>
        </w:rPr>
        <w:t xml:space="preserve">Carrara, S., Alves Dias, P., </w:t>
      </w:r>
      <w:proofErr w:type="spellStart"/>
      <w:r w:rsidRPr="00CD7521">
        <w:rPr>
          <w:lang w:val="sv-SE"/>
        </w:rPr>
        <w:t>Plazzotta</w:t>
      </w:r>
      <w:proofErr w:type="spellEnd"/>
      <w:r w:rsidRPr="00CD7521">
        <w:rPr>
          <w:lang w:val="sv-SE"/>
        </w:rPr>
        <w:t xml:space="preserve">, B., &amp; Pavel, C. (2020). </w:t>
      </w:r>
      <w:r w:rsidRPr="00030243">
        <w:rPr>
          <w:i/>
          <w:iCs/>
          <w:lang w:val="en-GB"/>
        </w:rPr>
        <w:t>Raw materials demand for wind and solar PV technologies in the transition towards a decarbonised energy system.</w:t>
      </w:r>
      <w:r w:rsidRPr="00030243">
        <w:rPr>
          <w:lang w:val="en-GB"/>
        </w:rPr>
        <w:t xml:space="preserve"> Publications Office. https://data.europa.eu/doi/10.2760/160859</w:t>
      </w:r>
    </w:p>
    <w:p w14:paraId="2A3B6E14" w14:textId="77777777" w:rsidR="00B22663" w:rsidRPr="00030243" w:rsidRDefault="00B22663" w:rsidP="00030243">
      <w:pPr>
        <w:pStyle w:val="Bibliography"/>
        <w:rPr>
          <w:lang w:val="en-GB"/>
        </w:rPr>
      </w:pPr>
      <w:r w:rsidRPr="00030243">
        <w:rPr>
          <w:lang w:val="en-GB"/>
        </w:rPr>
        <w:lastRenderedPageBreak/>
        <w:t xml:space="preserve">Church, C., &amp; Crawford, A. (2018). </w:t>
      </w:r>
      <w:r w:rsidRPr="00030243">
        <w:rPr>
          <w:i/>
          <w:iCs/>
          <w:lang w:val="en-GB"/>
        </w:rPr>
        <w:t>Green Conflict Minerals: The fuels of conflict in the transition to a low-carbon economy</w:t>
      </w:r>
      <w:r w:rsidRPr="00030243">
        <w:rPr>
          <w:lang w:val="en-GB"/>
        </w:rPr>
        <w:t>. https://madi.africa/wp-content/uploads/2022/10/IISD-green-conflict-minerals.pdf</w:t>
      </w:r>
    </w:p>
    <w:p w14:paraId="44FAB4D8" w14:textId="77777777" w:rsidR="00B22663" w:rsidRPr="00030243" w:rsidRDefault="00B22663" w:rsidP="00030243">
      <w:pPr>
        <w:pStyle w:val="Bibliography"/>
        <w:rPr>
          <w:lang w:val="en-GB"/>
        </w:rPr>
      </w:pPr>
      <w:r w:rsidRPr="00030243">
        <w:rPr>
          <w:lang w:val="en-GB"/>
        </w:rPr>
        <w:t xml:space="preserve">Ciacci, L., </w:t>
      </w:r>
      <w:proofErr w:type="spellStart"/>
      <w:r w:rsidRPr="00030243">
        <w:rPr>
          <w:lang w:val="en-GB"/>
        </w:rPr>
        <w:t>Vassura</w:t>
      </w:r>
      <w:proofErr w:type="spellEnd"/>
      <w:r w:rsidRPr="00030243">
        <w:rPr>
          <w:lang w:val="en-GB"/>
        </w:rPr>
        <w:t xml:space="preserve">, I., Cao, Z., Liu, G., &amp; </w:t>
      </w:r>
      <w:proofErr w:type="spellStart"/>
      <w:r w:rsidRPr="00030243">
        <w:rPr>
          <w:lang w:val="en-GB"/>
        </w:rPr>
        <w:t>Passarini</w:t>
      </w:r>
      <w:proofErr w:type="spellEnd"/>
      <w:r w:rsidRPr="00030243">
        <w:rPr>
          <w:lang w:val="en-GB"/>
        </w:rPr>
        <w:t xml:space="preserve">, F. (2019). Recovering the “new twin”: Analysis of secondary neodymium sources and recycling potentials in Europe. </w:t>
      </w:r>
      <w:r w:rsidRPr="00030243">
        <w:rPr>
          <w:i/>
          <w:iCs/>
          <w:lang w:val="en-GB"/>
        </w:rPr>
        <w:t>Resources, Conservation and Recycling</w:t>
      </w:r>
      <w:r w:rsidRPr="00030243">
        <w:rPr>
          <w:lang w:val="en-GB"/>
        </w:rPr>
        <w:t xml:space="preserve">, </w:t>
      </w:r>
      <w:r w:rsidRPr="00030243">
        <w:rPr>
          <w:i/>
          <w:iCs/>
          <w:lang w:val="en-GB"/>
        </w:rPr>
        <w:t>142</w:t>
      </w:r>
      <w:r w:rsidRPr="00030243">
        <w:rPr>
          <w:lang w:val="en-GB"/>
        </w:rPr>
        <w:t>, 143–152. https://doi.org/10.1016/j.resconrec.2018.11.024</w:t>
      </w:r>
    </w:p>
    <w:p w14:paraId="60F88DCF" w14:textId="77777777" w:rsidR="00B22663" w:rsidRPr="00030243" w:rsidRDefault="00B22663" w:rsidP="00030243">
      <w:pPr>
        <w:pStyle w:val="Bibliography"/>
        <w:rPr>
          <w:lang w:val="en-GB"/>
        </w:rPr>
      </w:pPr>
      <w:proofErr w:type="spellStart"/>
      <w:r w:rsidRPr="00030243">
        <w:rPr>
          <w:lang w:val="en-GB"/>
        </w:rPr>
        <w:t>Dominish</w:t>
      </w:r>
      <w:proofErr w:type="spellEnd"/>
      <w:r w:rsidRPr="00030243">
        <w:rPr>
          <w:lang w:val="en-GB"/>
        </w:rPr>
        <w:t xml:space="preserve">, E., Teske, S., &amp; Florin, N. (2019). </w:t>
      </w:r>
      <w:r w:rsidRPr="00030243">
        <w:rPr>
          <w:i/>
          <w:iCs/>
          <w:lang w:val="en-GB"/>
        </w:rPr>
        <w:t>Responsible minerals sourcing for renewable energy</w:t>
      </w:r>
      <w:r w:rsidRPr="00030243">
        <w:rPr>
          <w:lang w:val="en-GB"/>
        </w:rPr>
        <w:t xml:space="preserve"> (Report Prepared for Earthworks by the Institute for Sustainable Futures, University of Technology Sydney.).</w:t>
      </w:r>
    </w:p>
    <w:p w14:paraId="3A651D5C" w14:textId="77777777" w:rsidR="00B22663" w:rsidRPr="00030243" w:rsidRDefault="00B22663" w:rsidP="00030243">
      <w:pPr>
        <w:pStyle w:val="Bibliography"/>
        <w:rPr>
          <w:lang w:val="en-GB"/>
        </w:rPr>
      </w:pPr>
      <w:proofErr w:type="spellStart"/>
      <w:r w:rsidRPr="00030243">
        <w:rPr>
          <w:lang w:val="en-GB"/>
        </w:rPr>
        <w:t>Elshkaki</w:t>
      </w:r>
      <w:proofErr w:type="spellEnd"/>
      <w:r w:rsidRPr="00030243">
        <w:rPr>
          <w:lang w:val="en-GB"/>
        </w:rPr>
        <w:t xml:space="preserve">, A., &amp; Shen, L. (2019). Energy-material nexus: The impacts of national and international energy scenarios on critical metals use in China up to 2050 and their global implications. </w:t>
      </w:r>
      <w:r w:rsidRPr="00030243">
        <w:rPr>
          <w:i/>
          <w:iCs/>
          <w:lang w:val="en-GB"/>
        </w:rPr>
        <w:t>Energy</w:t>
      </w:r>
      <w:r w:rsidRPr="00030243">
        <w:rPr>
          <w:lang w:val="en-GB"/>
        </w:rPr>
        <w:t xml:space="preserve">, </w:t>
      </w:r>
      <w:r w:rsidRPr="00030243">
        <w:rPr>
          <w:i/>
          <w:iCs/>
          <w:lang w:val="en-GB"/>
        </w:rPr>
        <w:t>180</w:t>
      </w:r>
      <w:r w:rsidRPr="00030243">
        <w:rPr>
          <w:lang w:val="en-GB"/>
        </w:rPr>
        <w:t>, 903–917. https://doi.org/10.1016/j.energy.2019.05.156</w:t>
      </w:r>
    </w:p>
    <w:p w14:paraId="5424201F" w14:textId="77777777" w:rsidR="00B22663" w:rsidRPr="00030243" w:rsidRDefault="00B22663" w:rsidP="00030243">
      <w:pPr>
        <w:pStyle w:val="Bibliography"/>
        <w:rPr>
          <w:lang w:val="en-GB"/>
        </w:rPr>
      </w:pPr>
      <w:r w:rsidRPr="00030243">
        <w:rPr>
          <w:lang w:val="en-GB"/>
        </w:rPr>
        <w:t xml:space="preserve">Fischer, A. (2022). </w:t>
      </w:r>
      <w:proofErr w:type="spellStart"/>
      <w:r w:rsidRPr="00030243">
        <w:rPr>
          <w:i/>
          <w:iCs/>
          <w:lang w:val="en-GB"/>
        </w:rPr>
        <w:t>Maxeon</w:t>
      </w:r>
      <w:proofErr w:type="spellEnd"/>
      <w:r w:rsidRPr="00030243">
        <w:rPr>
          <w:i/>
          <w:iCs/>
          <w:lang w:val="en-GB"/>
        </w:rPr>
        <w:t xml:space="preserve"> 40-year solar panel warranty available in select markets</w:t>
      </w:r>
      <w:r w:rsidRPr="00030243">
        <w:rPr>
          <w:lang w:val="en-GB"/>
        </w:rPr>
        <w:t>. https://pv-magazine-usa.com/2022/02/04/maxeon-40-year-solar-panel-warranty-available-in-select-markets/?utm_source=chatgpt.com</w:t>
      </w:r>
    </w:p>
    <w:p w14:paraId="08F12CF7" w14:textId="77777777" w:rsidR="00B22663" w:rsidRPr="00030243" w:rsidRDefault="00B22663" w:rsidP="00030243">
      <w:pPr>
        <w:pStyle w:val="Bibliography"/>
        <w:rPr>
          <w:lang w:val="en-GB"/>
        </w:rPr>
      </w:pPr>
      <w:proofErr w:type="spellStart"/>
      <w:r w:rsidRPr="00CD7521">
        <w:rPr>
          <w:lang w:val="sv-SE"/>
        </w:rPr>
        <w:t>Fishman</w:t>
      </w:r>
      <w:proofErr w:type="spellEnd"/>
      <w:r w:rsidRPr="00CD7521">
        <w:rPr>
          <w:lang w:val="sv-SE"/>
        </w:rPr>
        <w:t xml:space="preserve">, T., &amp; </w:t>
      </w:r>
      <w:proofErr w:type="spellStart"/>
      <w:r w:rsidRPr="00CD7521">
        <w:rPr>
          <w:lang w:val="sv-SE"/>
        </w:rPr>
        <w:t>Graedel</w:t>
      </w:r>
      <w:proofErr w:type="spellEnd"/>
      <w:r w:rsidRPr="00CD7521">
        <w:rPr>
          <w:lang w:val="sv-SE"/>
        </w:rPr>
        <w:t xml:space="preserve">, T. E. (2019). </w:t>
      </w:r>
      <w:r w:rsidRPr="00030243">
        <w:rPr>
          <w:lang w:val="en-GB"/>
        </w:rPr>
        <w:t xml:space="preserve">Impact of the establishment of US offshore wind power on neodymium flows. </w:t>
      </w:r>
      <w:r w:rsidRPr="00030243">
        <w:rPr>
          <w:i/>
          <w:iCs/>
          <w:lang w:val="en-GB"/>
        </w:rPr>
        <w:t>Nature Sustainability</w:t>
      </w:r>
      <w:r w:rsidRPr="00030243">
        <w:rPr>
          <w:lang w:val="en-GB"/>
        </w:rPr>
        <w:t xml:space="preserve">, </w:t>
      </w:r>
      <w:r w:rsidRPr="00030243">
        <w:rPr>
          <w:i/>
          <w:iCs/>
          <w:lang w:val="en-GB"/>
        </w:rPr>
        <w:t>2</w:t>
      </w:r>
      <w:r w:rsidRPr="00030243">
        <w:rPr>
          <w:lang w:val="en-GB"/>
        </w:rPr>
        <w:t>(4), 332–338. https://doi.org/10.1038/s41893-019-0252-z</w:t>
      </w:r>
    </w:p>
    <w:p w14:paraId="2756C232" w14:textId="77777777" w:rsidR="00B22663" w:rsidRPr="00030243" w:rsidRDefault="00B22663" w:rsidP="00030243">
      <w:pPr>
        <w:pStyle w:val="Bibliography"/>
        <w:rPr>
          <w:lang w:val="en-GB"/>
        </w:rPr>
      </w:pPr>
      <w:r w:rsidRPr="00030243">
        <w:rPr>
          <w:lang w:val="en-GB"/>
        </w:rPr>
        <w:t xml:space="preserve">Fraunhofer. (2022). </w:t>
      </w:r>
      <w:r w:rsidRPr="00030243">
        <w:rPr>
          <w:i/>
          <w:iCs/>
          <w:lang w:val="en-GB"/>
        </w:rPr>
        <w:t>Out with the silver, in with the copper: A new boost for solar cell production</w:t>
      </w:r>
      <w:r w:rsidRPr="00030243">
        <w:rPr>
          <w:lang w:val="en-GB"/>
        </w:rPr>
        <w:t>. https://www.fraunhofer.de/en/press/research-news/2022/september-2022/out-with-the-silver-in-with-the-copper-a-new-boost-for-solar-cells.html</w:t>
      </w:r>
    </w:p>
    <w:p w14:paraId="4664B00F" w14:textId="77777777" w:rsidR="00B22663" w:rsidRPr="00030243" w:rsidRDefault="00B22663" w:rsidP="00030243">
      <w:pPr>
        <w:pStyle w:val="Bibliography"/>
        <w:rPr>
          <w:lang w:val="en-GB"/>
        </w:rPr>
      </w:pPr>
      <w:r w:rsidRPr="00030243">
        <w:rPr>
          <w:lang w:val="en-GB"/>
        </w:rPr>
        <w:lastRenderedPageBreak/>
        <w:t xml:space="preserve">Giurco, D., </w:t>
      </w:r>
      <w:proofErr w:type="spellStart"/>
      <w:r w:rsidRPr="00030243">
        <w:rPr>
          <w:lang w:val="en-GB"/>
        </w:rPr>
        <w:t>Dominish</w:t>
      </w:r>
      <w:proofErr w:type="spellEnd"/>
      <w:r w:rsidRPr="00030243">
        <w:rPr>
          <w:lang w:val="en-GB"/>
        </w:rPr>
        <w:t xml:space="preserve">, E., Florin, N., Watari, T., &amp; McLellan, B. (2019). Requirements for Minerals and Metals for 100% Renewable Scenarios. In S. Teske (Ed.), </w:t>
      </w:r>
      <w:r w:rsidRPr="00030243">
        <w:rPr>
          <w:i/>
          <w:iCs/>
          <w:lang w:val="en-GB"/>
        </w:rPr>
        <w:t>Achieving the Paris Climate Agreement Goals</w:t>
      </w:r>
      <w:r w:rsidRPr="00030243">
        <w:rPr>
          <w:lang w:val="en-GB"/>
        </w:rPr>
        <w:t xml:space="preserve"> (pp. 437–457). Springer International Publishing. https://doi.org/10.1007/978-3-030-05843-2_11</w:t>
      </w:r>
    </w:p>
    <w:p w14:paraId="1FC31C9F" w14:textId="77777777" w:rsidR="00B22663" w:rsidRPr="00030243" w:rsidRDefault="00B22663" w:rsidP="00030243">
      <w:pPr>
        <w:pStyle w:val="Bibliography"/>
        <w:rPr>
          <w:lang w:val="en-GB"/>
        </w:rPr>
      </w:pPr>
      <w:r w:rsidRPr="00030243">
        <w:rPr>
          <w:lang w:val="en-GB"/>
        </w:rPr>
        <w:t xml:space="preserve">Graedel, T. E., Reck, B. K., &amp; </w:t>
      </w:r>
      <w:proofErr w:type="spellStart"/>
      <w:r w:rsidRPr="00030243">
        <w:rPr>
          <w:lang w:val="en-GB"/>
        </w:rPr>
        <w:t>Miatto</w:t>
      </w:r>
      <w:proofErr w:type="spellEnd"/>
      <w:r w:rsidRPr="00030243">
        <w:rPr>
          <w:lang w:val="en-GB"/>
        </w:rPr>
        <w:t xml:space="preserve">, A. (2022). Alloy information helps prioritize material criticality lists. </w:t>
      </w:r>
      <w:r w:rsidRPr="00030243">
        <w:rPr>
          <w:i/>
          <w:iCs/>
          <w:lang w:val="en-GB"/>
        </w:rPr>
        <w:t>Nature Communications</w:t>
      </w:r>
      <w:r w:rsidRPr="00030243">
        <w:rPr>
          <w:lang w:val="en-GB"/>
        </w:rPr>
        <w:t xml:space="preserve">, </w:t>
      </w:r>
      <w:r w:rsidRPr="00030243">
        <w:rPr>
          <w:i/>
          <w:iCs/>
          <w:lang w:val="en-GB"/>
        </w:rPr>
        <w:t>13</w:t>
      </w:r>
      <w:r w:rsidRPr="00030243">
        <w:rPr>
          <w:lang w:val="en-GB"/>
        </w:rPr>
        <w:t>(1), 150. https://doi.org/10.1038/s41467-021-27829-w</w:t>
      </w:r>
    </w:p>
    <w:p w14:paraId="1B2DCC31" w14:textId="77777777" w:rsidR="00B22663" w:rsidRPr="00CD7521" w:rsidRDefault="00B22663" w:rsidP="00030243">
      <w:pPr>
        <w:pStyle w:val="Bibliography"/>
        <w:rPr>
          <w:lang w:val="sv-SE"/>
        </w:rPr>
      </w:pPr>
      <w:r w:rsidRPr="00030243">
        <w:rPr>
          <w:lang w:val="en-GB"/>
        </w:rPr>
        <w:t xml:space="preserve">Gregoir, L., &amp; van Acker, K. (2022, April 25). </w:t>
      </w:r>
      <w:r w:rsidRPr="00030243">
        <w:rPr>
          <w:i/>
          <w:iCs/>
          <w:lang w:val="en-GB"/>
        </w:rPr>
        <w:t>Metals for Clean Energy: Pathways to solving Europe’s raw materials challenge</w:t>
      </w:r>
      <w:r w:rsidRPr="00030243">
        <w:rPr>
          <w:lang w:val="en-GB"/>
        </w:rPr>
        <w:t xml:space="preserve">. </w:t>
      </w:r>
      <w:proofErr w:type="spellStart"/>
      <w:r w:rsidRPr="00CD7521">
        <w:rPr>
          <w:lang w:val="sv-SE"/>
        </w:rPr>
        <w:t>Eurometaux</w:t>
      </w:r>
      <w:proofErr w:type="spellEnd"/>
      <w:r w:rsidRPr="00CD7521">
        <w:rPr>
          <w:lang w:val="sv-SE"/>
        </w:rPr>
        <w:t>. https://eurometaux.eu/media/rqocjybv/metals-for-clean-energy-final.pdf</w:t>
      </w:r>
    </w:p>
    <w:p w14:paraId="46FF31C4" w14:textId="77777777" w:rsidR="00B22663" w:rsidRPr="00030243" w:rsidRDefault="00B22663" w:rsidP="00030243">
      <w:pPr>
        <w:pStyle w:val="Bibliography"/>
        <w:rPr>
          <w:lang w:val="en-GB"/>
        </w:rPr>
      </w:pPr>
      <w:proofErr w:type="spellStart"/>
      <w:r w:rsidRPr="00030243">
        <w:rPr>
          <w:lang w:val="en-GB"/>
        </w:rPr>
        <w:t>Hoenderdaal</w:t>
      </w:r>
      <w:proofErr w:type="spellEnd"/>
      <w:r w:rsidRPr="00030243">
        <w:rPr>
          <w:lang w:val="en-GB"/>
        </w:rPr>
        <w:t xml:space="preserve">, S., Tercero Espinoza, L., Marscheider-Weidemann, F., &amp; Graus, W. (2013). Can a dysprosium shortage threaten green energy technologies? </w:t>
      </w:r>
      <w:r w:rsidRPr="00030243">
        <w:rPr>
          <w:i/>
          <w:iCs/>
          <w:lang w:val="en-GB"/>
        </w:rPr>
        <w:t>Energy</w:t>
      </w:r>
      <w:r w:rsidRPr="00030243">
        <w:rPr>
          <w:lang w:val="en-GB"/>
        </w:rPr>
        <w:t xml:space="preserve">, </w:t>
      </w:r>
      <w:r w:rsidRPr="00030243">
        <w:rPr>
          <w:i/>
          <w:iCs/>
          <w:lang w:val="en-GB"/>
        </w:rPr>
        <w:t>49</w:t>
      </w:r>
      <w:r w:rsidRPr="00030243">
        <w:rPr>
          <w:lang w:val="en-GB"/>
        </w:rPr>
        <w:t>, 344–355. https://doi.org/10.1016/j.energy.2012.10.043</w:t>
      </w:r>
    </w:p>
    <w:p w14:paraId="47250E5C" w14:textId="77777777" w:rsidR="00B22663" w:rsidRPr="00030243" w:rsidRDefault="00B22663" w:rsidP="00030243">
      <w:pPr>
        <w:pStyle w:val="Bibliography"/>
        <w:rPr>
          <w:lang w:val="en-GB"/>
        </w:rPr>
      </w:pPr>
      <w:r w:rsidRPr="00CD7521">
        <w:rPr>
          <w:lang w:val="sv-SE"/>
        </w:rPr>
        <w:t xml:space="preserve">Huber, S. T., &amp; </w:t>
      </w:r>
      <w:proofErr w:type="spellStart"/>
      <w:r w:rsidRPr="00CD7521">
        <w:rPr>
          <w:lang w:val="sv-SE"/>
        </w:rPr>
        <w:t>Steininger</w:t>
      </w:r>
      <w:proofErr w:type="spellEnd"/>
      <w:r w:rsidRPr="00CD7521">
        <w:rPr>
          <w:lang w:val="sv-SE"/>
        </w:rPr>
        <w:t xml:space="preserve">, K. W. (2022). </w:t>
      </w:r>
      <w:r w:rsidRPr="00030243">
        <w:rPr>
          <w:lang w:val="en-GB"/>
        </w:rPr>
        <w:t xml:space="preserve">Critical sustainability issues in the production of wind and solar electricity generation as well as storage facilities and possible solutions. </w:t>
      </w:r>
      <w:r w:rsidRPr="00030243">
        <w:rPr>
          <w:i/>
          <w:iCs/>
          <w:lang w:val="en-GB"/>
        </w:rPr>
        <w:t>Journal of Cleaner Production</w:t>
      </w:r>
      <w:r w:rsidRPr="00030243">
        <w:rPr>
          <w:lang w:val="en-GB"/>
        </w:rPr>
        <w:t xml:space="preserve">, </w:t>
      </w:r>
      <w:r w:rsidRPr="00030243">
        <w:rPr>
          <w:i/>
          <w:iCs/>
          <w:lang w:val="en-GB"/>
        </w:rPr>
        <w:t>339</w:t>
      </w:r>
      <w:r w:rsidRPr="00030243">
        <w:rPr>
          <w:lang w:val="en-GB"/>
        </w:rPr>
        <w:t>, 130720. https://doi.org/10.1016/j.jclepro.2022.130720</w:t>
      </w:r>
    </w:p>
    <w:p w14:paraId="73A4B74F" w14:textId="77777777" w:rsidR="00B22663" w:rsidRPr="00030243" w:rsidRDefault="00B22663" w:rsidP="00030243">
      <w:pPr>
        <w:pStyle w:val="Bibliography"/>
        <w:rPr>
          <w:lang w:val="en-GB"/>
        </w:rPr>
      </w:pPr>
      <w:r w:rsidRPr="00030243">
        <w:rPr>
          <w:lang w:val="en-GB"/>
        </w:rPr>
        <w:t xml:space="preserve">IEA. (2018). </w:t>
      </w:r>
      <w:r w:rsidRPr="00030243">
        <w:rPr>
          <w:i/>
          <w:iCs/>
          <w:lang w:val="en-GB"/>
        </w:rPr>
        <w:t>Offshore Energy Outlook</w:t>
      </w:r>
      <w:r w:rsidRPr="00030243">
        <w:rPr>
          <w:lang w:val="en-GB"/>
        </w:rPr>
        <w:t xml:space="preserve"> (World Energy Outlook Series). Organisation for Economic Cooperation and Development and IEA.</w:t>
      </w:r>
    </w:p>
    <w:p w14:paraId="11195461" w14:textId="77777777" w:rsidR="00B22663" w:rsidRPr="00030243" w:rsidRDefault="00B22663" w:rsidP="00030243">
      <w:pPr>
        <w:pStyle w:val="Bibliography"/>
        <w:rPr>
          <w:lang w:val="en-GB"/>
        </w:rPr>
      </w:pPr>
      <w:r w:rsidRPr="00030243">
        <w:rPr>
          <w:lang w:val="en-GB"/>
        </w:rPr>
        <w:t xml:space="preserve">IEA. (2022). </w:t>
      </w:r>
      <w:r w:rsidRPr="00030243">
        <w:rPr>
          <w:i/>
          <w:iCs/>
          <w:lang w:val="en-GB"/>
        </w:rPr>
        <w:t>The Role of Critical Minerals in Clean Energy Transitions</w:t>
      </w:r>
      <w:r w:rsidRPr="00030243">
        <w:rPr>
          <w:lang w:val="en-GB"/>
        </w:rPr>
        <w:t xml:space="preserve"> (World Energy Outlook Special Report) [International Energy Agency]. https://www.iea.org/reports/the-role-of-critical-minerals-in-clean-energy-transitions</w:t>
      </w:r>
    </w:p>
    <w:p w14:paraId="13C6B853" w14:textId="77777777" w:rsidR="00B22663" w:rsidRPr="00030243" w:rsidRDefault="00B22663" w:rsidP="00030243">
      <w:pPr>
        <w:pStyle w:val="Bibliography"/>
        <w:rPr>
          <w:lang w:val="en-GB"/>
        </w:rPr>
      </w:pPr>
      <w:r w:rsidRPr="00030243">
        <w:rPr>
          <w:lang w:val="en-GB"/>
        </w:rPr>
        <w:lastRenderedPageBreak/>
        <w:t xml:space="preserve">Imholte, D. D., Nguyen, R. T., </w:t>
      </w:r>
      <w:proofErr w:type="spellStart"/>
      <w:r w:rsidRPr="00030243">
        <w:rPr>
          <w:lang w:val="en-GB"/>
        </w:rPr>
        <w:t>Vedantam</w:t>
      </w:r>
      <w:proofErr w:type="spellEnd"/>
      <w:r w:rsidRPr="00030243">
        <w:rPr>
          <w:lang w:val="en-GB"/>
        </w:rPr>
        <w:t xml:space="preserve">, A., Brown, M., Iyer, A., Smith, B. J., Collins, J. W., Anderson, C. G., &amp; O’Kelley, B. (2018). An assessment of U.S. rare earth availability for supporting U.S. wind energy growth targets. </w:t>
      </w:r>
      <w:r w:rsidRPr="00030243">
        <w:rPr>
          <w:i/>
          <w:iCs/>
          <w:lang w:val="en-GB"/>
        </w:rPr>
        <w:t>Energy Policy</w:t>
      </w:r>
      <w:r w:rsidRPr="00030243">
        <w:rPr>
          <w:lang w:val="en-GB"/>
        </w:rPr>
        <w:t xml:space="preserve">, </w:t>
      </w:r>
      <w:r w:rsidRPr="00030243">
        <w:rPr>
          <w:i/>
          <w:iCs/>
          <w:lang w:val="en-GB"/>
        </w:rPr>
        <w:t>113</w:t>
      </w:r>
      <w:r w:rsidRPr="00030243">
        <w:rPr>
          <w:lang w:val="en-GB"/>
        </w:rPr>
        <w:t>, 294–305. https://doi.org/10.1016/j.enpol.2017.11.001</w:t>
      </w:r>
    </w:p>
    <w:p w14:paraId="499A0CA3" w14:textId="77777777" w:rsidR="00B22663" w:rsidRPr="00030243" w:rsidRDefault="00B22663" w:rsidP="00030243">
      <w:pPr>
        <w:pStyle w:val="Bibliography"/>
        <w:rPr>
          <w:lang w:val="en-GB"/>
        </w:rPr>
      </w:pPr>
      <w:r w:rsidRPr="00030243">
        <w:rPr>
          <w:lang w:val="en-GB"/>
        </w:rPr>
        <w:t xml:space="preserve">Jean, J., Brown, P. R., Jaffe, R. L., Buonassisi, T., &amp; </w:t>
      </w:r>
      <w:proofErr w:type="spellStart"/>
      <w:r w:rsidRPr="00030243">
        <w:rPr>
          <w:lang w:val="en-GB"/>
        </w:rPr>
        <w:t>Bulović</w:t>
      </w:r>
      <w:proofErr w:type="spellEnd"/>
      <w:r w:rsidRPr="00030243">
        <w:rPr>
          <w:lang w:val="en-GB"/>
        </w:rPr>
        <w:t xml:space="preserve">, V. (2015). Pathways for solar photovoltaics. </w:t>
      </w:r>
      <w:r w:rsidRPr="00030243">
        <w:rPr>
          <w:i/>
          <w:iCs/>
          <w:lang w:val="en-GB"/>
        </w:rPr>
        <w:t>Energy &amp; Environmental Science</w:t>
      </w:r>
      <w:r w:rsidRPr="00030243">
        <w:rPr>
          <w:lang w:val="en-GB"/>
        </w:rPr>
        <w:t xml:space="preserve">, </w:t>
      </w:r>
      <w:r w:rsidRPr="00030243">
        <w:rPr>
          <w:i/>
          <w:iCs/>
          <w:lang w:val="en-GB"/>
        </w:rPr>
        <w:t>8</w:t>
      </w:r>
      <w:r w:rsidRPr="00030243">
        <w:rPr>
          <w:lang w:val="en-GB"/>
        </w:rPr>
        <w:t>(4), 1200–1219. https://doi.org/10.1039/C4EE04073B</w:t>
      </w:r>
    </w:p>
    <w:p w14:paraId="35E3A3CE" w14:textId="77777777" w:rsidR="00B22663" w:rsidRPr="00030243" w:rsidRDefault="00B22663" w:rsidP="00030243">
      <w:pPr>
        <w:pStyle w:val="Bibliography"/>
        <w:rPr>
          <w:lang w:val="en-GB"/>
        </w:rPr>
      </w:pPr>
      <w:r w:rsidRPr="00030243">
        <w:rPr>
          <w:lang w:val="en-GB"/>
        </w:rPr>
        <w:t xml:space="preserve">Jowett, P. (2024). </w:t>
      </w:r>
      <w:r w:rsidRPr="00030243">
        <w:rPr>
          <w:i/>
          <w:iCs/>
          <w:lang w:val="en-GB"/>
        </w:rPr>
        <w:t>Oxford PV starts commercial distribution of perovskite solar modules</w:t>
      </w:r>
      <w:r w:rsidRPr="00030243">
        <w:rPr>
          <w:lang w:val="en-GB"/>
        </w:rPr>
        <w:t>. https://www.pv-magazine.com/2024/09/05/oxford-pv-starts-commercial-distribution-of-perovskite-solar-modules/?utm_source=chatgpt.com</w:t>
      </w:r>
    </w:p>
    <w:p w14:paraId="790FE076" w14:textId="77777777" w:rsidR="00B22663" w:rsidRPr="00030243" w:rsidRDefault="00B22663" w:rsidP="00030243">
      <w:pPr>
        <w:pStyle w:val="Bibliography"/>
        <w:rPr>
          <w:lang w:val="en-GB"/>
        </w:rPr>
      </w:pPr>
      <w:r w:rsidRPr="00030243">
        <w:rPr>
          <w:lang w:val="en-GB"/>
        </w:rPr>
        <w:t xml:space="preserve">JRC. (2016). </w:t>
      </w:r>
      <w:r w:rsidRPr="00030243">
        <w:rPr>
          <w:i/>
          <w:iCs/>
          <w:lang w:val="en-GB"/>
        </w:rPr>
        <w:t>Wind Energy Status Report: 2016 Edition</w:t>
      </w:r>
      <w:r w:rsidRPr="00030243">
        <w:rPr>
          <w:lang w:val="en-GB"/>
        </w:rPr>
        <w:t>. https://publications.jrc.ec.europa.eu/repository/handle/JRC105720</w:t>
      </w:r>
    </w:p>
    <w:p w14:paraId="71230BC5" w14:textId="77777777" w:rsidR="00B22663" w:rsidRPr="00030243" w:rsidRDefault="00B22663" w:rsidP="00030243">
      <w:pPr>
        <w:pStyle w:val="Bibliography"/>
        <w:rPr>
          <w:lang w:val="en-GB"/>
        </w:rPr>
      </w:pPr>
      <w:r w:rsidRPr="00030243">
        <w:rPr>
          <w:lang w:val="en-GB"/>
        </w:rPr>
        <w:t xml:space="preserve">Kim, D. H., &amp; Lee, S. H. (2013). Investigation on plated Ni/Cu contact for mono-crystalline silicon solar cells. </w:t>
      </w:r>
      <w:r w:rsidRPr="00030243">
        <w:rPr>
          <w:i/>
          <w:iCs/>
          <w:lang w:val="en-GB"/>
        </w:rPr>
        <w:t>Electronic Materials Letters</w:t>
      </w:r>
      <w:r w:rsidRPr="00030243">
        <w:rPr>
          <w:lang w:val="en-GB"/>
        </w:rPr>
        <w:t xml:space="preserve">, </w:t>
      </w:r>
      <w:r w:rsidRPr="00030243">
        <w:rPr>
          <w:i/>
          <w:iCs/>
          <w:lang w:val="en-GB"/>
        </w:rPr>
        <w:t>9</w:t>
      </w:r>
      <w:r w:rsidRPr="00030243">
        <w:rPr>
          <w:lang w:val="en-GB"/>
        </w:rPr>
        <w:t>(5), 677–681. https://doi.org/10.1007/s13391-013-2169-4</w:t>
      </w:r>
    </w:p>
    <w:p w14:paraId="68877CF9" w14:textId="77777777" w:rsidR="00B22663" w:rsidRPr="00030243" w:rsidRDefault="00B22663" w:rsidP="00030243">
      <w:pPr>
        <w:pStyle w:val="Bibliography"/>
        <w:rPr>
          <w:lang w:val="en-GB"/>
        </w:rPr>
      </w:pPr>
      <w:r w:rsidRPr="00030243">
        <w:rPr>
          <w:lang w:val="en-GB"/>
        </w:rPr>
        <w:t xml:space="preserve">Kumari, A., Sinha, M. K., Pramanik, S., &amp; Sahu, S. K. (2018). Recovery of rare earths from spent NdFeB magnets of wind turbine: Leaching and kinetic aspects. </w:t>
      </w:r>
      <w:r w:rsidRPr="00030243">
        <w:rPr>
          <w:i/>
          <w:iCs/>
          <w:lang w:val="en-GB"/>
        </w:rPr>
        <w:t>Waste Management</w:t>
      </w:r>
      <w:r w:rsidRPr="00030243">
        <w:rPr>
          <w:lang w:val="en-GB"/>
        </w:rPr>
        <w:t xml:space="preserve">, </w:t>
      </w:r>
      <w:r w:rsidRPr="00030243">
        <w:rPr>
          <w:i/>
          <w:iCs/>
          <w:lang w:val="en-GB"/>
        </w:rPr>
        <w:t>75</w:t>
      </w:r>
      <w:r w:rsidRPr="00030243">
        <w:rPr>
          <w:lang w:val="en-GB"/>
        </w:rPr>
        <w:t>, 486–498. https://doi.org/10.1016/j.wasman.2018.01.033</w:t>
      </w:r>
    </w:p>
    <w:p w14:paraId="30D258C4" w14:textId="77777777" w:rsidR="00B22663" w:rsidRPr="00030243" w:rsidRDefault="00B22663" w:rsidP="00030243">
      <w:pPr>
        <w:pStyle w:val="Bibliography"/>
        <w:rPr>
          <w:lang w:val="en-GB"/>
        </w:rPr>
      </w:pPr>
      <w:proofErr w:type="spellStart"/>
      <w:r w:rsidRPr="00030243">
        <w:rPr>
          <w:lang w:val="en-GB"/>
        </w:rPr>
        <w:t>Lansstyrelsen</w:t>
      </w:r>
      <w:proofErr w:type="spellEnd"/>
      <w:r w:rsidRPr="00030243">
        <w:rPr>
          <w:lang w:val="en-GB"/>
        </w:rPr>
        <w:t xml:space="preserve">. (2022). </w:t>
      </w:r>
      <w:proofErr w:type="spellStart"/>
      <w:r w:rsidRPr="00030243">
        <w:rPr>
          <w:i/>
          <w:iCs/>
          <w:lang w:val="en-GB"/>
        </w:rPr>
        <w:t>Vindbrukskollen</w:t>
      </w:r>
      <w:proofErr w:type="spellEnd"/>
      <w:r w:rsidRPr="00030243">
        <w:rPr>
          <w:i/>
          <w:iCs/>
          <w:lang w:val="en-GB"/>
        </w:rPr>
        <w:t xml:space="preserve"> [Master Data Register of Wind Turbines]</w:t>
      </w:r>
      <w:r w:rsidRPr="00030243">
        <w:rPr>
          <w:lang w:val="en-GB"/>
        </w:rPr>
        <w:t>. https://vbk.lansstyrelsen.se/</w:t>
      </w:r>
    </w:p>
    <w:p w14:paraId="10A417CB" w14:textId="77777777" w:rsidR="00B22663" w:rsidRPr="00030243" w:rsidRDefault="00B22663" w:rsidP="00030243">
      <w:pPr>
        <w:pStyle w:val="Bibliography"/>
        <w:rPr>
          <w:lang w:val="en-GB"/>
        </w:rPr>
      </w:pPr>
      <w:r w:rsidRPr="00030243">
        <w:rPr>
          <w:lang w:val="en-GB"/>
        </w:rPr>
        <w:t xml:space="preserve">Leader, A., Gaustad, G., &amp; Babbitt, C. (2019). The effect of critical material prices on the competitiveness of clean energy technologies. </w:t>
      </w:r>
      <w:r w:rsidRPr="00030243">
        <w:rPr>
          <w:i/>
          <w:iCs/>
          <w:lang w:val="en-GB"/>
        </w:rPr>
        <w:t>Materials for Renewable and Sustainable Energy</w:t>
      </w:r>
      <w:r w:rsidRPr="00030243">
        <w:rPr>
          <w:lang w:val="en-GB"/>
        </w:rPr>
        <w:t xml:space="preserve">, </w:t>
      </w:r>
      <w:r w:rsidRPr="00030243">
        <w:rPr>
          <w:i/>
          <w:iCs/>
          <w:lang w:val="en-GB"/>
        </w:rPr>
        <w:t>8</w:t>
      </w:r>
      <w:r w:rsidRPr="00030243">
        <w:rPr>
          <w:lang w:val="en-GB"/>
        </w:rPr>
        <w:t>(2), 8. https://doi.org/10.1007/s40243-019-0146-z</w:t>
      </w:r>
    </w:p>
    <w:p w14:paraId="02319041" w14:textId="77777777" w:rsidR="00B22663" w:rsidRPr="00030243" w:rsidRDefault="00B22663" w:rsidP="00030243">
      <w:pPr>
        <w:pStyle w:val="Bibliography"/>
        <w:rPr>
          <w:lang w:val="en-GB"/>
        </w:rPr>
      </w:pPr>
      <w:r w:rsidRPr="00CD7521">
        <w:rPr>
          <w:lang w:val="sv-SE"/>
        </w:rPr>
        <w:lastRenderedPageBreak/>
        <w:t xml:space="preserve">Li, J., Peng, K., Wang, P., Zhang, N., </w:t>
      </w:r>
      <w:proofErr w:type="spellStart"/>
      <w:r w:rsidRPr="00CD7521">
        <w:rPr>
          <w:lang w:val="sv-SE"/>
        </w:rPr>
        <w:t>Feng</w:t>
      </w:r>
      <w:proofErr w:type="spellEnd"/>
      <w:r w:rsidRPr="00CD7521">
        <w:rPr>
          <w:lang w:val="sv-SE"/>
        </w:rPr>
        <w:t xml:space="preserve">, K., </w:t>
      </w:r>
      <w:proofErr w:type="spellStart"/>
      <w:r w:rsidRPr="00CD7521">
        <w:rPr>
          <w:lang w:val="sv-SE"/>
        </w:rPr>
        <w:t>Guan</w:t>
      </w:r>
      <w:proofErr w:type="spellEnd"/>
      <w:r w:rsidRPr="00CD7521">
        <w:rPr>
          <w:lang w:val="sv-SE"/>
        </w:rPr>
        <w:t xml:space="preserve">, D., </w:t>
      </w:r>
      <w:proofErr w:type="spellStart"/>
      <w:r w:rsidRPr="00CD7521">
        <w:rPr>
          <w:lang w:val="sv-SE"/>
        </w:rPr>
        <w:t>Meng</w:t>
      </w:r>
      <w:proofErr w:type="spellEnd"/>
      <w:r w:rsidRPr="00CD7521">
        <w:rPr>
          <w:lang w:val="sv-SE"/>
        </w:rPr>
        <w:t xml:space="preserve">, J., Wei, W., &amp; Yang, Q. (2020). </w:t>
      </w:r>
      <w:r w:rsidRPr="00030243">
        <w:rPr>
          <w:lang w:val="en-GB"/>
        </w:rPr>
        <w:t xml:space="preserve">Critical Rare-Earth Elements Mismatch Global Wind-Power Ambitions. </w:t>
      </w:r>
      <w:r w:rsidRPr="00030243">
        <w:rPr>
          <w:i/>
          <w:iCs/>
          <w:lang w:val="en-GB"/>
        </w:rPr>
        <w:t>One Earth</w:t>
      </w:r>
      <w:r w:rsidRPr="00030243">
        <w:rPr>
          <w:lang w:val="en-GB"/>
        </w:rPr>
        <w:t xml:space="preserve">, </w:t>
      </w:r>
      <w:r w:rsidRPr="00030243">
        <w:rPr>
          <w:i/>
          <w:iCs/>
          <w:lang w:val="en-GB"/>
        </w:rPr>
        <w:t>3</w:t>
      </w:r>
      <w:r w:rsidRPr="00030243">
        <w:rPr>
          <w:lang w:val="en-GB"/>
        </w:rPr>
        <w:t>(1), 116–125. https://doi.org/10.1016/j.oneear.2020.06.009</w:t>
      </w:r>
    </w:p>
    <w:p w14:paraId="4277C85B" w14:textId="77777777" w:rsidR="00B22663" w:rsidRPr="00030243" w:rsidRDefault="00B22663" w:rsidP="00030243">
      <w:pPr>
        <w:pStyle w:val="Bibliography"/>
        <w:rPr>
          <w:lang w:val="en-GB"/>
        </w:rPr>
      </w:pPr>
      <w:r w:rsidRPr="00030243">
        <w:rPr>
          <w:lang w:val="en-GB"/>
        </w:rPr>
        <w:t xml:space="preserve">Li, W., &amp; Adachi, T. (2019). Evaluation of long‐term silver supply shortage for c‐Si PV under different technological scenarios. </w:t>
      </w:r>
      <w:r w:rsidRPr="00030243">
        <w:rPr>
          <w:i/>
          <w:iCs/>
          <w:lang w:val="en-GB"/>
        </w:rPr>
        <w:t xml:space="preserve">Natural Resource </w:t>
      </w:r>
      <w:proofErr w:type="spellStart"/>
      <w:r w:rsidRPr="00030243">
        <w:rPr>
          <w:i/>
          <w:iCs/>
          <w:lang w:val="en-GB"/>
        </w:rPr>
        <w:t>Modeling</w:t>
      </w:r>
      <w:proofErr w:type="spellEnd"/>
      <w:r w:rsidRPr="00030243">
        <w:rPr>
          <w:lang w:val="en-GB"/>
        </w:rPr>
        <w:t xml:space="preserve">, </w:t>
      </w:r>
      <w:r w:rsidRPr="00030243">
        <w:rPr>
          <w:i/>
          <w:iCs/>
          <w:lang w:val="en-GB"/>
        </w:rPr>
        <w:t>32</w:t>
      </w:r>
      <w:r w:rsidRPr="00030243">
        <w:rPr>
          <w:lang w:val="en-GB"/>
        </w:rPr>
        <w:t>(1), e12176. https://doi.org/10.1111/nrm.12176</w:t>
      </w:r>
    </w:p>
    <w:p w14:paraId="084E347D" w14:textId="77777777" w:rsidR="00B22663" w:rsidRPr="00030243" w:rsidRDefault="00B22663" w:rsidP="00030243">
      <w:pPr>
        <w:pStyle w:val="Bibliography"/>
        <w:rPr>
          <w:lang w:val="en-GB"/>
        </w:rPr>
      </w:pPr>
      <w:r w:rsidRPr="00030243">
        <w:rPr>
          <w:lang w:val="en-GB"/>
        </w:rPr>
        <w:t xml:space="preserve">Liang, Y., Kleijn, R., Tukker, A., &amp; van der Voet, E. (2022). Material requirements for low-carbon energy technologies: A quantitative review. </w:t>
      </w:r>
      <w:r w:rsidRPr="00030243">
        <w:rPr>
          <w:i/>
          <w:iCs/>
          <w:lang w:val="en-GB"/>
        </w:rPr>
        <w:t>Renewable and Sustainable Energy Reviews</w:t>
      </w:r>
      <w:r w:rsidRPr="00030243">
        <w:rPr>
          <w:lang w:val="en-GB"/>
        </w:rPr>
        <w:t xml:space="preserve">, </w:t>
      </w:r>
      <w:r w:rsidRPr="00030243">
        <w:rPr>
          <w:i/>
          <w:iCs/>
          <w:lang w:val="en-GB"/>
        </w:rPr>
        <w:t>161</w:t>
      </w:r>
      <w:r w:rsidRPr="00030243">
        <w:rPr>
          <w:lang w:val="en-GB"/>
        </w:rPr>
        <w:t>, 112334. https://doi.org/10.1016/j.rser.2022.112334</w:t>
      </w:r>
    </w:p>
    <w:p w14:paraId="3B405955" w14:textId="77777777" w:rsidR="00B22663" w:rsidRPr="00030243" w:rsidRDefault="00B22663" w:rsidP="00030243">
      <w:pPr>
        <w:pStyle w:val="Bibliography"/>
        <w:rPr>
          <w:lang w:val="en-GB"/>
        </w:rPr>
      </w:pPr>
      <w:r w:rsidRPr="00CD7521">
        <w:rPr>
          <w:lang w:val="sv-SE"/>
        </w:rPr>
        <w:t xml:space="preserve">Lindahl, J., Oller Westerberg, A., &amp; </w:t>
      </w:r>
      <w:proofErr w:type="spellStart"/>
      <w:r w:rsidRPr="00CD7521">
        <w:rPr>
          <w:lang w:val="sv-SE"/>
        </w:rPr>
        <w:t>Vanky</w:t>
      </w:r>
      <w:proofErr w:type="spellEnd"/>
      <w:r w:rsidRPr="00CD7521">
        <w:rPr>
          <w:lang w:val="sv-SE"/>
        </w:rPr>
        <w:t xml:space="preserve">, K. (2020). </w:t>
      </w:r>
      <w:r w:rsidRPr="00030243">
        <w:rPr>
          <w:i/>
          <w:iCs/>
          <w:lang w:val="en-GB"/>
        </w:rPr>
        <w:t>National Survey Report of PV Power Applications in Sweden</w:t>
      </w:r>
      <w:r w:rsidRPr="00030243">
        <w:rPr>
          <w:lang w:val="en-GB"/>
        </w:rPr>
        <w:t>. https://iea-pvps.org/wp-content/uploads/2021/10/National-Survey-Report-of-PV-Power-Applications-in-Sweden-2020.pdf</w:t>
      </w:r>
    </w:p>
    <w:p w14:paraId="2EAFD504" w14:textId="77777777" w:rsidR="00B22663" w:rsidRPr="00030243" w:rsidRDefault="00B22663" w:rsidP="00030243">
      <w:pPr>
        <w:pStyle w:val="Bibliography"/>
        <w:rPr>
          <w:lang w:val="en-GB"/>
        </w:rPr>
      </w:pPr>
      <w:proofErr w:type="spellStart"/>
      <w:r w:rsidRPr="00030243">
        <w:rPr>
          <w:lang w:val="en-GB"/>
        </w:rPr>
        <w:t>Månberger</w:t>
      </w:r>
      <w:proofErr w:type="spellEnd"/>
      <w:r w:rsidRPr="00030243">
        <w:rPr>
          <w:lang w:val="en-GB"/>
        </w:rPr>
        <w:t xml:space="preserve">, A., &amp; </w:t>
      </w:r>
      <w:proofErr w:type="spellStart"/>
      <w:r w:rsidRPr="00030243">
        <w:rPr>
          <w:lang w:val="en-GB"/>
        </w:rPr>
        <w:t>Stenqvist</w:t>
      </w:r>
      <w:proofErr w:type="spellEnd"/>
      <w:r w:rsidRPr="00030243">
        <w:rPr>
          <w:lang w:val="en-GB"/>
        </w:rPr>
        <w:t xml:space="preserve">, B. (2018). Global metal flows in the renewable energy transition: Exploring the effects of substitutes, technological mix and development. </w:t>
      </w:r>
      <w:r w:rsidRPr="00030243">
        <w:rPr>
          <w:i/>
          <w:iCs/>
          <w:lang w:val="en-GB"/>
        </w:rPr>
        <w:t>Energy Policy</w:t>
      </w:r>
      <w:r w:rsidRPr="00030243">
        <w:rPr>
          <w:lang w:val="en-GB"/>
        </w:rPr>
        <w:t xml:space="preserve">, </w:t>
      </w:r>
      <w:r w:rsidRPr="00030243">
        <w:rPr>
          <w:i/>
          <w:iCs/>
          <w:lang w:val="en-GB"/>
        </w:rPr>
        <w:t>119</w:t>
      </w:r>
      <w:r w:rsidRPr="00030243">
        <w:rPr>
          <w:lang w:val="en-GB"/>
        </w:rPr>
        <w:t>, 226–241. https://doi.org/10.1016/j.enpol.2018.04.056</w:t>
      </w:r>
    </w:p>
    <w:p w14:paraId="2A8BCAB4" w14:textId="77777777" w:rsidR="00B22663" w:rsidRPr="00030243" w:rsidRDefault="00B22663" w:rsidP="00030243">
      <w:pPr>
        <w:pStyle w:val="Bibliography"/>
        <w:rPr>
          <w:lang w:val="en-GB"/>
        </w:rPr>
      </w:pPr>
      <w:proofErr w:type="spellStart"/>
      <w:r w:rsidRPr="00030243">
        <w:rPr>
          <w:lang w:val="en-GB"/>
        </w:rPr>
        <w:t>Maxeon</w:t>
      </w:r>
      <w:proofErr w:type="spellEnd"/>
      <w:r w:rsidRPr="00030243">
        <w:rPr>
          <w:lang w:val="en-GB"/>
        </w:rPr>
        <w:t xml:space="preserve">. (2023). </w:t>
      </w:r>
      <w:proofErr w:type="spellStart"/>
      <w:r w:rsidRPr="00030243">
        <w:rPr>
          <w:i/>
          <w:iCs/>
          <w:lang w:val="en-GB"/>
        </w:rPr>
        <w:t>Maxeon</w:t>
      </w:r>
      <w:proofErr w:type="spellEnd"/>
      <w:r w:rsidRPr="00030243">
        <w:rPr>
          <w:i/>
          <w:iCs/>
          <w:lang w:val="en-GB"/>
        </w:rPr>
        <w:t xml:space="preserve"> Sustainability Report 2023</w:t>
      </w:r>
      <w:r w:rsidRPr="00030243">
        <w:rPr>
          <w:lang w:val="en-GB"/>
        </w:rPr>
        <w:t>. https://static1.squarespace.com/static/6740dc6b95218e0ecdaa68f6/t/67d9cec2984b8b0176515624/1742327527732/BRAND-227_ESG+Report+2023_JUN24+1.pdf</w:t>
      </w:r>
    </w:p>
    <w:p w14:paraId="4FEC2379" w14:textId="77777777" w:rsidR="00B22663" w:rsidRPr="00030243" w:rsidRDefault="00B22663" w:rsidP="00030243">
      <w:pPr>
        <w:pStyle w:val="Bibliography"/>
        <w:rPr>
          <w:lang w:val="en-GB"/>
        </w:rPr>
      </w:pPr>
      <w:r w:rsidRPr="00030243">
        <w:rPr>
          <w:lang w:val="en-GB"/>
        </w:rPr>
        <w:lastRenderedPageBreak/>
        <w:t xml:space="preserve">Nassar, N. T., Wilburn, D. R., &amp; Goonan, T. G. (2016). Byproduct metal requirements for U.S. wind and solar photovoltaic electricity generation up to the year 2040 under various Clean Power Plan scenarios. </w:t>
      </w:r>
      <w:r w:rsidRPr="00030243">
        <w:rPr>
          <w:i/>
          <w:iCs/>
          <w:lang w:val="en-GB"/>
        </w:rPr>
        <w:t>Applied Energy</w:t>
      </w:r>
      <w:r w:rsidRPr="00030243">
        <w:rPr>
          <w:lang w:val="en-GB"/>
        </w:rPr>
        <w:t xml:space="preserve">, </w:t>
      </w:r>
      <w:r w:rsidRPr="00030243">
        <w:rPr>
          <w:i/>
          <w:iCs/>
          <w:lang w:val="en-GB"/>
        </w:rPr>
        <w:t>183</w:t>
      </w:r>
      <w:r w:rsidRPr="00030243">
        <w:rPr>
          <w:lang w:val="en-GB"/>
        </w:rPr>
        <w:t>, 1209–1226. https://doi.org/10.1016/j.apenergy.2016.08.062</w:t>
      </w:r>
    </w:p>
    <w:p w14:paraId="3119A8C2" w14:textId="77777777" w:rsidR="00B22663" w:rsidRPr="00030243" w:rsidRDefault="00B22663" w:rsidP="00030243">
      <w:pPr>
        <w:pStyle w:val="Bibliography"/>
        <w:rPr>
          <w:lang w:val="en-GB"/>
        </w:rPr>
      </w:pPr>
      <w:r w:rsidRPr="00030243">
        <w:rPr>
          <w:lang w:val="en-GB"/>
        </w:rPr>
        <w:t xml:space="preserve">Pavel, C. C., </w:t>
      </w:r>
      <w:proofErr w:type="spellStart"/>
      <w:r w:rsidRPr="00030243">
        <w:rPr>
          <w:lang w:val="en-GB"/>
        </w:rPr>
        <w:t>Lacal-Arántegui</w:t>
      </w:r>
      <w:proofErr w:type="spellEnd"/>
      <w:r w:rsidRPr="00030243">
        <w:rPr>
          <w:lang w:val="en-GB"/>
        </w:rPr>
        <w:t xml:space="preserve">, R., </w:t>
      </w:r>
      <w:proofErr w:type="spellStart"/>
      <w:r w:rsidRPr="00030243">
        <w:rPr>
          <w:lang w:val="en-GB"/>
        </w:rPr>
        <w:t>Marmier</w:t>
      </w:r>
      <w:proofErr w:type="spellEnd"/>
      <w:r w:rsidRPr="00030243">
        <w:rPr>
          <w:lang w:val="en-GB"/>
        </w:rPr>
        <w:t xml:space="preserve">, A., Schüler, D., Tzimas, E., Buchert, M., Jenseit, W., &amp; </w:t>
      </w:r>
      <w:proofErr w:type="spellStart"/>
      <w:r w:rsidRPr="00030243">
        <w:rPr>
          <w:lang w:val="en-GB"/>
        </w:rPr>
        <w:t>Blagoeva</w:t>
      </w:r>
      <w:proofErr w:type="spellEnd"/>
      <w:r w:rsidRPr="00030243">
        <w:rPr>
          <w:lang w:val="en-GB"/>
        </w:rPr>
        <w:t xml:space="preserve">, D. (2017). Substitution strategies for reducing the use of rare earths in wind turbines. </w:t>
      </w:r>
      <w:r w:rsidRPr="00030243">
        <w:rPr>
          <w:i/>
          <w:iCs/>
          <w:lang w:val="en-GB"/>
        </w:rPr>
        <w:t>Resources Policy</w:t>
      </w:r>
      <w:r w:rsidRPr="00030243">
        <w:rPr>
          <w:lang w:val="en-GB"/>
        </w:rPr>
        <w:t xml:space="preserve">, </w:t>
      </w:r>
      <w:r w:rsidRPr="00030243">
        <w:rPr>
          <w:i/>
          <w:iCs/>
          <w:lang w:val="en-GB"/>
        </w:rPr>
        <w:t>52</w:t>
      </w:r>
      <w:r w:rsidRPr="00030243">
        <w:rPr>
          <w:lang w:val="en-GB"/>
        </w:rPr>
        <w:t>, 349–357. https://doi.org/10.1016/j.resourpol.2017.04.010</w:t>
      </w:r>
    </w:p>
    <w:p w14:paraId="406BDF1C" w14:textId="77777777" w:rsidR="00B22663" w:rsidRPr="00030243" w:rsidRDefault="00B22663" w:rsidP="00030243">
      <w:pPr>
        <w:pStyle w:val="Bibliography"/>
        <w:rPr>
          <w:lang w:val="en-GB"/>
        </w:rPr>
      </w:pPr>
      <w:r w:rsidRPr="00030243">
        <w:rPr>
          <w:lang w:val="en-GB"/>
        </w:rPr>
        <w:t xml:space="preserve">Rabe, W., Kostka, G., &amp; Smith Stegen, K. (2017). China’s supply of critical raw materials: Risks for Europe’s solar and wind industries? </w:t>
      </w:r>
      <w:r w:rsidRPr="00030243">
        <w:rPr>
          <w:i/>
          <w:iCs/>
          <w:lang w:val="en-GB"/>
        </w:rPr>
        <w:t>Energy Policy</w:t>
      </w:r>
      <w:r w:rsidRPr="00030243">
        <w:rPr>
          <w:lang w:val="en-GB"/>
        </w:rPr>
        <w:t xml:space="preserve">, </w:t>
      </w:r>
      <w:r w:rsidRPr="00030243">
        <w:rPr>
          <w:i/>
          <w:iCs/>
          <w:lang w:val="en-GB"/>
        </w:rPr>
        <w:t>101</w:t>
      </w:r>
      <w:r w:rsidRPr="00030243">
        <w:rPr>
          <w:lang w:val="en-GB"/>
        </w:rPr>
        <w:t>, 692–699. https://doi.org/10.1016/j.enpol.2016.09.019</w:t>
      </w:r>
    </w:p>
    <w:p w14:paraId="055B1DB3" w14:textId="77777777" w:rsidR="00B22663" w:rsidRPr="00030243" w:rsidRDefault="00B22663" w:rsidP="00030243">
      <w:pPr>
        <w:pStyle w:val="Bibliography"/>
        <w:rPr>
          <w:lang w:val="en-GB"/>
        </w:rPr>
      </w:pPr>
      <w:r w:rsidRPr="00030243">
        <w:rPr>
          <w:lang w:val="en-GB"/>
        </w:rPr>
        <w:t xml:space="preserve">Rehman, A., &amp; Lee, S. (2014). Review of the Potential of the Ni/Cu Plating Technique for Crystalline Silicon Solar Cells. </w:t>
      </w:r>
      <w:r w:rsidRPr="00030243">
        <w:rPr>
          <w:i/>
          <w:iCs/>
          <w:lang w:val="en-GB"/>
        </w:rPr>
        <w:t>Materials</w:t>
      </w:r>
      <w:r w:rsidRPr="00030243">
        <w:rPr>
          <w:lang w:val="en-GB"/>
        </w:rPr>
        <w:t xml:space="preserve">, </w:t>
      </w:r>
      <w:r w:rsidRPr="00030243">
        <w:rPr>
          <w:i/>
          <w:iCs/>
          <w:lang w:val="en-GB"/>
        </w:rPr>
        <w:t>7</w:t>
      </w:r>
      <w:r w:rsidRPr="00030243">
        <w:rPr>
          <w:lang w:val="en-GB"/>
        </w:rPr>
        <w:t>(2), 1318–1341. https://doi.org/10.3390/ma7021318</w:t>
      </w:r>
    </w:p>
    <w:p w14:paraId="138F1E6B" w14:textId="77777777" w:rsidR="00B22663" w:rsidRPr="00030243" w:rsidRDefault="00B22663" w:rsidP="00030243">
      <w:pPr>
        <w:pStyle w:val="Bibliography"/>
        <w:rPr>
          <w:lang w:val="en-GB"/>
        </w:rPr>
      </w:pPr>
      <w:r w:rsidRPr="00030243">
        <w:rPr>
          <w:lang w:val="en-GB"/>
        </w:rPr>
        <w:t xml:space="preserve">Savvidou, G., &amp; Johnsson, F. (2023). Material Requirements, Circularity Potential and Embodied Emissions Associated with Wind Energy. </w:t>
      </w:r>
      <w:r w:rsidRPr="00030243">
        <w:rPr>
          <w:i/>
          <w:iCs/>
          <w:lang w:val="en-GB"/>
        </w:rPr>
        <w:t>Sustainable Production and Consumption</w:t>
      </w:r>
      <w:r w:rsidRPr="00030243">
        <w:rPr>
          <w:lang w:val="en-GB"/>
        </w:rPr>
        <w:t xml:space="preserve">, </w:t>
      </w:r>
      <w:r w:rsidRPr="00030243">
        <w:rPr>
          <w:i/>
          <w:iCs/>
          <w:lang w:val="en-GB"/>
        </w:rPr>
        <w:t>40</w:t>
      </w:r>
      <w:r w:rsidRPr="00030243">
        <w:rPr>
          <w:lang w:val="en-GB"/>
        </w:rPr>
        <w:t>, 471–487. https://doi.org/10.1016/j.spc.2023.07.012</w:t>
      </w:r>
    </w:p>
    <w:p w14:paraId="748E9FCC" w14:textId="77777777" w:rsidR="00B22663" w:rsidRPr="00030243" w:rsidRDefault="00B22663" w:rsidP="00030243">
      <w:pPr>
        <w:pStyle w:val="Bibliography"/>
        <w:rPr>
          <w:lang w:val="en-GB"/>
        </w:rPr>
      </w:pPr>
      <w:r w:rsidRPr="00030243">
        <w:rPr>
          <w:lang w:val="en-GB"/>
        </w:rPr>
        <w:t xml:space="preserve">Schulze, R., &amp; Buchert, M. (2016). Estimates of global REE recycling potentials from NdFeB magnet material. </w:t>
      </w:r>
      <w:r w:rsidRPr="00030243">
        <w:rPr>
          <w:i/>
          <w:iCs/>
          <w:lang w:val="en-GB"/>
        </w:rPr>
        <w:t>Resources, Conservation and Recycling</w:t>
      </w:r>
      <w:r w:rsidRPr="00030243">
        <w:rPr>
          <w:lang w:val="en-GB"/>
        </w:rPr>
        <w:t xml:space="preserve">, </w:t>
      </w:r>
      <w:r w:rsidRPr="00030243">
        <w:rPr>
          <w:i/>
          <w:iCs/>
          <w:lang w:val="en-GB"/>
        </w:rPr>
        <w:t>113</w:t>
      </w:r>
      <w:r w:rsidRPr="00030243">
        <w:rPr>
          <w:lang w:val="en-GB"/>
        </w:rPr>
        <w:t>, 12–27. https://doi.org/10.1016/j.resconrec.2016.05.004</w:t>
      </w:r>
    </w:p>
    <w:p w14:paraId="1E954667" w14:textId="77777777" w:rsidR="00B22663" w:rsidRPr="00030243" w:rsidRDefault="00B22663" w:rsidP="00030243">
      <w:pPr>
        <w:pStyle w:val="Bibliography"/>
        <w:rPr>
          <w:lang w:val="en-GB"/>
        </w:rPr>
      </w:pPr>
      <w:r w:rsidRPr="00030243">
        <w:rPr>
          <w:lang w:val="en-GB"/>
        </w:rPr>
        <w:t xml:space="preserve">Shaw, V. (2025). </w:t>
      </w:r>
      <w:proofErr w:type="spellStart"/>
      <w:r w:rsidRPr="00030243">
        <w:rPr>
          <w:i/>
          <w:iCs/>
          <w:lang w:val="en-GB"/>
        </w:rPr>
        <w:t>Microquanta</w:t>
      </w:r>
      <w:proofErr w:type="spellEnd"/>
      <w:r w:rsidRPr="00030243">
        <w:rPr>
          <w:i/>
          <w:iCs/>
          <w:lang w:val="en-GB"/>
        </w:rPr>
        <w:t xml:space="preserve"> developing perovskite solar modules for BIPV applications</w:t>
      </w:r>
      <w:r w:rsidRPr="00030243">
        <w:rPr>
          <w:lang w:val="en-GB"/>
        </w:rPr>
        <w:t>. https://www.pv-magazine.com/2025/02/17/microquanta-developing-perovskite-solar-modules-for-bipv-applications/?utm_source=chatgpt.com</w:t>
      </w:r>
    </w:p>
    <w:p w14:paraId="5FBAA978" w14:textId="77777777" w:rsidR="00B22663" w:rsidRPr="00030243" w:rsidRDefault="00B22663" w:rsidP="00030243">
      <w:pPr>
        <w:pStyle w:val="Bibliography"/>
        <w:rPr>
          <w:lang w:val="en-GB"/>
        </w:rPr>
      </w:pPr>
      <w:r w:rsidRPr="00030243">
        <w:rPr>
          <w:lang w:val="en-GB"/>
        </w:rPr>
        <w:lastRenderedPageBreak/>
        <w:t xml:space="preserve">Snieckus, D. (2019). </w:t>
      </w:r>
      <w:r w:rsidRPr="00030243">
        <w:rPr>
          <w:i/>
          <w:iCs/>
          <w:lang w:val="en-GB"/>
        </w:rPr>
        <w:t>Offshore Wind Turbine 20MW Generator Ready “Within Three Years”’</w:t>
      </w:r>
      <w:r w:rsidRPr="00030243">
        <w:rPr>
          <w:lang w:val="en-GB"/>
        </w:rPr>
        <w:t>. https://www.rechargenews.com/wind/offshore-wind-turbine-20mw-generator-ready-within-three-years/2-1-711845</w:t>
      </w:r>
    </w:p>
    <w:p w14:paraId="17044872" w14:textId="77777777" w:rsidR="00B22663" w:rsidRPr="00CD7521" w:rsidRDefault="00B22663" w:rsidP="00030243">
      <w:pPr>
        <w:pStyle w:val="Bibliography"/>
        <w:rPr>
          <w:lang w:val="sv-SE"/>
        </w:rPr>
      </w:pPr>
      <w:r w:rsidRPr="00CD7521">
        <w:rPr>
          <w:lang w:val="sv-SE"/>
        </w:rPr>
        <w:t xml:space="preserve">Svenska Kraftnät. (2021). </w:t>
      </w:r>
      <w:r w:rsidRPr="00CD7521">
        <w:rPr>
          <w:i/>
          <w:iCs/>
          <w:lang w:val="sv-SE"/>
        </w:rPr>
        <w:t>Långsiktig marknadsanalys 2021. Scenarier för elsystemets utveckling fram till 2050</w:t>
      </w:r>
      <w:r w:rsidRPr="00CD7521">
        <w:rPr>
          <w:lang w:val="sv-SE"/>
        </w:rPr>
        <w:t xml:space="preserve"> (No. </w:t>
      </w:r>
      <w:proofErr w:type="spellStart"/>
      <w:r w:rsidRPr="00CD7521">
        <w:rPr>
          <w:lang w:val="sv-SE"/>
        </w:rPr>
        <w:t>Svk</w:t>
      </w:r>
      <w:proofErr w:type="spellEnd"/>
      <w:r w:rsidRPr="00CD7521">
        <w:rPr>
          <w:lang w:val="sv-SE"/>
        </w:rPr>
        <w:t xml:space="preserve"> 2019/3305). https://www.svk.se/siteassets/om-oss/rapporter/2021/langsiktig-marknadsanalys-2021.pdf</w:t>
      </w:r>
    </w:p>
    <w:p w14:paraId="1A5C0DD1" w14:textId="77777777" w:rsidR="00B22663" w:rsidRPr="00030243" w:rsidRDefault="00B22663" w:rsidP="00030243">
      <w:pPr>
        <w:pStyle w:val="Bibliography"/>
        <w:rPr>
          <w:lang w:val="en-GB"/>
        </w:rPr>
      </w:pPr>
      <w:r w:rsidRPr="00030243">
        <w:rPr>
          <w:lang w:val="en-GB"/>
        </w:rPr>
        <w:t xml:space="preserve">Tangemann, C. (2020). </w:t>
      </w:r>
      <w:r w:rsidRPr="00030243">
        <w:rPr>
          <w:i/>
          <w:iCs/>
          <w:lang w:val="en-GB"/>
        </w:rPr>
        <w:t>Developing electric motors less dependable on rare earth magnets</w:t>
      </w:r>
      <w:r w:rsidRPr="00030243">
        <w:rPr>
          <w:lang w:val="en-GB"/>
        </w:rPr>
        <w:t>. https://www.automotive-iq.com/electrics-electronics/articles/developing-electric-motors-less-dependable-on-rare-earth-magnets</w:t>
      </w:r>
    </w:p>
    <w:p w14:paraId="588ABA94" w14:textId="77777777" w:rsidR="00B22663" w:rsidRPr="00030243" w:rsidRDefault="00B22663" w:rsidP="00030243">
      <w:pPr>
        <w:pStyle w:val="Bibliography"/>
        <w:rPr>
          <w:lang w:val="en-GB"/>
        </w:rPr>
      </w:pPr>
      <w:r w:rsidRPr="00030243">
        <w:rPr>
          <w:lang w:val="en-GB"/>
        </w:rPr>
        <w:t xml:space="preserve">USGS. (2023). </w:t>
      </w:r>
      <w:r w:rsidRPr="00030243">
        <w:rPr>
          <w:i/>
          <w:iCs/>
          <w:lang w:val="en-GB"/>
        </w:rPr>
        <w:t>Mineral commodity summaries 2023</w:t>
      </w:r>
      <w:r w:rsidRPr="00030243">
        <w:rPr>
          <w:lang w:val="en-GB"/>
        </w:rPr>
        <w:t>. https://doi.org/10.3133/mcs2023</w:t>
      </w:r>
    </w:p>
    <w:p w14:paraId="5D24ADAF" w14:textId="77777777" w:rsidR="00B22663" w:rsidRPr="00030243" w:rsidRDefault="00B22663" w:rsidP="00030243">
      <w:pPr>
        <w:pStyle w:val="Bibliography"/>
        <w:rPr>
          <w:lang w:val="en-GB"/>
        </w:rPr>
      </w:pPr>
      <w:r w:rsidRPr="00030243">
        <w:rPr>
          <w:lang w:val="en-GB"/>
        </w:rPr>
        <w:t xml:space="preserve">Valero, A., Valero, A., Calvo, G., &amp; Ortego, A. (2018). Material bottlenecks in the future development of green technologies. </w:t>
      </w:r>
      <w:r w:rsidRPr="00030243">
        <w:rPr>
          <w:i/>
          <w:iCs/>
          <w:lang w:val="en-GB"/>
        </w:rPr>
        <w:t>Renewable and Sustainable Energy Reviews</w:t>
      </w:r>
      <w:r w:rsidRPr="00030243">
        <w:rPr>
          <w:lang w:val="en-GB"/>
        </w:rPr>
        <w:t xml:space="preserve">, </w:t>
      </w:r>
      <w:r w:rsidRPr="00030243">
        <w:rPr>
          <w:i/>
          <w:iCs/>
          <w:lang w:val="en-GB"/>
        </w:rPr>
        <w:t>93</w:t>
      </w:r>
      <w:r w:rsidRPr="00030243">
        <w:rPr>
          <w:lang w:val="en-GB"/>
        </w:rPr>
        <w:t>, 178–200. https://doi.org/10.1016/j.rser.2018.05.041</w:t>
      </w:r>
    </w:p>
    <w:p w14:paraId="6327FE52" w14:textId="77777777" w:rsidR="00B22663" w:rsidRPr="00030243" w:rsidRDefault="00B22663" w:rsidP="00030243">
      <w:pPr>
        <w:pStyle w:val="Bibliography"/>
        <w:rPr>
          <w:lang w:val="en-GB"/>
        </w:rPr>
      </w:pPr>
      <w:r w:rsidRPr="00030243">
        <w:rPr>
          <w:lang w:val="en-GB"/>
        </w:rPr>
        <w:t xml:space="preserve">Vestas. (2019). </w:t>
      </w:r>
      <w:r w:rsidRPr="00030243">
        <w:rPr>
          <w:i/>
          <w:iCs/>
          <w:lang w:val="en-GB"/>
        </w:rPr>
        <w:t>Sustainability report 2019</w:t>
      </w:r>
      <w:r w:rsidRPr="00030243">
        <w:rPr>
          <w:lang w:val="en-GB"/>
        </w:rPr>
        <w:t>. https://www.vestas.com/en/sustainability/reports-and-ratings</w:t>
      </w:r>
    </w:p>
    <w:p w14:paraId="10547146" w14:textId="77777777" w:rsidR="00B22663" w:rsidRPr="00030243" w:rsidRDefault="00B22663" w:rsidP="00030243">
      <w:pPr>
        <w:pStyle w:val="Bibliography"/>
        <w:rPr>
          <w:lang w:val="en-GB"/>
        </w:rPr>
      </w:pPr>
      <w:r w:rsidRPr="00030243">
        <w:rPr>
          <w:lang w:val="en-GB"/>
        </w:rPr>
        <w:t xml:space="preserve">Wang, P., Chen, L.-Y., Ge, J.-P., Cai, W., &amp; Chen, W.-Q. (2019). Incorporating critical material cycles into metal-energy nexus of China’s 2050 renewable transition. </w:t>
      </w:r>
      <w:r w:rsidRPr="00030243">
        <w:rPr>
          <w:i/>
          <w:iCs/>
          <w:lang w:val="en-GB"/>
        </w:rPr>
        <w:t>Applied Energy</w:t>
      </w:r>
      <w:r w:rsidRPr="00030243">
        <w:rPr>
          <w:lang w:val="en-GB"/>
        </w:rPr>
        <w:t xml:space="preserve">, </w:t>
      </w:r>
      <w:r w:rsidRPr="00030243">
        <w:rPr>
          <w:i/>
          <w:iCs/>
          <w:lang w:val="en-GB"/>
        </w:rPr>
        <w:t>253</w:t>
      </w:r>
      <w:r w:rsidRPr="00030243">
        <w:rPr>
          <w:lang w:val="en-GB"/>
        </w:rPr>
        <w:t>, 113612. https://doi.org/10.1016/j.apenergy.2019.113612</w:t>
      </w:r>
    </w:p>
    <w:p w14:paraId="128A49F9" w14:textId="77777777" w:rsidR="00B22663" w:rsidRPr="00030243" w:rsidRDefault="00B22663" w:rsidP="00030243">
      <w:pPr>
        <w:pStyle w:val="Bibliography"/>
        <w:rPr>
          <w:lang w:val="en-GB"/>
        </w:rPr>
      </w:pPr>
      <w:r w:rsidRPr="00030243">
        <w:rPr>
          <w:lang w:val="en-GB"/>
        </w:rPr>
        <w:t xml:space="preserve">Wang, P., Yang, Y.-Y., Heidrich, O., Chen, L.-Y., Chen, L.-H., Fishman, T., &amp; Chen, W.-Q. (2024). Regional rare-earth element supply and demand balanced with circular economy strategies. </w:t>
      </w:r>
      <w:r w:rsidRPr="00030243">
        <w:rPr>
          <w:i/>
          <w:iCs/>
          <w:lang w:val="en-GB"/>
        </w:rPr>
        <w:t>Nature Geoscience</w:t>
      </w:r>
      <w:r w:rsidRPr="00030243">
        <w:rPr>
          <w:lang w:val="en-GB"/>
        </w:rPr>
        <w:t xml:space="preserve">, </w:t>
      </w:r>
      <w:r w:rsidRPr="00030243">
        <w:rPr>
          <w:i/>
          <w:iCs/>
          <w:lang w:val="en-GB"/>
        </w:rPr>
        <w:t>17</w:t>
      </w:r>
      <w:r w:rsidRPr="00030243">
        <w:rPr>
          <w:lang w:val="en-GB"/>
        </w:rPr>
        <w:t>(1), 94–102. https://doi.org/10.1038/s41561-023-01350-9</w:t>
      </w:r>
    </w:p>
    <w:p w14:paraId="5E448A21" w14:textId="77777777" w:rsidR="00B22663" w:rsidRPr="00030243" w:rsidRDefault="00B22663" w:rsidP="00030243">
      <w:pPr>
        <w:pStyle w:val="Bibliography"/>
        <w:rPr>
          <w:lang w:val="en-GB"/>
        </w:rPr>
      </w:pPr>
      <w:r w:rsidRPr="00030243">
        <w:rPr>
          <w:lang w:val="en-GB"/>
        </w:rPr>
        <w:lastRenderedPageBreak/>
        <w:t xml:space="preserve">Watari, T., McLellan, B. C., Giurco, D., </w:t>
      </w:r>
      <w:proofErr w:type="spellStart"/>
      <w:r w:rsidRPr="00030243">
        <w:rPr>
          <w:lang w:val="en-GB"/>
        </w:rPr>
        <w:t>Dominish</w:t>
      </w:r>
      <w:proofErr w:type="spellEnd"/>
      <w:r w:rsidRPr="00030243">
        <w:rPr>
          <w:lang w:val="en-GB"/>
        </w:rPr>
        <w:t xml:space="preserve">, E., </w:t>
      </w:r>
      <w:proofErr w:type="spellStart"/>
      <w:r w:rsidRPr="00030243">
        <w:rPr>
          <w:lang w:val="en-GB"/>
        </w:rPr>
        <w:t>Yamasue</w:t>
      </w:r>
      <w:proofErr w:type="spellEnd"/>
      <w:r w:rsidRPr="00030243">
        <w:rPr>
          <w:lang w:val="en-GB"/>
        </w:rPr>
        <w:t xml:space="preserve">, E., &amp; </w:t>
      </w:r>
      <w:proofErr w:type="spellStart"/>
      <w:r w:rsidRPr="00030243">
        <w:rPr>
          <w:lang w:val="en-GB"/>
        </w:rPr>
        <w:t>Nansai</w:t>
      </w:r>
      <w:proofErr w:type="spellEnd"/>
      <w:r w:rsidRPr="00030243">
        <w:rPr>
          <w:lang w:val="en-GB"/>
        </w:rPr>
        <w:t xml:space="preserve">, K. (2019). Total material requirement for the global energy transition to 2050: A focus on transport and electricity. </w:t>
      </w:r>
      <w:r w:rsidRPr="00030243">
        <w:rPr>
          <w:i/>
          <w:iCs/>
          <w:lang w:val="en-GB"/>
        </w:rPr>
        <w:t>Resources, Conservation and Recycling</w:t>
      </w:r>
      <w:r w:rsidRPr="00030243">
        <w:rPr>
          <w:lang w:val="en-GB"/>
        </w:rPr>
        <w:t xml:space="preserve">, </w:t>
      </w:r>
      <w:r w:rsidRPr="00030243">
        <w:rPr>
          <w:i/>
          <w:iCs/>
          <w:lang w:val="en-GB"/>
        </w:rPr>
        <w:t>148</w:t>
      </w:r>
      <w:r w:rsidRPr="00030243">
        <w:rPr>
          <w:lang w:val="en-GB"/>
        </w:rPr>
        <w:t>, 91–103. https://doi.org/10.1016/j.resconrec.2019.05.015</w:t>
      </w:r>
    </w:p>
    <w:p w14:paraId="0674086E" w14:textId="77777777" w:rsidR="00B22663" w:rsidRPr="00030243" w:rsidRDefault="00B22663" w:rsidP="00030243">
      <w:pPr>
        <w:pStyle w:val="Bibliography"/>
        <w:rPr>
          <w:lang w:val="en-GB"/>
        </w:rPr>
      </w:pPr>
      <w:r w:rsidRPr="00030243">
        <w:rPr>
          <w:lang w:val="en-GB"/>
        </w:rPr>
        <w:t xml:space="preserve">Wind Power Monthly. (2018). </w:t>
      </w:r>
      <w:r w:rsidRPr="00030243">
        <w:rPr>
          <w:i/>
          <w:iCs/>
          <w:lang w:val="en-GB"/>
        </w:rPr>
        <w:t>Rethinking the use of rare-earth elements</w:t>
      </w:r>
      <w:r w:rsidRPr="00030243">
        <w:rPr>
          <w:lang w:val="en-GB"/>
        </w:rPr>
        <w:t>. https://www.windpowermonthly.com/article/1519221/rethinking-use-rare-earth-elements</w:t>
      </w:r>
    </w:p>
    <w:p w14:paraId="2C7421C7" w14:textId="77777777" w:rsidR="00B22663" w:rsidRPr="00030243" w:rsidRDefault="00B22663" w:rsidP="00030243">
      <w:pPr>
        <w:pStyle w:val="Bibliography"/>
        <w:rPr>
          <w:lang w:val="en-GB"/>
        </w:rPr>
      </w:pPr>
      <w:r w:rsidRPr="00030243">
        <w:rPr>
          <w:lang w:val="en-GB"/>
        </w:rPr>
        <w:t xml:space="preserve">Zhou, Y., Li, J., </w:t>
      </w:r>
      <w:proofErr w:type="spellStart"/>
      <w:r w:rsidRPr="00030243">
        <w:rPr>
          <w:lang w:val="en-GB"/>
        </w:rPr>
        <w:t>Rechberger</w:t>
      </w:r>
      <w:proofErr w:type="spellEnd"/>
      <w:r w:rsidRPr="00030243">
        <w:rPr>
          <w:lang w:val="en-GB"/>
        </w:rPr>
        <w:t xml:space="preserve">, H., Wang, G., Chen, S., Xing, W., &amp; Li, P. (2020). Dynamic criticality of by-products used in thin-film photovoltaic technologies by 2050. </w:t>
      </w:r>
      <w:r w:rsidRPr="00030243">
        <w:rPr>
          <w:i/>
          <w:iCs/>
          <w:lang w:val="en-GB"/>
        </w:rPr>
        <w:t>Journal of Cleaner Production</w:t>
      </w:r>
      <w:r w:rsidRPr="00030243">
        <w:rPr>
          <w:lang w:val="en-GB"/>
        </w:rPr>
        <w:t xml:space="preserve">, </w:t>
      </w:r>
      <w:r w:rsidRPr="00030243">
        <w:rPr>
          <w:i/>
          <w:iCs/>
          <w:lang w:val="en-GB"/>
        </w:rPr>
        <w:t>263</w:t>
      </w:r>
      <w:r w:rsidRPr="00030243">
        <w:rPr>
          <w:lang w:val="en-GB"/>
        </w:rPr>
        <w:t>, 121599. https://doi.org/10.1016/j.jclepro.2020.121599</w:t>
      </w:r>
    </w:p>
    <w:p w14:paraId="400D1638" w14:textId="7E40A382" w:rsidR="00460C5E" w:rsidRDefault="00460C5E" w:rsidP="00B22663">
      <w:pPr>
        <w:pStyle w:val="Bibliography"/>
        <w:rPr>
          <w:b/>
          <w:sz w:val="32"/>
          <w:szCs w:val="22"/>
        </w:rPr>
      </w:pPr>
      <w:r w:rsidRPr="00460C5E">
        <w:rPr>
          <w:sz w:val="22"/>
          <w:szCs w:val="22"/>
        </w:rPr>
        <w:fldChar w:fldCharType="end"/>
      </w:r>
    </w:p>
    <w:sectPr w:rsidR="00460C5E" w:rsidSect="00250E9B">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9032E" w14:textId="77777777" w:rsidR="007760B1" w:rsidRDefault="007760B1">
      <w:r>
        <w:separator/>
      </w:r>
    </w:p>
  </w:endnote>
  <w:endnote w:type="continuationSeparator" w:id="0">
    <w:p w14:paraId="18E1F288" w14:textId="77777777" w:rsidR="007760B1" w:rsidRDefault="00776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2FC3A" w14:textId="77777777" w:rsidR="00250E9B" w:rsidRPr="00DB45F4" w:rsidRDefault="00250E9B">
    <w:pPr>
      <w:autoSpaceDE w:val="0"/>
      <w:autoSpaceDN w:val="0"/>
      <w:adjustRightInd w:val="0"/>
      <w:jc w:val="center"/>
      <w:rPr>
        <w:rFonts w:eastAsia="Times New Roman"/>
        <w:szCs w:val="24"/>
      </w:rPr>
    </w:pPr>
    <w:r w:rsidRPr="00DB45F4">
      <w:rPr>
        <w:rFonts w:eastAsia="Times New Roman"/>
        <w:szCs w:val="24"/>
      </w:rPr>
      <w:t>S-</w:t>
    </w:r>
    <w:r w:rsidRPr="00DB45F4">
      <w:rPr>
        <w:rStyle w:val="PageNumber"/>
        <w:szCs w:val="24"/>
        <w:lang w:val="en-GB"/>
      </w:rPr>
      <w:fldChar w:fldCharType="begin"/>
    </w:r>
    <w:r w:rsidRPr="00DB45F4">
      <w:rPr>
        <w:rStyle w:val="PageNumber"/>
        <w:szCs w:val="24"/>
        <w:lang w:val="en-GB"/>
      </w:rPr>
      <w:instrText xml:space="preserve"> PAGE </w:instrText>
    </w:r>
    <w:r w:rsidRPr="00DB45F4">
      <w:rPr>
        <w:rStyle w:val="PageNumber"/>
        <w:szCs w:val="24"/>
        <w:lang w:val="en-GB"/>
      </w:rPr>
      <w:fldChar w:fldCharType="separate"/>
    </w:r>
    <w:r w:rsidRPr="00DB45F4">
      <w:rPr>
        <w:rStyle w:val="PageNumber"/>
        <w:noProof/>
        <w:szCs w:val="24"/>
        <w:lang w:val="en-GB"/>
      </w:rPr>
      <w:t>1</w:t>
    </w:r>
    <w:r w:rsidRPr="00DB45F4">
      <w:rPr>
        <w:rStyle w:val="PageNumber"/>
        <w:szCs w:val="24"/>
        <w:lang w:val="en-GB"/>
      </w:rPr>
      <w:fldChar w:fldCharType="end"/>
    </w:r>
  </w:p>
  <w:p w14:paraId="65C3121D" w14:textId="77777777" w:rsidR="00250E9B" w:rsidRDefault="00250E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2D54B" w14:textId="77777777" w:rsidR="007760B1" w:rsidRDefault="007760B1">
      <w:r>
        <w:separator/>
      </w:r>
    </w:p>
  </w:footnote>
  <w:footnote w:type="continuationSeparator" w:id="0">
    <w:p w14:paraId="62930A9D" w14:textId="77777777" w:rsidR="007760B1" w:rsidRDefault="007760B1">
      <w:r>
        <w:continuationSeparator/>
      </w:r>
    </w:p>
  </w:footnote>
  <w:footnote w:id="1">
    <w:p w14:paraId="0F0972DC" w14:textId="77777777" w:rsidR="005C1D3A" w:rsidRPr="002C52E2" w:rsidRDefault="005C1D3A" w:rsidP="005C1D3A">
      <w:pPr>
        <w:pStyle w:val="FootnoteText"/>
        <w:rPr>
          <w:rFonts w:ascii="Cambria" w:hAnsi="Cambria"/>
          <w:sz w:val="18"/>
          <w:szCs w:val="18"/>
        </w:rPr>
      </w:pPr>
      <w:r w:rsidRPr="003E0F64">
        <w:rPr>
          <w:rStyle w:val="FootnoteReference"/>
        </w:rPr>
        <w:footnoteRef/>
      </w:r>
      <w:r w:rsidRPr="002C52E2">
        <w:rPr>
          <w:rFonts w:ascii="Cambria" w:hAnsi="Cambria"/>
          <w:sz w:val="18"/>
          <w:szCs w:val="18"/>
        </w:rPr>
        <w:t>https://cordis.europa.eu/project/id/656024</w:t>
      </w:r>
    </w:p>
  </w:footnote>
  <w:footnote w:id="2">
    <w:p w14:paraId="20CDADCA" w14:textId="77777777" w:rsidR="00250E9B" w:rsidRPr="002C52E2" w:rsidRDefault="00250E9B" w:rsidP="00250E9B">
      <w:pPr>
        <w:pStyle w:val="FootnoteText"/>
        <w:rPr>
          <w:rFonts w:ascii="Cambria" w:hAnsi="Cambria"/>
          <w:sz w:val="18"/>
          <w:szCs w:val="18"/>
        </w:rPr>
      </w:pPr>
      <w:r w:rsidRPr="003E0F64">
        <w:rPr>
          <w:rStyle w:val="FootnoteReference"/>
        </w:rPr>
        <w:footnoteRef/>
      </w:r>
      <w:r w:rsidRPr="002C52E2">
        <w:rPr>
          <w:rFonts w:ascii="Cambria" w:hAnsi="Cambria"/>
          <w:sz w:val="18"/>
          <w:szCs w:val="18"/>
        </w:rPr>
        <w:t>https://cordis.europa.eu/project/id/656024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0E292" w14:textId="77777777" w:rsidR="00250E9B" w:rsidRDefault="00250E9B">
    <w:pPr>
      <w:autoSpaceDE w:val="0"/>
      <w:autoSpaceDN w:val="0"/>
      <w:adjustRightInd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815D0" w14:textId="77777777" w:rsidR="00250E9B" w:rsidRDefault="00250E9B">
    <w:pPr>
      <w:pStyle w:val="JIEnormal-noindent"/>
      <w:autoSpaceDE w:val="0"/>
      <w:autoSpaceDN w:val="0"/>
      <w:adjustRightInd w:val="0"/>
      <w:spacing w:line="240" w:lineRule="auto"/>
    </w:pPr>
    <w:r>
      <w:rPr>
        <w:rFonts w:ascii="Arial" w:hAnsi="Arial" w:cs="Arial"/>
        <w:sz w:val="20"/>
      </w:rPr>
      <w:t>2007</w:t>
    </w:r>
    <w:r>
      <w:rPr>
        <w:rFonts w:ascii="Arial" w:hAnsi="Arial" w:cs="Arial"/>
      </w:rPr>
      <w:t xml:space="preserve"> </w:t>
    </w:r>
    <w:r>
      <w:rPr>
        <w:rFonts w:ascii="Arial" w:hAnsi="Arial"/>
        <w:sz w:val="20"/>
      </w:rPr>
      <w:t>Journal of Industrial Ecology – www.mitpressjournals.org/jie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A09ED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E4AD6F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316409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BCA0C9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CFED87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83E695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6C88AB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EA2C3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9564E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3214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4F3A30"/>
    <w:multiLevelType w:val="hybridMultilevel"/>
    <w:tmpl w:val="C2BC1B9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0E2E3EA4"/>
    <w:multiLevelType w:val="multilevel"/>
    <w:tmpl w:val="0E589A7C"/>
    <w:lvl w:ilvl="0">
      <w:start w:val="1"/>
      <w:numFmt w:val="lowerLetter"/>
      <w:lvlText w:val="%1."/>
      <w:lvlJc w:val="left"/>
      <w:pPr>
        <w:tabs>
          <w:tab w:val="num" w:pos="360"/>
        </w:tabs>
        <w:ind w:left="360" w:hanging="360"/>
      </w:pPr>
      <w:rPr>
        <w:rFonts w:ascii="Cambria" w:eastAsia="Times New Roman" w:hAnsi="Cambria" w:cs="Times New Roman"/>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134B4769"/>
    <w:multiLevelType w:val="hybridMultilevel"/>
    <w:tmpl w:val="39140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A3235BD"/>
    <w:multiLevelType w:val="hybridMultilevel"/>
    <w:tmpl w:val="E81624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C337EE4"/>
    <w:multiLevelType w:val="singleLevel"/>
    <w:tmpl w:val="70E47D3E"/>
    <w:lvl w:ilvl="0">
      <w:start w:val="3"/>
      <w:numFmt w:val="bullet"/>
      <w:lvlText w:val="-"/>
      <w:lvlJc w:val="left"/>
      <w:pPr>
        <w:tabs>
          <w:tab w:val="num" w:pos="360"/>
        </w:tabs>
        <w:ind w:left="360" w:hanging="360"/>
      </w:pPr>
      <w:rPr>
        <w:rFonts w:hint="default"/>
      </w:rPr>
    </w:lvl>
  </w:abstractNum>
  <w:abstractNum w:abstractNumId="15" w15:restartNumberingAfterBreak="0">
    <w:nsid w:val="1D3117CC"/>
    <w:multiLevelType w:val="hybridMultilevel"/>
    <w:tmpl w:val="604EF5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02C775F"/>
    <w:multiLevelType w:val="hybridMultilevel"/>
    <w:tmpl w:val="0E82FD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5BF5770"/>
    <w:multiLevelType w:val="singleLevel"/>
    <w:tmpl w:val="33663910"/>
    <w:lvl w:ilvl="0">
      <w:start w:val="1"/>
      <w:numFmt w:val="decimal"/>
      <w:lvlText w:val="(%1)"/>
      <w:lvlJc w:val="left"/>
      <w:pPr>
        <w:tabs>
          <w:tab w:val="num" w:pos="360"/>
        </w:tabs>
        <w:ind w:left="360" w:hanging="360"/>
      </w:pPr>
      <w:rPr>
        <w:rFonts w:hint="default"/>
      </w:rPr>
    </w:lvl>
  </w:abstractNum>
  <w:abstractNum w:abstractNumId="18" w15:restartNumberingAfterBreak="0">
    <w:nsid w:val="25EB5E38"/>
    <w:multiLevelType w:val="singleLevel"/>
    <w:tmpl w:val="BA3E57E0"/>
    <w:lvl w:ilvl="0">
      <w:start w:val="2"/>
      <w:numFmt w:val="bullet"/>
      <w:lvlText w:val="-"/>
      <w:lvlJc w:val="left"/>
      <w:pPr>
        <w:tabs>
          <w:tab w:val="num" w:pos="360"/>
        </w:tabs>
        <w:ind w:left="360" w:hanging="360"/>
      </w:pPr>
      <w:rPr>
        <w:rFonts w:hint="default"/>
      </w:rPr>
    </w:lvl>
  </w:abstractNum>
  <w:abstractNum w:abstractNumId="19" w15:restartNumberingAfterBreak="0">
    <w:nsid w:val="38803DC1"/>
    <w:multiLevelType w:val="singleLevel"/>
    <w:tmpl w:val="A98E3B3E"/>
    <w:lvl w:ilvl="0">
      <w:start w:val="5"/>
      <w:numFmt w:val="decimal"/>
      <w:lvlText w:val="%1."/>
      <w:lvlJc w:val="left"/>
      <w:pPr>
        <w:tabs>
          <w:tab w:val="num" w:pos="360"/>
        </w:tabs>
        <w:ind w:left="360" w:hanging="360"/>
      </w:pPr>
      <w:rPr>
        <w:rFonts w:hint="default"/>
        <w:i/>
      </w:rPr>
    </w:lvl>
  </w:abstractNum>
  <w:abstractNum w:abstractNumId="20" w15:restartNumberingAfterBreak="0">
    <w:nsid w:val="41504999"/>
    <w:multiLevelType w:val="singleLevel"/>
    <w:tmpl w:val="0409000F"/>
    <w:lvl w:ilvl="0">
      <w:start w:val="6"/>
      <w:numFmt w:val="decimal"/>
      <w:lvlText w:val="%1."/>
      <w:lvlJc w:val="left"/>
      <w:pPr>
        <w:tabs>
          <w:tab w:val="num" w:pos="360"/>
        </w:tabs>
        <w:ind w:left="360" w:hanging="360"/>
      </w:pPr>
      <w:rPr>
        <w:rFonts w:hint="default"/>
      </w:rPr>
    </w:lvl>
  </w:abstractNum>
  <w:abstractNum w:abstractNumId="21" w15:restartNumberingAfterBreak="0">
    <w:nsid w:val="4CC42E2B"/>
    <w:multiLevelType w:val="singleLevel"/>
    <w:tmpl w:val="DA742C6E"/>
    <w:lvl w:ilvl="0">
      <w:start w:val="1"/>
      <w:numFmt w:val="decimal"/>
      <w:lvlText w:val="(%1)"/>
      <w:lvlJc w:val="left"/>
      <w:pPr>
        <w:tabs>
          <w:tab w:val="num" w:pos="360"/>
        </w:tabs>
        <w:ind w:left="360" w:hanging="360"/>
      </w:pPr>
      <w:rPr>
        <w:rFonts w:hint="default"/>
      </w:rPr>
    </w:lvl>
  </w:abstractNum>
  <w:abstractNum w:abstractNumId="22" w15:restartNumberingAfterBreak="0">
    <w:nsid w:val="525D76B1"/>
    <w:multiLevelType w:val="hybridMultilevel"/>
    <w:tmpl w:val="01D4649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9474098"/>
    <w:multiLevelType w:val="singleLevel"/>
    <w:tmpl w:val="0409000F"/>
    <w:lvl w:ilvl="0">
      <w:start w:val="5"/>
      <w:numFmt w:val="decimal"/>
      <w:lvlText w:val="%1."/>
      <w:lvlJc w:val="left"/>
      <w:pPr>
        <w:tabs>
          <w:tab w:val="num" w:pos="360"/>
        </w:tabs>
        <w:ind w:left="360" w:hanging="360"/>
      </w:pPr>
      <w:rPr>
        <w:rFonts w:hint="default"/>
      </w:rPr>
    </w:lvl>
  </w:abstractNum>
  <w:abstractNum w:abstractNumId="24" w15:restartNumberingAfterBreak="0">
    <w:nsid w:val="5ABE689E"/>
    <w:multiLevelType w:val="hybridMultilevel"/>
    <w:tmpl w:val="4B68637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06F3EFF"/>
    <w:multiLevelType w:val="hybridMultilevel"/>
    <w:tmpl w:val="0E24E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F73D7A"/>
    <w:multiLevelType w:val="hybridMultilevel"/>
    <w:tmpl w:val="637CF33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16817F5"/>
    <w:multiLevelType w:val="singleLevel"/>
    <w:tmpl w:val="7E1C9194"/>
    <w:lvl w:ilvl="0">
      <w:start w:val="1"/>
      <w:numFmt w:val="lowerRoman"/>
      <w:lvlText w:val="(%1)"/>
      <w:lvlJc w:val="left"/>
      <w:pPr>
        <w:tabs>
          <w:tab w:val="num" w:pos="720"/>
        </w:tabs>
        <w:ind w:left="720" w:hanging="720"/>
      </w:pPr>
      <w:rPr>
        <w:rFonts w:hint="default"/>
      </w:rPr>
    </w:lvl>
  </w:abstractNum>
  <w:abstractNum w:abstractNumId="28" w15:restartNumberingAfterBreak="0">
    <w:nsid w:val="65942637"/>
    <w:multiLevelType w:val="singleLevel"/>
    <w:tmpl w:val="6F9C28B6"/>
    <w:lvl w:ilvl="0">
      <w:start w:val="1"/>
      <w:numFmt w:val="bullet"/>
      <w:lvlText w:val="-"/>
      <w:lvlJc w:val="left"/>
      <w:pPr>
        <w:tabs>
          <w:tab w:val="num" w:pos="360"/>
        </w:tabs>
        <w:ind w:left="360" w:hanging="360"/>
      </w:pPr>
      <w:rPr>
        <w:rFonts w:hint="default"/>
      </w:rPr>
    </w:lvl>
  </w:abstractNum>
  <w:abstractNum w:abstractNumId="29" w15:restartNumberingAfterBreak="0">
    <w:nsid w:val="68D87423"/>
    <w:multiLevelType w:val="hybridMultilevel"/>
    <w:tmpl w:val="E6CA518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A6B68E6"/>
    <w:multiLevelType w:val="hybridMultilevel"/>
    <w:tmpl w:val="3DCE724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BE03D90"/>
    <w:multiLevelType w:val="hybridMultilevel"/>
    <w:tmpl w:val="04EE9F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F2528A7"/>
    <w:multiLevelType w:val="hybridMultilevel"/>
    <w:tmpl w:val="85E2B4BE"/>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F46316B"/>
    <w:multiLevelType w:val="multilevel"/>
    <w:tmpl w:val="A18640DC"/>
    <w:lvl w:ilvl="0">
      <w:start w:val="1"/>
      <w:numFmt w:val="lowerLetter"/>
      <w:lvlText w:val="%1."/>
      <w:lvlJc w:val="left"/>
      <w:pPr>
        <w:ind w:left="360" w:hanging="360"/>
      </w:pPr>
      <w:rPr>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706348D3"/>
    <w:multiLevelType w:val="singleLevel"/>
    <w:tmpl w:val="2DC06656"/>
    <w:lvl w:ilvl="0">
      <w:start w:val="1"/>
      <w:numFmt w:val="decimal"/>
      <w:lvlText w:val="(%1)"/>
      <w:lvlJc w:val="left"/>
      <w:pPr>
        <w:tabs>
          <w:tab w:val="num" w:pos="360"/>
        </w:tabs>
        <w:ind w:left="360" w:hanging="360"/>
      </w:pPr>
      <w:rPr>
        <w:rFonts w:hint="default"/>
      </w:rPr>
    </w:lvl>
  </w:abstractNum>
  <w:abstractNum w:abstractNumId="35" w15:restartNumberingAfterBreak="0">
    <w:nsid w:val="72F15821"/>
    <w:multiLevelType w:val="singleLevel"/>
    <w:tmpl w:val="58A6672C"/>
    <w:lvl w:ilvl="0">
      <w:start w:val="1"/>
      <w:numFmt w:val="bullet"/>
      <w:lvlText w:val="-"/>
      <w:lvlJc w:val="left"/>
      <w:pPr>
        <w:tabs>
          <w:tab w:val="num" w:pos="360"/>
        </w:tabs>
        <w:ind w:left="360" w:hanging="360"/>
      </w:pPr>
      <w:rPr>
        <w:rFonts w:hint="default"/>
      </w:rPr>
    </w:lvl>
  </w:abstractNum>
  <w:abstractNum w:abstractNumId="36" w15:restartNumberingAfterBreak="0">
    <w:nsid w:val="7781677E"/>
    <w:multiLevelType w:val="hybridMultilevel"/>
    <w:tmpl w:val="2D884220"/>
    <w:lvl w:ilvl="0" w:tplc="E2B2667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8326307"/>
    <w:multiLevelType w:val="singleLevel"/>
    <w:tmpl w:val="B70838CA"/>
    <w:lvl w:ilvl="0">
      <w:start w:val="8"/>
      <w:numFmt w:val="bullet"/>
      <w:lvlText w:val="-"/>
      <w:lvlJc w:val="left"/>
      <w:pPr>
        <w:tabs>
          <w:tab w:val="num" w:pos="360"/>
        </w:tabs>
        <w:ind w:left="360" w:hanging="360"/>
      </w:pPr>
      <w:rPr>
        <w:rFonts w:hint="default"/>
      </w:rPr>
    </w:lvl>
  </w:abstractNum>
  <w:abstractNum w:abstractNumId="38" w15:restartNumberingAfterBreak="0">
    <w:nsid w:val="793955C5"/>
    <w:multiLevelType w:val="singleLevel"/>
    <w:tmpl w:val="7CC40C30"/>
    <w:lvl w:ilvl="0">
      <w:start w:val="3"/>
      <w:numFmt w:val="bullet"/>
      <w:lvlText w:val="-"/>
      <w:lvlJc w:val="left"/>
      <w:pPr>
        <w:tabs>
          <w:tab w:val="num" w:pos="360"/>
        </w:tabs>
        <w:ind w:left="360" w:hanging="360"/>
      </w:pPr>
      <w:rPr>
        <w:rFonts w:hint="default"/>
      </w:rPr>
    </w:lvl>
  </w:abstractNum>
  <w:num w:numId="1" w16cid:durableId="494298871">
    <w:abstractNumId w:val="18"/>
  </w:num>
  <w:num w:numId="2" w16cid:durableId="1742828373">
    <w:abstractNumId w:val="27"/>
  </w:num>
  <w:num w:numId="3" w16cid:durableId="1481456701">
    <w:abstractNumId w:val="35"/>
  </w:num>
  <w:num w:numId="4" w16cid:durableId="922254998">
    <w:abstractNumId w:val="21"/>
  </w:num>
  <w:num w:numId="5" w16cid:durableId="613438726">
    <w:abstractNumId w:val="34"/>
  </w:num>
  <w:num w:numId="6" w16cid:durableId="570653702">
    <w:abstractNumId w:val="17"/>
  </w:num>
  <w:num w:numId="7" w16cid:durableId="1053233843">
    <w:abstractNumId w:val="20"/>
  </w:num>
  <w:num w:numId="8" w16cid:durableId="544412393">
    <w:abstractNumId w:val="38"/>
  </w:num>
  <w:num w:numId="9" w16cid:durableId="464591919">
    <w:abstractNumId w:val="28"/>
  </w:num>
  <w:num w:numId="10" w16cid:durableId="2011134824">
    <w:abstractNumId w:val="37"/>
  </w:num>
  <w:num w:numId="11" w16cid:durableId="309868642">
    <w:abstractNumId w:val="23"/>
  </w:num>
  <w:num w:numId="12" w16cid:durableId="1043291160">
    <w:abstractNumId w:val="19"/>
  </w:num>
  <w:num w:numId="13" w16cid:durableId="1185944753">
    <w:abstractNumId w:val="14"/>
  </w:num>
  <w:num w:numId="14" w16cid:durableId="2138135853">
    <w:abstractNumId w:val="9"/>
  </w:num>
  <w:num w:numId="15" w16cid:durableId="1479420998">
    <w:abstractNumId w:val="7"/>
  </w:num>
  <w:num w:numId="16" w16cid:durableId="1145897109">
    <w:abstractNumId w:val="6"/>
  </w:num>
  <w:num w:numId="17" w16cid:durableId="6371775">
    <w:abstractNumId w:val="5"/>
  </w:num>
  <w:num w:numId="18" w16cid:durableId="423647957">
    <w:abstractNumId w:val="4"/>
  </w:num>
  <w:num w:numId="19" w16cid:durableId="2017609608">
    <w:abstractNumId w:val="8"/>
  </w:num>
  <w:num w:numId="20" w16cid:durableId="1708598096">
    <w:abstractNumId w:val="3"/>
  </w:num>
  <w:num w:numId="21" w16cid:durableId="2079861513">
    <w:abstractNumId w:val="2"/>
  </w:num>
  <w:num w:numId="22" w16cid:durableId="992760406">
    <w:abstractNumId w:val="1"/>
  </w:num>
  <w:num w:numId="23" w16cid:durableId="1750535627">
    <w:abstractNumId w:val="0"/>
  </w:num>
  <w:num w:numId="24" w16cid:durableId="538051099">
    <w:abstractNumId w:val="12"/>
  </w:num>
  <w:num w:numId="25" w16cid:durableId="90855862">
    <w:abstractNumId w:val="26"/>
  </w:num>
  <w:num w:numId="26" w16cid:durableId="1630741722">
    <w:abstractNumId w:val="22"/>
  </w:num>
  <w:num w:numId="27" w16cid:durableId="91829649">
    <w:abstractNumId w:val="31"/>
  </w:num>
  <w:num w:numId="28" w16cid:durableId="683017948">
    <w:abstractNumId w:val="11"/>
  </w:num>
  <w:num w:numId="29" w16cid:durableId="1762217683">
    <w:abstractNumId w:val="33"/>
  </w:num>
  <w:num w:numId="30" w16cid:durableId="1162889832">
    <w:abstractNumId w:val="32"/>
  </w:num>
  <w:num w:numId="31" w16cid:durableId="1155877265">
    <w:abstractNumId w:val="24"/>
  </w:num>
  <w:num w:numId="32" w16cid:durableId="2099717249">
    <w:abstractNumId w:val="13"/>
  </w:num>
  <w:num w:numId="33" w16cid:durableId="332101279">
    <w:abstractNumId w:val="25"/>
  </w:num>
  <w:num w:numId="34" w16cid:durableId="1961064870">
    <w:abstractNumId w:val="29"/>
  </w:num>
  <w:num w:numId="35" w16cid:durableId="987050521">
    <w:abstractNumId w:val="10"/>
  </w:num>
  <w:num w:numId="36" w16cid:durableId="958415009">
    <w:abstractNumId w:val="15"/>
  </w:num>
  <w:num w:numId="37" w16cid:durableId="551161167">
    <w:abstractNumId w:val="36"/>
  </w:num>
  <w:num w:numId="38" w16cid:durableId="1214733241">
    <w:abstractNumId w:val="30"/>
  </w:num>
  <w:num w:numId="39" w16cid:durableId="2265026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678"/>
    <w:rsid w:val="00012ACE"/>
    <w:rsid w:val="00013D1E"/>
    <w:rsid w:val="000223D6"/>
    <w:rsid w:val="00026A52"/>
    <w:rsid w:val="00026AC0"/>
    <w:rsid w:val="00030243"/>
    <w:rsid w:val="00033312"/>
    <w:rsid w:val="0003666C"/>
    <w:rsid w:val="000454D4"/>
    <w:rsid w:val="0005253F"/>
    <w:rsid w:val="000567BE"/>
    <w:rsid w:val="000648E7"/>
    <w:rsid w:val="00064DB6"/>
    <w:rsid w:val="00067C98"/>
    <w:rsid w:val="00074683"/>
    <w:rsid w:val="000849E0"/>
    <w:rsid w:val="000A32E6"/>
    <w:rsid w:val="000B2149"/>
    <w:rsid w:val="000B2C5A"/>
    <w:rsid w:val="000B3037"/>
    <w:rsid w:val="000B4057"/>
    <w:rsid w:val="000C1B25"/>
    <w:rsid w:val="000C5983"/>
    <w:rsid w:val="000C7DD7"/>
    <w:rsid w:val="000E0C29"/>
    <w:rsid w:val="000E1EDA"/>
    <w:rsid w:val="000F1586"/>
    <w:rsid w:val="000F3E9E"/>
    <w:rsid w:val="00105153"/>
    <w:rsid w:val="001115BF"/>
    <w:rsid w:val="00117169"/>
    <w:rsid w:val="00117EA9"/>
    <w:rsid w:val="00120433"/>
    <w:rsid w:val="00124830"/>
    <w:rsid w:val="00126423"/>
    <w:rsid w:val="00127752"/>
    <w:rsid w:val="00131BCA"/>
    <w:rsid w:val="00140520"/>
    <w:rsid w:val="00141F70"/>
    <w:rsid w:val="00142107"/>
    <w:rsid w:val="00151F63"/>
    <w:rsid w:val="00164C58"/>
    <w:rsid w:val="00175D8C"/>
    <w:rsid w:val="00176EB1"/>
    <w:rsid w:val="00177180"/>
    <w:rsid w:val="001A6EE1"/>
    <w:rsid w:val="001B0CD6"/>
    <w:rsid w:val="001B25DB"/>
    <w:rsid w:val="001B4B7D"/>
    <w:rsid w:val="001B7F70"/>
    <w:rsid w:val="001E2393"/>
    <w:rsid w:val="001E310A"/>
    <w:rsid w:val="001F2293"/>
    <w:rsid w:val="001F3F72"/>
    <w:rsid w:val="001F5F28"/>
    <w:rsid w:val="00200EFB"/>
    <w:rsid w:val="00210627"/>
    <w:rsid w:val="002120D9"/>
    <w:rsid w:val="00240422"/>
    <w:rsid w:val="00244AEE"/>
    <w:rsid w:val="0024551C"/>
    <w:rsid w:val="00250781"/>
    <w:rsid w:val="00250E9B"/>
    <w:rsid w:val="00263402"/>
    <w:rsid w:val="0026556F"/>
    <w:rsid w:val="00281931"/>
    <w:rsid w:val="00296293"/>
    <w:rsid w:val="0029776D"/>
    <w:rsid w:val="002B5979"/>
    <w:rsid w:val="002C144C"/>
    <w:rsid w:val="002D46CC"/>
    <w:rsid w:val="002E190A"/>
    <w:rsid w:val="002E24B0"/>
    <w:rsid w:val="002F728D"/>
    <w:rsid w:val="002F737E"/>
    <w:rsid w:val="003005B9"/>
    <w:rsid w:val="003014A5"/>
    <w:rsid w:val="00303D5C"/>
    <w:rsid w:val="003046FC"/>
    <w:rsid w:val="00305A60"/>
    <w:rsid w:val="003073AF"/>
    <w:rsid w:val="00307BB0"/>
    <w:rsid w:val="00312C21"/>
    <w:rsid w:val="003144C4"/>
    <w:rsid w:val="00315290"/>
    <w:rsid w:val="00315320"/>
    <w:rsid w:val="00325D4F"/>
    <w:rsid w:val="003328E4"/>
    <w:rsid w:val="003419FF"/>
    <w:rsid w:val="00344F57"/>
    <w:rsid w:val="00347D11"/>
    <w:rsid w:val="003527DD"/>
    <w:rsid w:val="00355DDD"/>
    <w:rsid w:val="00360510"/>
    <w:rsid w:val="003621EC"/>
    <w:rsid w:val="00362591"/>
    <w:rsid w:val="00363731"/>
    <w:rsid w:val="0038532B"/>
    <w:rsid w:val="00392495"/>
    <w:rsid w:val="003C1639"/>
    <w:rsid w:val="003C6BE3"/>
    <w:rsid w:val="003D3F3A"/>
    <w:rsid w:val="003E52F7"/>
    <w:rsid w:val="003F04BE"/>
    <w:rsid w:val="004010B1"/>
    <w:rsid w:val="00402EEF"/>
    <w:rsid w:val="00402F52"/>
    <w:rsid w:val="00405228"/>
    <w:rsid w:val="00411CE3"/>
    <w:rsid w:val="004265B8"/>
    <w:rsid w:val="0043029D"/>
    <w:rsid w:val="004307BB"/>
    <w:rsid w:val="00437604"/>
    <w:rsid w:val="00460C5E"/>
    <w:rsid w:val="0046506A"/>
    <w:rsid w:val="00470259"/>
    <w:rsid w:val="00472CE6"/>
    <w:rsid w:val="00477120"/>
    <w:rsid w:val="00482099"/>
    <w:rsid w:val="0048387A"/>
    <w:rsid w:val="004A1CA9"/>
    <w:rsid w:val="004A611C"/>
    <w:rsid w:val="004A683D"/>
    <w:rsid w:val="004B4801"/>
    <w:rsid w:val="004B6949"/>
    <w:rsid w:val="004D275A"/>
    <w:rsid w:val="004D2E8C"/>
    <w:rsid w:val="004E0774"/>
    <w:rsid w:val="004E2A55"/>
    <w:rsid w:val="004F406C"/>
    <w:rsid w:val="00501CF6"/>
    <w:rsid w:val="005037C7"/>
    <w:rsid w:val="005041EC"/>
    <w:rsid w:val="005043E8"/>
    <w:rsid w:val="00505253"/>
    <w:rsid w:val="005053C2"/>
    <w:rsid w:val="00512600"/>
    <w:rsid w:val="00516DD8"/>
    <w:rsid w:val="00520814"/>
    <w:rsid w:val="005212CA"/>
    <w:rsid w:val="00522972"/>
    <w:rsid w:val="005302C9"/>
    <w:rsid w:val="005341C3"/>
    <w:rsid w:val="005342AF"/>
    <w:rsid w:val="00541604"/>
    <w:rsid w:val="005537D1"/>
    <w:rsid w:val="00554A20"/>
    <w:rsid w:val="00556EB5"/>
    <w:rsid w:val="0056300D"/>
    <w:rsid w:val="0057020A"/>
    <w:rsid w:val="005748AA"/>
    <w:rsid w:val="00574971"/>
    <w:rsid w:val="005827D9"/>
    <w:rsid w:val="00583BDA"/>
    <w:rsid w:val="00584348"/>
    <w:rsid w:val="005975B2"/>
    <w:rsid w:val="00597726"/>
    <w:rsid w:val="005A1CC7"/>
    <w:rsid w:val="005B51FA"/>
    <w:rsid w:val="005B7E1D"/>
    <w:rsid w:val="005C1D3A"/>
    <w:rsid w:val="005C4B49"/>
    <w:rsid w:val="005C6AEE"/>
    <w:rsid w:val="005C7682"/>
    <w:rsid w:val="005E0234"/>
    <w:rsid w:val="005F40C6"/>
    <w:rsid w:val="005F64E0"/>
    <w:rsid w:val="005F7D6F"/>
    <w:rsid w:val="00603E99"/>
    <w:rsid w:val="00620FD6"/>
    <w:rsid w:val="00623AC6"/>
    <w:rsid w:val="00623ECE"/>
    <w:rsid w:val="00625100"/>
    <w:rsid w:val="00626F62"/>
    <w:rsid w:val="00637D84"/>
    <w:rsid w:val="00643E2A"/>
    <w:rsid w:val="00645340"/>
    <w:rsid w:val="006472D6"/>
    <w:rsid w:val="0065419B"/>
    <w:rsid w:val="00667E66"/>
    <w:rsid w:val="006717CC"/>
    <w:rsid w:val="0067182A"/>
    <w:rsid w:val="00677CAB"/>
    <w:rsid w:val="00681EFA"/>
    <w:rsid w:val="00694D2D"/>
    <w:rsid w:val="00695018"/>
    <w:rsid w:val="006C6F2C"/>
    <w:rsid w:val="006D4281"/>
    <w:rsid w:val="006E1449"/>
    <w:rsid w:val="006E2334"/>
    <w:rsid w:val="00713197"/>
    <w:rsid w:val="007178B3"/>
    <w:rsid w:val="00734C10"/>
    <w:rsid w:val="007473DE"/>
    <w:rsid w:val="00754881"/>
    <w:rsid w:val="007760B1"/>
    <w:rsid w:val="007818BF"/>
    <w:rsid w:val="00792F07"/>
    <w:rsid w:val="00793A15"/>
    <w:rsid w:val="007A518D"/>
    <w:rsid w:val="007A5582"/>
    <w:rsid w:val="007A56C5"/>
    <w:rsid w:val="007D2C92"/>
    <w:rsid w:val="007D628B"/>
    <w:rsid w:val="007F4644"/>
    <w:rsid w:val="007F6E54"/>
    <w:rsid w:val="007F7B33"/>
    <w:rsid w:val="0080450A"/>
    <w:rsid w:val="00815C88"/>
    <w:rsid w:val="00834B6F"/>
    <w:rsid w:val="00846523"/>
    <w:rsid w:val="008546F8"/>
    <w:rsid w:val="00861C5D"/>
    <w:rsid w:val="00861EEC"/>
    <w:rsid w:val="00862FAC"/>
    <w:rsid w:val="00863888"/>
    <w:rsid w:val="00876B8D"/>
    <w:rsid w:val="008836FB"/>
    <w:rsid w:val="0088454F"/>
    <w:rsid w:val="008929D7"/>
    <w:rsid w:val="0089480D"/>
    <w:rsid w:val="0089663B"/>
    <w:rsid w:val="008A2B05"/>
    <w:rsid w:val="008B07C5"/>
    <w:rsid w:val="008B1F6A"/>
    <w:rsid w:val="008C438E"/>
    <w:rsid w:val="008D1864"/>
    <w:rsid w:val="008D45FF"/>
    <w:rsid w:val="008D66B4"/>
    <w:rsid w:val="008E0C5F"/>
    <w:rsid w:val="008F3AD9"/>
    <w:rsid w:val="009033A9"/>
    <w:rsid w:val="00905BCE"/>
    <w:rsid w:val="0091078D"/>
    <w:rsid w:val="009173C5"/>
    <w:rsid w:val="00924D7A"/>
    <w:rsid w:val="00925C6A"/>
    <w:rsid w:val="009278BC"/>
    <w:rsid w:val="0092794B"/>
    <w:rsid w:val="00957CB3"/>
    <w:rsid w:val="009618A6"/>
    <w:rsid w:val="009636FF"/>
    <w:rsid w:val="00972972"/>
    <w:rsid w:val="0097732D"/>
    <w:rsid w:val="00977536"/>
    <w:rsid w:val="0098161A"/>
    <w:rsid w:val="00981687"/>
    <w:rsid w:val="00983991"/>
    <w:rsid w:val="009A31CE"/>
    <w:rsid w:val="009A710B"/>
    <w:rsid w:val="009B426E"/>
    <w:rsid w:val="009B445B"/>
    <w:rsid w:val="009B568F"/>
    <w:rsid w:val="009C335E"/>
    <w:rsid w:val="009D3E5C"/>
    <w:rsid w:val="009D7C33"/>
    <w:rsid w:val="009E242D"/>
    <w:rsid w:val="009E31CA"/>
    <w:rsid w:val="009F0900"/>
    <w:rsid w:val="009F16F1"/>
    <w:rsid w:val="009F503C"/>
    <w:rsid w:val="009F5CAC"/>
    <w:rsid w:val="009F5CBF"/>
    <w:rsid w:val="00A00C13"/>
    <w:rsid w:val="00A0155D"/>
    <w:rsid w:val="00A125E7"/>
    <w:rsid w:val="00A22F62"/>
    <w:rsid w:val="00A24645"/>
    <w:rsid w:val="00A41AD3"/>
    <w:rsid w:val="00A46B88"/>
    <w:rsid w:val="00A50B49"/>
    <w:rsid w:val="00A53EB2"/>
    <w:rsid w:val="00A62F81"/>
    <w:rsid w:val="00A715E7"/>
    <w:rsid w:val="00A91307"/>
    <w:rsid w:val="00AA26A0"/>
    <w:rsid w:val="00AB3506"/>
    <w:rsid w:val="00AB7506"/>
    <w:rsid w:val="00AC0B9C"/>
    <w:rsid w:val="00AD12A1"/>
    <w:rsid w:val="00AD4A4E"/>
    <w:rsid w:val="00AD5720"/>
    <w:rsid w:val="00AE0ADC"/>
    <w:rsid w:val="00AE5E5C"/>
    <w:rsid w:val="00AF06B3"/>
    <w:rsid w:val="00B0206D"/>
    <w:rsid w:val="00B07C3D"/>
    <w:rsid w:val="00B10E97"/>
    <w:rsid w:val="00B16DBD"/>
    <w:rsid w:val="00B22663"/>
    <w:rsid w:val="00B24921"/>
    <w:rsid w:val="00B35030"/>
    <w:rsid w:val="00B50B67"/>
    <w:rsid w:val="00B63E55"/>
    <w:rsid w:val="00B7251F"/>
    <w:rsid w:val="00B82850"/>
    <w:rsid w:val="00B87744"/>
    <w:rsid w:val="00B93A35"/>
    <w:rsid w:val="00BA1401"/>
    <w:rsid w:val="00BA4DE5"/>
    <w:rsid w:val="00BA59FB"/>
    <w:rsid w:val="00BA68D9"/>
    <w:rsid w:val="00BA717B"/>
    <w:rsid w:val="00BB6408"/>
    <w:rsid w:val="00BB6867"/>
    <w:rsid w:val="00BC4005"/>
    <w:rsid w:val="00BC6AAD"/>
    <w:rsid w:val="00BC6E1E"/>
    <w:rsid w:val="00BD34DF"/>
    <w:rsid w:val="00BE3258"/>
    <w:rsid w:val="00BE475D"/>
    <w:rsid w:val="00BF3116"/>
    <w:rsid w:val="00C03D2D"/>
    <w:rsid w:val="00C11FED"/>
    <w:rsid w:val="00C15E44"/>
    <w:rsid w:val="00C17E15"/>
    <w:rsid w:val="00C21496"/>
    <w:rsid w:val="00C22841"/>
    <w:rsid w:val="00C26D2F"/>
    <w:rsid w:val="00C4052E"/>
    <w:rsid w:val="00C57046"/>
    <w:rsid w:val="00C61F76"/>
    <w:rsid w:val="00C6278E"/>
    <w:rsid w:val="00C646B1"/>
    <w:rsid w:val="00C731B5"/>
    <w:rsid w:val="00C74D14"/>
    <w:rsid w:val="00C90CAF"/>
    <w:rsid w:val="00C92AF2"/>
    <w:rsid w:val="00C93E8E"/>
    <w:rsid w:val="00C97586"/>
    <w:rsid w:val="00C97605"/>
    <w:rsid w:val="00CA6730"/>
    <w:rsid w:val="00CB21A2"/>
    <w:rsid w:val="00CB3DD8"/>
    <w:rsid w:val="00CB71D6"/>
    <w:rsid w:val="00CC432E"/>
    <w:rsid w:val="00CC6F20"/>
    <w:rsid w:val="00CD7521"/>
    <w:rsid w:val="00CE02CB"/>
    <w:rsid w:val="00CE1793"/>
    <w:rsid w:val="00CE2F25"/>
    <w:rsid w:val="00CE61D5"/>
    <w:rsid w:val="00CF762E"/>
    <w:rsid w:val="00D043E6"/>
    <w:rsid w:val="00D35936"/>
    <w:rsid w:val="00D366F2"/>
    <w:rsid w:val="00D47F17"/>
    <w:rsid w:val="00D577DA"/>
    <w:rsid w:val="00D61D92"/>
    <w:rsid w:val="00D66026"/>
    <w:rsid w:val="00D661C5"/>
    <w:rsid w:val="00D7023A"/>
    <w:rsid w:val="00D75942"/>
    <w:rsid w:val="00D8369A"/>
    <w:rsid w:val="00D91558"/>
    <w:rsid w:val="00D957E0"/>
    <w:rsid w:val="00DA754A"/>
    <w:rsid w:val="00DB45F4"/>
    <w:rsid w:val="00DD2730"/>
    <w:rsid w:val="00DD4861"/>
    <w:rsid w:val="00DD4FC3"/>
    <w:rsid w:val="00DE0A4D"/>
    <w:rsid w:val="00E11DDF"/>
    <w:rsid w:val="00E16AB3"/>
    <w:rsid w:val="00E4242C"/>
    <w:rsid w:val="00E42788"/>
    <w:rsid w:val="00E47D0B"/>
    <w:rsid w:val="00E54A12"/>
    <w:rsid w:val="00E55E51"/>
    <w:rsid w:val="00E63496"/>
    <w:rsid w:val="00E827F7"/>
    <w:rsid w:val="00EA1098"/>
    <w:rsid w:val="00EA178F"/>
    <w:rsid w:val="00EA251C"/>
    <w:rsid w:val="00EC0378"/>
    <w:rsid w:val="00EC6437"/>
    <w:rsid w:val="00ED2B0A"/>
    <w:rsid w:val="00ED46B3"/>
    <w:rsid w:val="00ED46D4"/>
    <w:rsid w:val="00EE1723"/>
    <w:rsid w:val="00EE205D"/>
    <w:rsid w:val="00EE219B"/>
    <w:rsid w:val="00EF33DD"/>
    <w:rsid w:val="00EF3453"/>
    <w:rsid w:val="00EF3966"/>
    <w:rsid w:val="00F00E0C"/>
    <w:rsid w:val="00F03AD2"/>
    <w:rsid w:val="00F05D5B"/>
    <w:rsid w:val="00F106E6"/>
    <w:rsid w:val="00F17328"/>
    <w:rsid w:val="00F30F9B"/>
    <w:rsid w:val="00F64D81"/>
    <w:rsid w:val="00F6584F"/>
    <w:rsid w:val="00F85935"/>
    <w:rsid w:val="00F8636A"/>
    <w:rsid w:val="00F879C5"/>
    <w:rsid w:val="00FA069F"/>
    <w:rsid w:val="00FA434D"/>
    <w:rsid w:val="00FC10A3"/>
    <w:rsid w:val="00FC1D5A"/>
    <w:rsid w:val="00FC3678"/>
    <w:rsid w:val="00FD061F"/>
    <w:rsid w:val="00FD6CF6"/>
    <w:rsid w:val="00FE34F3"/>
    <w:rsid w:val="00FE3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2AB974"/>
  <w15:chartTrackingRefBased/>
  <w15:docId w15:val="{C43B999F-8B62-45A3-AB06-2CD784843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SE"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page number" w:uiPriority="99"/>
    <w:lsdException w:name="endnote reference" w:uiPriority="99"/>
    <w:lsdException w:name="Title" w:uiPriority="10" w:qFormat="1"/>
    <w:lsdException w:name="Subtitle" w:uiPriority="11"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21" w:qFormat="1"/>
    <w:lsdException w:name="Subtle Reference" w:uiPriority="67" w:qFormat="1"/>
    <w:lsdException w:name="Intense Reference" w:uiPriority="32" w:qFormat="1"/>
    <w:lsdException w:name="Book Title" w:uiPriority="69" w:qFormat="1"/>
    <w:lsdException w:name="Bibliography" w:uiPriority="37"/>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40"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6E54"/>
    <w:rPr>
      <w:sz w:val="24"/>
      <w:lang w:val="en-US" w:eastAsia="en-US"/>
    </w:rPr>
  </w:style>
  <w:style w:type="paragraph" w:styleId="Heading1">
    <w:name w:val="heading 1"/>
    <w:basedOn w:val="Normal"/>
    <w:next w:val="Normal"/>
    <w:link w:val="Heading1Char"/>
    <w:uiPriority w:val="9"/>
    <w:qFormat/>
    <w:rsid w:val="007F4644"/>
    <w:pPr>
      <w:keepNext/>
      <w:spacing w:line="360" w:lineRule="auto"/>
      <w:jc w:val="both"/>
      <w:outlineLvl w:val="0"/>
    </w:pPr>
  </w:style>
  <w:style w:type="paragraph" w:styleId="Heading2">
    <w:name w:val="heading 2"/>
    <w:basedOn w:val="Normal"/>
    <w:next w:val="Normal"/>
    <w:link w:val="Heading2Char"/>
    <w:uiPriority w:val="9"/>
    <w:qFormat/>
    <w:rsid w:val="007F4644"/>
    <w:pPr>
      <w:keepNext/>
      <w:outlineLvl w:val="1"/>
    </w:pPr>
    <w:rPr>
      <w:b/>
      <w:sz w:val="32"/>
    </w:rPr>
  </w:style>
  <w:style w:type="paragraph" w:styleId="Heading3">
    <w:name w:val="heading 3"/>
    <w:basedOn w:val="Normal"/>
    <w:next w:val="Normal"/>
    <w:link w:val="Heading3Char"/>
    <w:uiPriority w:val="9"/>
    <w:qFormat/>
    <w:rsid w:val="007F4644"/>
    <w:pPr>
      <w:keepNext/>
      <w:outlineLvl w:val="2"/>
    </w:pPr>
    <w:rPr>
      <w:b/>
      <w:i/>
      <w:sz w:val="32"/>
    </w:rPr>
  </w:style>
  <w:style w:type="paragraph" w:styleId="Heading4">
    <w:name w:val="heading 4"/>
    <w:basedOn w:val="Normal"/>
    <w:next w:val="Normal"/>
    <w:link w:val="Heading4Char"/>
    <w:uiPriority w:val="9"/>
    <w:qFormat/>
    <w:rsid w:val="007F4644"/>
    <w:pPr>
      <w:keepNext/>
      <w:outlineLvl w:val="3"/>
    </w:pPr>
    <w:rPr>
      <w:b/>
      <w:sz w:val="28"/>
    </w:rPr>
  </w:style>
  <w:style w:type="paragraph" w:styleId="Heading5">
    <w:name w:val="heading 5"/>
    <w:basedOn w:val="Normal"/>
    <w:next w:val="Normal"/>
    <w:link w:val="Heading5Char"/>
    <w:uiPriority w:val="9"/>
    <w:qFormat/>
    <w:rsid w:val="007F4644"/>
    <w:pPr>
      <w:keepNext/>
      <w:jc w:val="both"/>
      <w:outlineLvl w:val="4"/>
    </w:pPr>
    <w:rPr>
      <w:b/>
      <w:bCs/>
      <w:sz w:val="22"/>
    </w:rPr>
  </w:style>
  <w:style w:type="paragraph" w:styleId="Heading6">
    <w:name w:val="heading 6"/>
    <w:basedOn w:val="Normal"/>
    <w:next w:val="Normal"/>
    <w:link w:val="Heading6Char"/>
    <w:uiPriority w:val="9"/>
    <w:qFormat/>
    <w:rsid w:val="007F4644"/>
    <w:pPr>
      <w:keepNext/>
      <w:outlineLvl w:val="5"/>
    </w:pPr>
    <w:rPr>
      <w:b/>
      <w:i/>
      <w:sz w:val="26"/>
    </w:rPr>
  </w:style>
  <w:style w:type="paragraph" w:styleId="Heading7">
    <w:name w:val="heading 7"/>
    <w:basedOn w:val="Normal"/>
    <w:next w:val="Normal"/>
    <w:link w:val="Heading7Char"/>
    <w:uiPriority w:val="9"/>
    <w:qFormat/>
    <w:rsid w:val="007F4644"/>
    <w:pPr>
      <w:keepNext/>
      <w:outlineLvl w:val="6"/>
    </w:pPr>
    <w:rPr>
      <w:b/>
      <w:bCs/>
      <w:i/>
      <w:iCs/>
      <w:sz w:val="26"/>
    </w:rPr>
  </w:style>
  <w:style w:type="paragraph" w:styleId="Heading8">
    <w:name w:val="heading 8"/>
    <w:basedOn w:val="Normal"/>
    <w:next w:val="Normal"/>
    <w:link w:val="Heading8Char"/>
    <w:uiPriority w:val="9"/>
    <w:qFormat/>
    <w:rsid w:val="007F4644"/>
    <w:pPr>
      <w:keepNext/>
      <w:jc w:val="both"/>
      <w:outlineLvl w:val="7"/>
    </w:pPr>
    <w:rPr>
      <w:b/>
      <w:sz w:val="32"/>
    </w:rPr>
  </w:style>
  <w:style w:type="paragraph" w:styleId="Heading9">
    <w:name w:val="heading 9"/>
    <w:basedOn w:val="Normal"/>
    <w:next w:val="Normal"/>
    <w:link w:val="Heading9Char"/>
    <w:uiPriority w:val="9"/>
    <w:qFormat/>
    <w:rsid w:val="007F4644"/>
    <w:pPr>
      <w:keepNext/>
      <w:jc w:val="both"/>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7F4644"/>
    <w:rPr>
      <w:sz w:val="20"/>
    </w:rPr>
  </w:style>
  <w:style w:type="character" w:styleId="FootnoteReference">
    <w:name w:val="footnote reference"/>
    <w:uiPriority w:val="99"/>
    <w:semiHidden/>
    <w:rsid w:val="007F4644"/>
    <w:rPr>
      <w:vertAlign w:val="superscript"/>
    </w:rPr>
  </w:style>
  <w:style w:type="paragraph" w:styleId="BodyText2">
    <w:name w:val="Body Text 2"/>
    <w:basedOn w:val="Normal"/>
    <w:rsid w:val="007F4644"/>
    <w:rPr>
      <w:b/>
    </w:rPr>
  </w:style>
  <w:style w:type="paragraph" w:customStyle="1" w:styleId="JIEnormal-noindent">
    <w:name w:val="JIE normal - no indent"/>
    <w:basedOn w:val="Normal"/>
    <w:rsid w:val="007F4644"/>
    <w:pPr>
      <w:spacing w:line="480" w:lineRule="auto"/>
    </w:pPr>
    <w:rPr>
      <w:rFonts w:ascii="Garamond" w:hAnsi="Garamond"/>
    </w:rPr>
  </w:style>
  <w:style w:type="paragraph" w:customStyle="1" w:styleId="Feature">
    <w:name w:val="Feature"/>
    <w:basedOn w:val="Heading2"/>
    <w:rsid w:val="007F4644"/>
    <w:rPr>
      <w:sz w:val="20"/>
    </w:rPr>
  </w:style>
  <w:style w:type="paragraph" w:styleId="BlockText">
    <w:name w:val="Block Text"/>
    <w:basedOn w:val="Normal"/>
    <w:rsid w:val="007F4644"/>
    <w:pPr>
      <w:ind w:left="720" w:right="720"/>
      <w:jc w:val="both"/>
    </w:pPr>
  </w:style>
  <w:style w:type="paragraph" w:styleId="Footer">
    <w:name w:val="footer"/>
    <w:basedOn w:val="Normal"/>
    <w:link w:val="FooterChar"/>
    <w:uiPriority w:val="99"/>
    <w:rsid w:val="007F4644"/>
    <w:pPr>
      <w:tabs>
        <w:tab w:val="center" w:pos="4320"/>
        <w:tab w:val="right" w:pos="8640"/>
      </w:tabs>
    </w:pPr>
    <w:rPr>
      <w:lang w:val="en-GB"/>
    </w:rPr>
  </w:style>
  <w:style w:type="paragraph" w:styleId="Header">
    <w:name w:val="header"/>
    <w:basedOn w:val="Normal"/>
    <w:link w:val="HeaderChar"/>
    <w:uiPriority w:val="99"/>
    <w:rsid w:val="007F4644"/>
    <w:pPr>
      <w:tabs>
        <w:tab w:val="center" w:pos="4320"/>
        <w:tab w:val="right" w:pos="8640"/>
      </w:tabs>
    </w:pPr>
  </w:style>
  <w:style w:type="paragraph" w:styleId="BodyText">
    <w:name w:val="Body Text"/>
    <w:basedOn w:val="Normal"/>
    <w:rsid w:val="007F4644"/>
    <w:pPr>
      <w:jc w:val="center"/>
    </w:pPr>
    <w:rPr>
      <w:b/>
      <w:sz w:val="32"/>
    </w:rPr>
  </w:style>
  <w:style w:type="paragraph" w:customStyle="1" w:styleId="MFAHeading">
    <w:name w:val="MFA Heading"/>
    <w:basedOn w:val="Heading3"/>
    <w:rsid w:val="007F4644"/>
    <w:pPr>
      <w:keepNext w:val="0"/>
      <w:outlineLvl w:val="9"/>
    </w:pPr>
    <w:rPr>
      <w:i w:val="0"/>
      <w:sz w:val="30"/>
    </w:rPr>
  </w:style>
  <w:style w:type="character" w:styleId="PageNumber">
    <w:name w:val="page number"/>
    <w:basedOn w:val="DefaultParagraphFont"/>
    <w:uiPriority w:val="99"/>
    <w:rsid w:val="007F4644"/>
  </w:style>
  <w:style w:type="character" w:styleId="CommentReference">
    <w:name w:val="annotation reference"/>
    <w:uiPriority w:val="99"/>
    <w:semiHidden/>
    <w:rsid w:val="007F4644"/>
    <w:rPr>
      <w:sz w:val="16"/>
    </w:rPr>
  </w:style>
  <w:style w:type="paragraph" w:styleId="CommentText">
    <w:name w:val="annotation text"/>
    <w:basedOn w:val="Normal"/>
    <w:link w:val="CommentTextChar1"/>
    <w:uiPriority w:val="99"/>
    <w:semiHidden/>
    <w:rsid w:val="007F4644"/>
  </w:style>
  <w:style w:type="paragraph" w:styleId="Title">
    <w:name w:val="Title"/>
    <w:basedOn w:val="Normal"/>
    <w:link w:val="TitleChar"/>
    <w:uiPriority w:val="10"/>
    <w:qFormat/>
    <w:rsid w:val="007F4644"/>
    <w:pPr>
      <w:jc w:val="center"/>
    </w:pPr>
    <w:rPr>
      <w:b/>
    </w:rPr>
  </w:style>
  <w:style w:type="paragraph" w:styleId="BodyText3">
    <w:name w:val="Body Text 3"/>
    <w:basedOn w:val="Normal"/>
    <w:rsid w:val="007F4644"/>
    <w:pPr>
      <w:spacing w:line="360" w:lineRule="auto"/>
      <w:jc w:val="both"/>
    </w:pPr>
  </w:style>
  <w:style w:type="paragraph" w:customStyle="1" w:styleId="JIEnormal">
    <w:name w:val="JIE normal"/>
    <w:basedOn w:val="Normal"/>
    <w:rsid w:val="007F4644"/>
    <w:pPr>
      <w:spacing w:line="480" w:lineRule="auto"/>
      <w:ind w:firstLine="720"/>
    </w:pPr>
    <w:rPr>
      <w:rFonts w:ascii="Garamond" w:hAnsi="Garamond"/>
    </w:rPr>
  </w:style>
  <w:style w:type="paragraph" w:customStyle="1" w:styleId="JIEreferencelist">
    <w:name w:val="JIE reference list"/>
    <w:basedOn w:val="Normal"/>
    <w:rsid w:val="007F4644"/>
    <w:pPr>
      <w:spacing w:line="360" w:lineRule="auto"/>
      <w:ind w:left="720" w:hanging="720"/>
    </w:pPr>
    <w:rPr>
      <w:rFonts w:ascii="Garamond" w:hAnsi="Garamond"/>
    </w:rPr>
  </w:style>
  <w:style w:type="character" w:styleId="Hyperlink">
    <w:name w:val="Hyperlink"/>
    <w:uiPriority w:val="99"/>
    <w:rsid w:val="007F4644"/>
    <w:rPr>
      <w:color w:val="0000FF"/>
      <w:u w:val="single"/>
    </w:rPr>
  </w:style>
  <w:style w:type="paragraph" w:customStyle="1" w:styleId="Bibentry2">
    <w:name w:val="Bib entry2"/>
    <w:basedOn w:val="Normal"/>
    <w:rsid w:val="007F4644"/>
    <w:pPr>
      <w:ind w:left="720" w:hanging="720"/>
    </w:pPr>
    <w:rPr>
      <w:szCs w:val="24"/>
    </w:rPr>
  </w:style>
  <w:style w:type="paragraph" w:styleId="BodyTextIndent">
    <w:name w:val="Body Text Indent"/>
    <w:basedOn w:val="Normal"/>
    <w:autoRedefine/>
    <w:rsid w:val="007F4644"/>
    <w:pPr>
      <w:spacing w:before="120" w:after="120" w:line="360" w:lineRule="auto"/>
      <w:ind w:left="720" w:hanging="720"/>
    </w:pPr>
    <w:rPr>
      <w:rFonts w:ascii="Garamond" w:hAnsi="Garamond"/>
    </w:rPr>
  </w:style>
  <w:style w:type="paragraph" w:customStyle="1" w:styleId="Default">
    <w:name w:val="Default"/>
    <w:rsid w:val="007F4644"/>
    <w:pPr>
      <w:autoSpaceDE w:val="0"/>
      <w:autoSpaceDN w:val="0"/>
      <w:adjustRightInd w:val="0"/>
    </w:pPr>
    <w:rPr>
      <w:rFonts w:ascii="Arial" w:eastAsia="Times New Roman" w:hAnsi="Arial" w:cs="Arial"/>
      <w:lang w:val="en-US" w:eastAsia="en-US"/>
    </w:rPr>
  </w:style>
  <w:style w:type="paragraph" w:styleId="BodyTextIndent2">
    <w:name w:val="Body Text Indent 2"/>
    <w:basedOn w:val="Normal"/>
    <w:rsid w:val="007F4644"/>
    <w:pPr>
      <w:autoSpaceDE w:val="0"/>
      <w:autoSpaceDN w:val="0"/>
      <w:adjustRightInd w:val="0"/>
      <w:ind w:left="540"/>
    </w:pPr>
    <w:rPr>
      <w:rFonts w:ascii="Arial" w:eastAsia="Times New Roman" w:hAnsi="Arial" w:cs="Arial"/>
      <w:sz w:val="20"/>
    </w:rPr>
  </w:style>
  <w:style w:type="character" w:styleId="FollowedHyperlink">
    <w:name w:val="FollowedHyperlink"/>
    <w:uiPriority w:val="99"/>
    <w:rsid w:val="007F4644"/>
    <w:rPr>
      <w:color w:val="800080"/>
      <w:u w:val="single"/>
    </w:rPr>
  </w:style>
  <w:style w:type="character" w:customStyle="1" w:styleId="HeaderChar">
    <w:name w:val="Header Char"/>
    <w:link w:val="Header"/>
    <w:uiPriority w:val="99"/>
    <w:rsid w:val="00EC0378"/>
    <w:rPr>
      <w:sz w:val="24"/>
      <w:lang w:val="en-US" w:eastAsia="en-US"/>
    </w:rPr>
  </w:style>
  <w:style w:type="character" w:customStyle="1" w:styleId="Heading1Char">
    <w:name w:val="Heading 1 Char"/>
    <w:link w:val="Heading1"/>
    <w:uiPriority w:val="9"/>
    <w:rsid w:val="00EC0378"/>
    <w:rPr>
      <w:sz w:val="24"/>
      <w:lang w:val="en-US" w:eastAsia="en-US"/>
    </w:rPr>
  </w:style>
  <w:style w:type="character" w:customStyle="1" w:styleId="Heading2Char">
    <w:name w:val="Heading 2 Char"/>
    <w:link w:val="Heading2"/>
    <w:uiPriority w:val="9"/>
    <w:rsid w:val="00EC0378"/>
    <w:rPr>
      <w:b/>
      <w:sz w:val="32"/>
      <w:lang w:val="en-US" w:eastAsia="en-US"/>
    </w:rPr>
  </w:style>
  <w:style w:type="character" w:customStyle="1" w:styleId="Heading3Char">
    <w:name w:val="Heading 3 Char"/>
    <w:link w:val="Heading3"/>
    <w:uiPriority w:val="9"/>
    <w:rsid w:val="00EC0378"/>
    <w:rPr>
      <w:b/>
      <w:i/>
      <w:sz w:val="32"/>
      <w:lang w:val="en-US" w:eastAsia="en-US"/>
    </w:rPr>
  </w:style>
  <w:style w:type="character" w:customStyle="1" w:styleId="Heading4Char">
    <w:name w:val="Heading 4 Char"/>
    <w:link w:val="Heading4"/>
    <w:uiPriority w:val="9"/>
    <w:rsid w:val="00EC0378"/>
    <w:rPr>
      <w:b/>
      <w:sz w:val="28"/>
      <w:lang w:val="en-US" w:eastAsia="en-US"/>
    </w:rPr>
  </w:style>
  <w:style w:type="character" w:customStyle="1" w:styleId="Heading5Char">
    <w:name w:val="Heading 5 Char"/>
    <w:link w:val="Heading5"/>
    <w:uiPriority w:val="9"/>
    <w:rsid w:val="00EC0378"/>
    <w:rPr>
      <w:b/>
      <w:bCs/>
      <w:sz w:val="22"/>
      <w:lang w:val="en-US" w:eastAsia="en-US"/>
    </w:rPr>
  </w:style>
  <w:style w:type="character" w:customStyle="1" w:styleId="Heading6Char">
    <w:name w:val="Heading 6 Char"/>
    <w:link w:val="Heading6"/>
    <w:uiPriority w:val="9"/>
    <w:rsid w:val="00EC0378"/>
    <w:rPr>
      <w:b/>
      <w:i/>
      <w:sz w:val="26"/>
      <w:lang w:val="en-US" w:eastAsia="en-US"/>
    </w:rPr>
  </w:style>
  <w:style w:type="character" w:customStyle="1" w:styleId="Heading7Char">
    <w:name w:val="Heading 7 Char"/>
    <w:link w:val="Heading7"/>
    <w:uiPriority w:val="9"/>
    <w:rsid w:val="00EC0378"/>
    <w:rPr>
      <w:b/>
      <w:bCs/>
      <w:i/>
      <w:iCs/>
      <w:sz w:val="26"/>
      <w:lang w:val="en-US" w:eastAsia="en-US"/>
    </w:rPr>
  </w:style>
  <w:style w:type="character" w:customStyle="1" w:styleId="Heading8Char">
    <w:name w:val="Heading 8 Char"/>
    <w:link w:val="Heading8"/>
    <w:uiPriority w:val="9"/>
    <w:rsid w:val="00EC0378"/>
    <w:rPr>
      <w:b/>
      <w:sz w:val="32"/>
      <w:lang w:val="en-US" w:eastAsia="en-US"/>
    </w:rPr>
  </w:style>
  <w:style w:type="character" w:customStyle="1" w:styleId="Heading9Char">
    <w:name w:val="Heading 9 Char"/>
    <w:link w:val="Heading9"/>
    <w:uiPriority w:val="9"/>
    <w:rsid w:val="00EC0378"/>
    <w:rPr>
      <w:b/>
      <w:sz w:val="28"/>
      <w:lang w:val="en-US" w:eastAsia="en-US"/>
    </w:rPr>
  </w:style>
  <w:style w:type="character" w:customStyle="1" w:styleId="TitleChar">
    <w:name w:val="Title Char"/>
    <w:link w:val="Title"/>
    <w:uiPriority w:val="10"/>
    <w:rsid w:val="00EC0378"/>
    <w:rPr>
      <w:b/>
      <w:sz w:val="24"/>
      <w:lang w:val="en-US" w:eastAsia="en-US"/>
    </w:rPr>
  </w:style>
  <w:style w:type="paragraph" w:styleId="Subtitle">
    <w:name w:val="Subtitle"/>
    <w:basedOn w:val="Normal"/>
    <w:next w:val="Normal"/>
    <w:link w:val="SubtitleChar"/>
    <w:uiPriority w:val="11"/>
    <w:qFormat/>
    <w:rsid w:val="00EC0378"/>
    <w:pPr>
      <w:numPr>
        <w:ilvl w:val="1"/>
      </w:numPr>
      <w:spacing w:after="160" w:line="278" w:lineRule="auto"/>
    </w:pPr>
    <w:rPr>
      <w:rFonts w:ascii="Aptos" w:eastAsia="Times New Roman" w:hAnsi="Aptos"/>
      <w:color w:val="595959"/>
      <w:spacing w:val="15"/>
      <w:kern w:val="2"/>
      <w:sz w:val="28"/>
      <w:szCs w:val="28"/>
    </w:rPr>
  </w:style>
  <w:style w:type="character" w:customStyle="1" w:styleId="SubtitleChar">
    <w:name w:val="Subtitle Char"/>
    <w:basedOn w:val="DefaultParagraphFont"/>
    <w:link w:val="Subtitle"/>
    <w:uiPriority w:val="11"/>
    <w:rsid w:val="00EC0378"/>
    <w:rPr>
      <w:rFonts w:ascii="Aptos" w:eastAsia="Times New Roman" w:hAnsi="Aptos"/>
      <w:color w:val="595959"/>
      <w:spacing w:val="15"/>
      <w:kern w:val="2"/>
      <w:sz w:val="28"/>
      <w:szCs w:val="28"/>
      <w:lang w:eastAsia="en-US"/>
    </w:rPr>
  </w:style>
  <w:style w:type="paragraph" w:styleId="Quote">
    <w:name w:val="Quote"/>
    <w:basedOn w:val="Normal"/>
    <w:next w:val="Normal"/>
    <w:link w:val="QuoteChar"/>
    <w:uiPriority w:val="29"/>
    <w:qFormat/>
    <w:rsid w:val="00EC0378"/>
    <w:pPr>
      <w:spacing w:before="160" w:after="160" w:line="278" w:lineRule="auto"/>
      <w:jc w:val="center"/>
    </w:pPr>
    <w:rPr>
      <w:rFonts w:ascii="Aptos" w:eastAsia="Aptos" w:hAnsi="Aptos"/>
      <w:i/>
      <w:iCs/>
      <w:color w:val="404040"/>
      <w:kern w:val="2"/>
      <w:szCs w:val="24"/>
    </w:rPr>
  </w:style>
  <w:style w:type="character" w:customStyle="1" w:styleId="QuoteChar">
    <w:name w:val="Quote Char"/>
    <w:basedOn w:val="DefaultParagraphFont"/>
    <w:link w:val="Quote"/>
    <w:uiPriority w:val="29"/>
    <w:rsid w:val="00EC0378"/>
    <w:rPr>
      <w:rFonts w:ascii="Aptos" w:eastAsia="Aptos" w:hAnsi="Aptos"/>
      <w:i/>
      <w:iCs/>
      <w:color w:val="404040"/>
      <w:kern w:val="2"/>
      <w:sz w:val="24"/>
      <w:szCs w:val="24"/>
      <w:lang w:eastAsia="en-US"/>
    </w:rPr>
  </w:style>
  <w:style w:type="paragraph" w:styleId="ListParagraph">
    <w:name w:val="List Paragraph"/>
    <w:basedOn w:val="Normal"/>
    <w:uiPriority w:val="34"/>
    <w:qFormat/>
    <w:rsid w:val="00EC0378"/>
    <w:pPr>
      <w:spacing w:after="160" w:line="278" w:lineRule="auto"/>
      <w:ind w:left="720"/>
      <w:contextualSpacing/>
    </w:pPr>
    <w:rPr>
      <w:rFonts w:ascii="Aptos" w:eastAsia="Aptos" w:hAnsi="Aptos"/>
      <w:kern w:val="2"/>
      <w:szCs w:val="24"/>
    </w:rPr>
  </w:style>
  <w:style w:type="character" w:styleId="IntenseEmphasis">
    <w:name w:val="Intense Emphasis"/>
    <w:uiPriority w:val="21"/>
    <w:qFormat/>
    <w:rsid w:val="00EC0378"/>
    <w:rPr>
      <w:i/>
      <w:iCs/>
      <w:color w:val="0F4761"/>
    </w:rPr>
  </w:style>
  <w:style w:type="paragraph" w:styleId="IntenseQuote">
    <w:name w:val="Intense Quote"/>
    <w:basedOn w:val="Normal"/>
    <w:next w:val="Normal"/>
    <w:link w:val="IntenseQuoteChar"/>
    <w:uiPriority w:val="30"/>
    <w:qFormat/>
    <w:rsid w:val="00EC0378"/>
    <w:pPr>
      <w:pBdr>
        <w:top w:val="single" w:sz="4" w:space="10" w:color="0F4761"/>
        <w:bottom w:val="single" w:sz="4" w:space="10" w:color="0F4761"/>
      </w:pBdr>
      <w:spacing w:before="360" w:after="360" w:line="278" w:lineRule="auto"/>
      <w:ind w:left="864" w:right="864"/>
      <w:jc w:val="center"/>
    </w:pPr>
    <w:rPr>
      <w:rFonts w:ascii="Aptos" w:eastAsia="Aptos" w:hAnsi="Aptos"/>
      <w:i/>
      <w:iCs/>
      <w:color w:val="0F4761"/>
      <w:kern w:val="2"/>
      <w:szCs w:val="24"/>
    </w:rPr>
  </w:style>
  <w:style w:type="character" w:customStyle="1" w:styleId="IntenseQuoteChar">
    <w:name w:val="Intense Quote Char"/>
    <w:basedOn w:val="DefaultParagraphFont"/>
    <w:link w:val="IntenseQuote"/>
    <w:uiPriority w:val="30"/>
    <w:rsid w:val="00EC0378"/>
    <w:rPr>
      <w:rFonts w:ascii="Aptos" w:eastAsia="Aptos" w:hAnsi="Aptos"/>
      <w:i/>
      <w:iCs/>
      <w:color w:val="0F4761"/>
      <w:kern w:val="2"/>
      <w:sz w:val="24"/>
      <w:szCs w:val="24"/>
      <w:lang w:eastAsia="en-US"/>
    </w:rPr>
  </w:style>
  <w:style w:type="character" w:styleId="IntenseReference">
    <w:name w:val="Intense Reference"/>
    <w:uiPriority w:val="32"/>
    <w:qFormat/>
    <w:rsid w:val="00EC0378"/>
    <w:rPr>
      <w:b/>
      <w:bCs/>
      <w:smallCaps/>
      <w:color w:val="0F4761"/>
      <w:spacing w:val="5"/>
    </w:rPr>
  </w:style>
  <w:style w:type="character" w:styleId="UnresolvedMention">
    <w:name w:val="Unresolved Mention"/>
    <w:uiPriority w:val="99"/>
    <w:semiHidden/>
    <w:unhideWhenUsed/>
    <w:rsid w:val="00EC0378"/>
    <w:rPr>
      <w:color w:val="605E5C"/>
      <w:shd w:val="clear" w:color="auto" w:fill="E1DFDD"/>
    </w:rPr>
  </w:style>
  <w:style w:type="paragraph" w:styleId="Caption">
    <w:name w:val="caption"/>
    <w:basedOn w:val="Normal"/>
    <w:next w:val="Normal"/>
    <w:uiPriority w:val="35"/>
    <w:unhideWhenUsed/>
    <w:qFormat/>
    <w:rsid w:val="00EC0378"/>
    <w:pPr>
      <w:spacing w:after="200"/>
    </w:pPr>
    <w:rPr>
      <w:rFonts w:ascii="Aptos" w:eastAsia="Aptos" w:hAnsi="Aptos"/>
      <w:i/>
      <w:iCs/>
      <w:color w:val="0E2841"/>
      <w:kern w:val="2"/>
      <w:sz w:val="18"/>
      <w:szCs w:val="18"/>
    </w:rPr>
  </w:style>
  <w:style w:type="table" w:styleId="TableGridLight">
    <w:name w:val="Grid Table Light"/>
    <w:basedOn w:val="TableNormal"/>
    <w:uiPriority w:val="40"/>
    <w:rsid w:val="00EC0378"/>
    <w:rPr>
      <w:rFonts w:ascii="Aptos" w:eastAsia="Aptos" w:hAnsi="Aptos"/>
      <w:kern w:val="2"/>
      <w:sz w:val="24"/>
      <w:szCs w:val="24"/>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CommentTextChar">
    <w:name w:val="Comment Text Char"/>
    <w:uiPriority w:val="99"/>
    <w:semiHidden/>
    <w:rsid w:val="00EC0378"/>
    <w:rPr>
      <w:rFonts w:ascii="Times New Roman" w:eastAsia="Times New Roman" w:hAnsi="Times New Roman" w:cs="Times New Roman"/>
      <w:kern w:val="0"/>
      <w:sz w:val="20"/>
      <w:szCs w:val="20"/>
      <w:lang w:eastAsia="en-GB"/>
    </w:rPr>
  </w:style>
  <w:style w:type="paragraph" w:styleId="CommentSubject">
    <w:name w:val="annotation subject"/>
    <w:basedOn w:val="CommentText"/>
    <w:next w:val="CommentText"/>
    <w:link w:val="CommentSubjectChar"/>
    <w:uiPriority w:val="99"/>
    <w:unhideWhenUsed/>
    <w:rsid w:val="00EC0378"/>
    <w:rPr>
      <w:rFonts w:eastAsia="Times New Roman"/>
      <w:b/>
      <w:bCs/>
      <w:sz w:val="20"/>
      <w:lang w:eastAsia="en-GB"/>
    </w:rPr>
  </w:style>
  <w:style w:type="character" w:customStyle="1" w:styleId="CommentTextChar1">
    <w:name w:val="Comment Text Char1"/>
    <w:basedOn w:val="DefaultParagraphFont"/>
    <w:link w:val="CommentText"/>
    <w:uiPriority w:val="99"/>
    <w:semiHidden/>
    <w:rsid w:val="00EC0378"/>
    <w:rPr>
      <w:sz w:val="24"/>
      <w:lang w:val="en-US" w:eastAsia="en-US"/>
    </w:rPr>
  </w:style>
  <w:style w:type="character" w:customStyle="1" w:styleId="CommentSubjectChar">
    <w:name w:val="Comment Subject Char"/>
    <w:basedOn w:val="CommentTextChar1"/>
    <w:link w:val="CommentSubject"/>
    <w:uiPriority w:val="99"/>
    <w:rsid w:val="00EC0378"/>
    <w:rPr>
      <w:rFonts w:eastAsia="Times New Roman"/>
      <w:b/>
      <w:bCs/>
      <w:sz w:val="24"/>
      <w:lang w:val="en-US" w:eastAsia="en-US"/>
    </w:rPr>
  </w:style>
  <w:style w:type="paragraph" w:styleId="NormalWeb">
    <w:name w:val="Normal (Web)"/>
    <w:basedOn w:val="Normal"/>
    <w:uiPriority w:val="99"/>
    <w:unhideWhenUsed/>
    <w:rsid w:val="00EC0378"/>
    <w:rPr>
      <w:rFonts w:eastAsia="Times New Roman"/>
      <w:szCs w:val="24"/>
      <w:lang w:eastAsia="en-GB"/>
    </w:rPr>
  </w:style>
  <w:style w:type="character" w:styleId="PlaceholderText">
    <w:name w:val="Placeholder Text"/>
    <w:uiPriority w:val="99"/>
    <w:semiHidden/>
    <w:rsid w:val="00EC0378"/>
    <w:rPr>
      <w:color w:val="808080"/>
    </w:rPr>
  </w:style>
  <w:style w:type="paragraph" w:styleId="TOCHeading">
    <w:name w:val="TOC Heading"/>
    <w:basedOn w:val="Heading1"/>
    <w:next w:val="Normal"/>
    <w:uiPriority w:val="39"/>
    <w:unhideWhenUsed/>
    <w:qFormat/>
    <w:rsid w:val="00EC0378"/>
    <w:pPr>
      <w:keepLines/>
      <w:spacing w:before="480" w:line="276" w:lineRule="auto"/>
      <w:jc w:val="left"/>
      <w:outlineLvl w:val="9"/>
    </w:pPr>
    <w:rPr>
      <w:rFonts w:ascii="Aptos Display" w:eastAsia="Times New Roman" w:hAnsi="Aptos Display"/>
      <w:b/>
      <w:bCs/>
      <w:color w:val="0F4761"/>
      <w:sz w:val="28"/>
      <w:szCs w:val="28"/>
    </w:rPr>
  </w:style>
  <w:style w:type="paragraph" w:styleId="TOC1">
    <w:name w:val="toc 1"/>
    <w:basedOn w:val="Normal"/>
    <w:next w:val="Normal"/>
    <w:autoRedefine/>
    <w:uiPriority w:val="39"/>
    <w:unhideWhenUsed/>
    <w:rsid w:val="00F05D5B"/>
    <w:pPr>
      <w:tabs>
        <w:tab w:val="right" w:leader="dot" w:pos="8630"/>
      </w:tabs>
      <w:spacing w:before="120"/>
    </w:pPr>
    <w:rPr>
      <w:rFonts w:eastAsia="Times New Roman"/>
      <w:szCs w:val="28"/>
      <w:lang w:eastAsia="en-GB"/>
    </w:rPr>
  </w:style>
  <w:style w:type="paragraph" w:styleId="TOC2">
    <w:name w:val="toc 2"/>
    <w:basedOn w:val="Normal"/>
    <w:next w:val="Normal"/>
    <w:autoRedefine/>
    <w:uiPriority w:val="39"/>
    <w:unhideWhenUsed/>
    <w:rsid w:val="00EC0378"/>
    <w:pPr>
      <w:spacing w:before="240"/>
    </w:pPr>
    <w:rPr>
      <w:rFonts w:ascii="Aptos" w:eastAsia="Times New Roman" w:hAnsi="Aptos"/>
      <w:b/>
      <w:bCs/>
      <w:sz w:val="20"/>
      <w:lang w:eastAsia="en-GB"/>
    </w:rPr>
  </w:style>
  <w:style w:type="paragraph" w:styleId="TOC3">
    <w:name w:val="toc 3"/>
    <w:basedOn w:val="Normal"/>
    <w:next w:val="Normal"/>
    <w:autoRedefine/>
    <w:uiPriority w:val="39"/>
    <w:unhideWhenUsed/>
    <w:rsid w:val="00EC0378"/>
    <w:pPr>
      <w:ind w:left="240"/>
    </w:pPr>
    <w:rPr>
      <w:rFonts w:ascii="Aptos" w:eastAsia="Times New Roman" w:hAnsi="Aptos"/>
      <w:sz w:val="20"/>
      <w:lang w:eastAsia="en-GB"/>
    </w:rPr>
  </w:style>
  <w:style w:type="paragraph" w:styleId="TOC4">
    <w:name w:val="toc 4"/>
    <w:basedOn w:val="Normal"/>
    <w:next w:val="Normal"/>
    <w:autoRedefine/>
    <w:uiPriority w:val="39"/>
    <w:unhideWhenUsed/>
    <w:rsid w:val="00EC0378"/>
    <w:pPr>
      <w:ind w:left="480"/>
    </w:pPr>
    <w:rPr>
      <w:rFonts w:ascii="Aptos" w:eastAsia="Times New Roman" w:hAnsi="Aptos"/>
      <w:sz w:val="20"/>
      <w:lang w:eastAsia="en-GB"/>
    </w:rPr>
  </w:style>
  <w:style w:type="paragraph" w:styleId="TOC5">
    <w:name w:val="toc 5"/>
    <w:basedOn w:val="Normal"/>
    <w:next w:val="Normal"/>
    <w:autoRedefine/>
    <w:uiPriority w:val="39"/>
    <w:unhideWhenUsed/>
    <w:rsid w:val="00EC0378"/>
    <w:pPr>
      <w:ind w:left="720"/>
    </w:pPr>
    <w:rPr>
      <w:rFonts w:ascii="Aptos" w:eastAsia="Times New Roman" w:hAnsi="Aptos"/>
      <w:sz w:val="20"/>
      <w:lang w:eastAsia="en-GB"/>
    </w:rPr>
  </w:style>
  <w:style w:type="paragraph" w:styleId="TOC6">
    <w:name w:val="toc 6"/>
    <w:basedOn w:val="Normal"/>
    <w:next w:val="Normal"/>
    <w:autoRedefine/>
    <w:uiPriority w:val="39"/>
    <w:unhideWhenUsed/>
    <w:rsid w:val="00EC0378"/>
    <w:pPr>
      <w:ind w:left="960"/>
    </w:pPr>
    <w:rPr>
      <w:rFonts w:ascii="Aptos" w:eastAsia="Times New Roman" w:hAnsi="Aptos"/>
      <w:sz w:val="20"/>
      <w:lang w:eastAsia="en-GB"/>
    </w:rPr>
  </w:style>
  <w:style w:type="paragraph" w:styleId="TOC7">
    <w:name w:val="toc 7"/>
    <w:basedOn w:val="Normal"/>
    <w:next w:val="Normal"/>
    <w:autoRedefine/>
    <w:uiPriority w:val="39"/>
    <w:unhideWhenUsed/>
    <w:rsid w:val="00EC0378"/>
    <w:pPr>
      <w:ind w:left="1200"/>
    </w:pPr>
    <w:rPr>
      <w:rFonts w:ascii="Aptos" w:eastAsia="Times New Roman" w:hAnsi="Aptos"/>
      <w:sz w:val="20"/>
      <w:lang w:eastAsia="en-GB"/>
    </w:rPr>
  </w:style>
  <w:style w:type="paragraph" w:styleId="TOC8">
    <w:name w:val="toc 8"/>
    <w:basedOn w:val="Normal"/>
    <w:next w:val="Normal"/>
    <w:autoRedefine/>
    <w:uiPriority w:val="39"/>
    <w:unhideWhenUsed/>
    <w:rsid w:val="00EC0378"/>
    <w:pPr>
      <w:ind w:left="1440"/>
    </w:pPr>
    <w:rPr>
      <w:rFonts w:ascii="Aptos" w:eastAsia="Times New Roman" w:hAnsi="Aptos"/>
      <w:sz w:val="20"/>
      <w:lang w:eastAsia="en-GB"/>
    </w:rPr>
  </w:style>
  <w:style w:type="paragraph" w:styleId="TOC9">
    <w:name w:val="toc 9"/>
    <w:basedOn w:val="Normal"/>
    <w:next w:val="Normal"/>
    <w:autoRedefine/>
    <w:uiPriority w:val="39"/>
    <w:unhideWhenUsed/>
    <w:rsid w:val="00EC0378"/>
    <w:pPr>
      <w:ind w:left="1680"/>
    </w:pPr>
    <w:rPr>
      <w:rFonts w:ascii="Aptos" w:eastAsia="Times New Roman" w:hAnsi="Aptos"/>
      <w:sz w:val="20"/>
      <w:lang w:eastAsia="en-GB"/>
    </w:rPr>
  </w:style>
  <w:style w:type="character" w:customStyle="1" w:styleId="FooterChar">
    <w:name w:val="Footer Char"/>
    <w:link w:val="Footer"/>
    <w:uiPriority w:val="99"/>
    <w:rsid w:val="00EC0378"/>
    <w:rPr>
      <w:sz w:val="24"/>
      <w:lang w:val="en-GB" w:eastAsia="en-US"/>
    </w:rPr>
  </w:style>
  <w:style w:type="character" w:customStyle="1" w:styleId="FootnoteTextChar">
    <w:name w:val="Footnote Text Char"/>
    <w:link w:val="FootnoteText"/>
    <w:uiPriority w:val="99"/>
    <w:semiHidden/>
    <w:rsid w:val="00EC0378"/>
    <w:rPr>
      <w:lang w:val="en-US" w:eastAsia="en-US"/>
    </w:rPr>
  </w:style>
  <w:style w:type="paragraph" w:styleId="Bibliography">
    <w:name w:val="Bibliography"/>
    <w:basedOn w:val="Normal"/>
    <w:next w:val="Normal"/>
    <w:uiPriority w:val="37"/>
    <w:unhideWhenUsed/>
    <w:rsid w:val="00EC0378"/>
    <w:pPr>
      <w:spacing w:line="480" w:lineRule="auto"/>
      <w:ind w:left="720" w:hanging="720"/>
    </w:pPr>
    <w:rPr>
      <w:rFonts w:eastAsia="Times New Roman"/>
      <w:szCs w:val="24"/>
      <w:lang w:eastAsia="en-GB"/>
    </w:rPr>
  </w:style>
  <w:style w:type="character" w:styleId="EndnoteReference">
    <w:name w:val="endnote reference"/>
    <w:uiPriority w:val="99"/>
    <w:unhideWhenUsed/>
    <w:rsid w:val="00EC0378"/>
    <w:rPr>
      <w:vertAlign w:val="superscript"/>
    </w:rPr>
  </w:style>
  <w:style w:type="paragraph" w:styleId="Revision">
    <w:name w:val="Revision"/>
    <w:hidden/>
    <w:uiPriority w:val="71"/>
    <w:rsid w:val="009C335E"/>
    <w:rPr>
      <w:sz w:val="24"/>
      <w:lang w:val="en-US" w:eastAsia="en-US"/>
    </w:rPr>
  </w:style>
  <w:style w:type="table" w:styleId="TableGrid">
    <w:name w:val="Table Grid"/>
    <w:basedOn w:val="TableNormal"/>
    <w:rsid w:val="00AB7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chart" Target="charts/chart3.xml"/><Relationship Id="rId26" Type="http://schemas.openxmlformats.org/officeDocument/2006/relationships/image" Target="media/image10.svg"/><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4.emf"/><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8.sv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7.png"/><Relationship Id="rId28"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image" Target="media/image6.emf"/><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chalmers-my.sharepoint.com/personal/savvidou_chalmers_se/Documents/1.%20Research/2.%20Papers/Paper%20II/Data%20analysis/SE/Input%20data_SE_April%2016.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chalmers-my.sharepoint.com/personal/savvidou_chalmers_se/Documents/1.%20Research/2.%20Papers/Paper%20II/Data%20analysis/SE/Input%20data_SE_April%2016.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chalmers-my.sharepoint.com/personal/savvidou_chalmers_se/Documents/1.%20Research/2.%20Papers/Paper%20II/Data%20analysis/SE/Input%20data/Input%20data_SE_April%2016.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https://chalmers-my.sharepoint.com/personal/savvidou_chalmers_se/Documents/1.%20Research/2.%20Papers/Paper%20II/Data%20analysis/SE/Input%20data/Input%20data_SE_April%2016.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https://chalmers-my.sharepoint.com/personal/savvidou_chalmers_se/Documents/1.%20Research/2.%20Papers/Paper%20II/Data%20analysis/SE/Input%20data/Input%20data_SE_April%2016.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'Installed capacity prep'!$G$4</c:f>
              <c:strCache>
                <c:ptCount val="1"/>
                <c:pt idx="0">
                  <c:v>Onshore</c:v>
                </c:pt>
              </c:strCache>
            </c:strRef>
          </c:tx>
          <c:spPr>
            <a:ln w="15875" cap="rnd">
              <a:solidFill>
                <a:schemeClr val="accent1"/>
              </a:solidFill>
              <a:round/>
            </a:ln>
            <a:effectLst/>
          </c:spPr>
          <c:marker>
            <c:symbol val="circle"/>
            <c:size val="4"/>
            <c:spPr>
              <a:solidFill>
                <a:schemeClr val="accent1"/>
              </a:solidFill>
              <a:ln w="9525">
                <a:noFill/>
              </a:ln>
              <a:effectLst/>
            </c:spPr>
          </c:marker>
          <c:dLbls>
            <c:dLbl>
              <c:idx val="0"/>
              <c:layout>
                <c:manualLayout>
                  <c:x val="-1.4802022943135562E-2"/>
                  <c:y val="-0.11067558219967728"/>
                </c:manualLayout>
              </c:layout>
              <c:spPr>
                <a:solidFill>
                  <a:sysClr val="window" lastClr="FFFFFF"/>
                </a:solidFill>
                <a:ln w="9525">
                  <a:solidFill>
                    <a:srgbClr val="156082"/>
                  </a:solidFill>
                </a:ln>
                <a:effectLst/>
              </c:spPr>
              <c:txPr>
                <a:bodyPr rot="0" spcFirstLastPara="1" vertOverflow="clip" horzOverflow="clip" vert="horz" wrap="square" lIns="36576" tIns="18288" rIns="36576" bIns="18288" anchor="ctr" anchorCtr="1">
                  <a:spAutoFit/>
                </a:bodyPr>
                <a:lstStyle/>
                <a:p>
                  <a:pPr>
                    <a:defRPr sz="900" b="0" i="1" u="none" strike="noStrike" kern="1200" baseline="0">
                      <a:solidFill>
                        <a:schemeClr val="tx2"/>
                      </a:solidFill>
                      <a:latin typeface="Cambria" panose="02040503050406030204" pitchFamily="18" charset="0"/>
                      <a:ea typeface="+mn-ea"/>
                      <a:cs typeface="+mn-cs"/>
                    </a:defRPr>
                  </a:pPr>
                  <a:endParaRPr lang="en-SE"/>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0-E59F-0749-993C-3B88C83AE79F}"/>
                </c:ext>
              </c:extLst>
            </c:dLbl>
            <c:dLbl>
              <c:idx val="25"/>
              <c:layout>
                <c:manualLayout>
                  <c:x val="-5.674108794868632E-2"/>
                  <c:y val="-9.2229651833064356E-3"/>
                </c:manualLayout>
              </c:layout>
              <c:spPr>
                <a:solidFill>
                  <a:sysClr val="window" lastClr="FFFFFF"/>
                </a:solidFill>
                <a:ln w="9525">
                  <a:solidFill>
                    <a:srgbClr val="156082"/>
                  </a:solidFill>
                </a:ln>
                <a:effectLst/>
              </c:spPr>
              <c:txPr>
                <a:bodyPr rot="0" spcFirstLastPara="1" vertOverflow="clip" horzOverflow="clip" vert="horz" wrap="square" lIns="36576" tIns="18288" rIns="36576" bIns="18288" anchor="ctr" anchorCtr="1">
                  <a:spAutoFit/>
                </a:bodyPr>
                <a:lstStyle/>
                <a:p>
                  <a:pPr>
                    <a:defRPr sz="900" b="0" i="1" u="none" strike="noStrike" kern="1200" baseline="0">
                      <a:solidFill>
                        <a:schemeClr val="tx2"/>
                      </a:solidFill>
                      <a:latin typeface="Cambria" panose="02040503050406030204" pitchFamily="18" charset="0"/>
                      <a:ea typeface="+mn-ea"/>
                      <a:cs typeface="+mn-cs"/>
                    </a:defRPr>
                  </a:pPr>
                  <a:endParaRPr lang="en-SE"/>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E59F-0749-993C-3B88C83AE79F}"/>
                </c:ext>
              </c:extLst>
            </c:dLbl>
            <c:spPr>
              <a:noFill/>
              <a:ln w="9525">
                <a:solidFill>
                  <a:schemeClr val="accent1"/>
                </a:solidFill>
              </a:ln>
              <a:effectLst/>
            </c:spPr>
            <c:txPr>
              <a:bodyPr rot="0" spcFirstLastPara="1" vertOverflow="ellipsis" vert="horz" wrap="square" anchor="ctr" anchorCtr="1"/>
              <a:lstStyle/>
              <a:p>
                <a:pPr>
                  <a:defRPr sz="900" b="0" i="1" u="none" strike="noStrike" kern="1200" baseline="0">
                    <a:solidFill>
                      <a:schemeClr val="tx2"/>
                    </a:solidFill>
                    <a:latin typeface="Cambria" panose="02040503050406030204" pitchFamily="18" charset="0"/>
                    <a:ea typeface="+mn-ea"/>
                    <a:cs typeface="+mn-cs"/>
                  </a:defRPr>
                </a:pPr>
                <a:endParaRPr lang="en-SE"/>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'Installed capacity prep'!$B$5:$B$30</c:f>
              <c:numCache>
                <c:formatCode>General</c:formatCode>
                <c:ptCount val="26"/>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pt idx="21">
                  <c:v>2017</c:v>
                </c:pt>
                <c:pt idx="22">
                  <c:v>2018</c:v>
                </c:pt>
                <c:pt idx="23">
                  <c:v>2019</c:v>
                </c:pt>
                <c:pt idx="24">
                  <c:v>2020</c:v>
                </c:pt>
                <c:pt idx="25">
                  <c:v>2021</c:v>
                </c:pt>
              </c:numCache>
            </c:numRef>
          </c:cat>
          <c:val>
            <c:numRef>
              <c:f>'Installed capacity prep'!$G$5:$G$30</c:f>
              <c:numCache>
                <c:formatCode>0</c:formatCode>
                <c:ptCount val="26"/>
                <c:pt idx="0">
                  <c:v>105</c:v>
                </c:pt>
                <c:pt idx="1">
                  <c:v>122</c:v>
                </c:pt>
                <c:pt idx="2">
                  <c:v>171</c:v>
                </c:pt>
                <c:pt idx="3">
                  <c:v>212.00000093749986</c:v>
                </c:pt>
                <c:pt idx="4">
                  <c:v>238.00002999985</c:v>
                </c:pt>
                <c:pt idx="5">
                  <c:v>290.00022780385046</c:v>
                </c:pt>
                <c:pt idx="6">
                  <c:v>336.00095984641638</c:v>
                </c:pt>
                <c:pt idx="7">
                  <c:v>396.00292825745407</c:v>
                </c:pt>
                <c:pt idx="8">
                  <c:v>439.00728114982007</c:v>
                </c:pt>
                <c:pt idx="9">
                  <c:v>522.01571525663667</c:v>
                </c:pt>
                <c:pt idx="10">
                  <c:v>577.03056324909937</c:v>
                </c:pt>
                <c:pt idx="11">
                  <c:v>669.05485080527592</c:v>
                </c:pt>
                <c:pt idx="12">
                  <c:v>907.79233404656566</c:v>
                </c:pt>
                <c:pt idx="13">
                  <c:v>1416.8483295441915</c:v>
                </c:pt>
                <c:pt idx="14">
                  <c:v>2019.9326739795592</c:v>
                </c:pt>
                <c:pt idx="15">
                  <c:v>2756.0636810863962</c:v>
                </c:pt>
                <c:pt idx="16">
                  <c:v>3602.272547203142</c:v>
                </c:pt>
                <c:pt idx="17">
                  <c:v>4279.6077120685077</c:v>
                </c:pt>
                <c:pt idx="18">
                  <c:v>5230.1388483100482</c:v>
                </c:pt>
                <c:pt idx="19">
                  <c:v>5839.9606533852266</c:v>
                </c:pt>
                <c:pt idx="20">
                  <c:v>6307.1966910495121</c:v>
                </c:pt>
                <c:pt idx="21">
                  <c:v>6505.0020557437447</c:v>
                </c:pt>
                <c:pt idx="22">
                  <c:v>7222.5634433195137</c:v>
                </c:pt>
                <c:pt idx="23">
                  <c:v>8800.0950368432386</c:v>
                </c:pt>
                <c:pt idx="24">
                  <c:v>9841.828117322133</c:v>
                </c:pt>
                <c:pt idx="25">
                  <c:v>11883.839576167324</c:v>
                </c:pt>
              </c:numCache>
            </c:numRef>
          </c:val>
          <c:smooth val="0"/>
          <c:extLst>
            <c:ext xmlns:c16="http://schemas.microsoft.com/office/drawing/2014/chart" uri="{C3380CC4-5D6E-409C-BE32-E72D297353CC}">
              <c16:uniqueId val="{00000002-E59F-0749-993C-3B88C83AE79F}"/>
            </c:ext>
          </c:extLst>
        </c:ser>
        <c:ser>
          <c:idx val="1"/>
          <c:order val="1"/>
          <c:tx>
            <c:strRef>
              <c:f>'Installed capacity prep'!$H$4</c:f>
              <c:strCache>
                <c:ptCount val="1"/>
                <c:pt idx="0">
                  <c:v>Offshore</c:v>
                </c:pt>
              </c:strCache>
            </c:strRef>
          </c:tx>
          <c:spPr>
            <a:ln w="15875" cap="rnd">
              <a:solidFill>
                <a:schemeClr val="accent2"/>
              </a:solidFill>
              <a:round/>
            </a:ln>
            <a:effectLst/>
          </c:spPr>
          <c:marker>
            <c:symbol val="square"/>
            <c:size val="4"/>
            <c:spPr>
              <a:solidFill>
                <a:schemeClr val="accent2"/>
              </a:solidFill>
              <a:ln w="9525">
                <a:noFill/>
              </a:ln>
              <a:effectLst/>
            </c:spPr>
          </c:marker>
          <c:dLbls>
            <c:dLbl>
              <c:idx val="0"/>
              <c:layout>
                <c:manualLayout>
                  <c:x val="4.9340076477118536E-3"/>
                  <c:y val="-5.5337791099838517E-2"/>
                </c:manualLayout>
              </c:layout>
              <c:spPr>
                <a:solidFill>
                  <a:sysClr val="window" lastClr="FFFFFF"/>
                </a:solidFill>
                <a:ln>
                  <a:solidFill>
                    <a:srgbClr val="E97132"/>
                  </a:solidFill>
                </a:ln>
                <a:effectLst/>
              </c:spPr>
              <c:txPr>
                <a:bodyPr rot="0" spcFirstLastPara="1" vertOverflow="clip" horzOverflow="clip" vert="horz" wrap="square" lIns="36576" tIns="18288" rIns="36576" bIns="18288" anchor="ctr" anchorCtr="1">
                  <a:spAutoFit/>
                </a:bodyPr>
                <a:lstStyle/>
                <a:p>
                  <a:pPr>
                    <a:defRPr sz="900" b="0" i="1" u="none" strike="noStrike" kern="1200" baseline="0">
                      <a:solidFill>
                        <a:schemeClr val="tx2"/>
                      </a:solidFill>
                      <a:latin typeface="Cambria" panose="02040503050406030204" pitchFamily="18" charset="0"/>
                      <a:ea typeface="+mn-ea"/>
                      <a:cs typeface="+mn-cs"/>
                    </a:defRPr>
                  </a:pPr>
                  <a:endParaRPr lang="en-SE"/>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3-E59F-0749-993C-3B88C83AE79F}"/>
                </c:ext>
              </c:extLst>
            </c:dLbl>
            <c:dLbl>
              <c:idx val="25"/>
              <c:layout>
                <c:manualLayout>
                  <c:x val="-8.3333333333335362E-3"/>
                  <c:y val="-6.4814814814814894E-2"/>
                </c:manualLayout>
              </c:layout>
              <c:spPr>
                <a:solidFill>
                  <a:sysClr val="window" lastClr="FFFFFF"/>
                </a:solidFill>
                <a:ln>
                  <a:solidFill>
                    <a:srgbClr val="E97132"/>
                  </a:solidFill>
                </a:ln>
                <a:effectLst/>
              </c:spPr>
              <c:txPr>
                <a:bodyPr rot="0" spcFirstLastPara="1" vertOverflow="clip" horzOverflow="clip" vert="horz" wrap="square" lIns="36576" tIns="18288" rIns="36576" bIns="18288" anchor="ctr" anchorCtr="1">
                  <a:spAutoFit/>
                </a:bodyPr>
                <a:lstStyle/>
                <a:p>
                  <a:pPr>
                    <a:defRPr sz="900" b="0" i="1" u="none" strike="noStrike" kern="1200" baseline="0">
                      <a:solidFill>
                        <a:schemeClr val="tx2"/>
                      </a:solidFill>
                      <a:latin typeface="Cambria" panose="02040503050406030204" pitchFamily="18" charset="0"/>
                      <a:ea typeface="+mn-ea"/>
                      <a:cs typeface="+mn-cs"/>
                    </a:defRPr>
                  </a:pPr>
                  <a:endParaRPr lang="en-SE"/>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4-E59F-0749-993C-3B88C83AE79F}"/>
                </c:ext>
              </c:extLst>
            </c:dLbl>
            <c:spPr>
              <a:noFill/>
              <a:ln>
                <a:solidFill>
                  <a:schemeClr val="accent2"/>
                </a:solidFill>
              </a:ln>
              <a:effectLst/>
            </c:spPr>
            <c:txPr>
              <a:bodyPr rot="0" spcFirstLastPara="1" vertOverflow="ellipsis" vert="horz" wrap="square" anchor="ctr" anchorCtr="1"/>
              <a:lstStyle/>
              <a:p>
                <a:pPr>
                  <a:defRPr sz="900" b="0" i="1" u="none" strike="noStrike" kern="1200" baseline="0">
                    <a:solidFill>
                      <a:schemeClr val="tx2"/>
                    </a:solidFill>
                    <a:latin typeface="Cambria" panose="02040503050406030204" pitchFamily="18" charset="0"/>
                    <a:ea typeface="+mn-ea"/>
                    <a:cs typeface="+mn-cs"/>
                  </a:defRPr>
                </a:pPr>
                <a:endParaRPr lang="en-SE"/>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'Installed capacity prep'!$B$5:$B$30</c:f>
              <c:numCache>
                <c:formatCode>General</c:formatCode>
                <c:ptCount val="26"/>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pt idx="21">
                  <c:v>2017</c:v>
                </c:pt>
                <c:pt idx="22">
                  <c:v>2018</c:v>
                </c:pt>
                <c:pt idx="23">
                  <c:v>2019</c:v>
                </c:pt>
                <c:pt idx="24">
                  <c:v>2020</c:v>
                </c:pt>
                <c:pt idx="25">
                  <c:v>2021</c:v>
                </c:pt>
              </c:numCache>
            </c:numRef>
          </c:cat>
          <c:val>
            <c:numRef>
              <c:f>'Installed capacity prep'!$H$5:$H$30</c:f>
              <c:numCache>
                <c:formatCode>0</c:formatCode>
                <c:ptCount val="26"/>
                <c:pt idx="0">
                  <c:v>0</c:v>
                </c:pt>
                <c:pt idx="1">
                  <c:v>0</c:v>
                </c:pt>
                <c:pt idx="2">
                  <c:v>3</c:v>
                </c:pt>
                <c:pt idx="3">
                  <c:v>2.9999990625001467</c:v>
                </c:pt>
                <c:pt idx="4">
                  <c:v>2.9999700001499994</c:v>
                </c:pt>
                <c:pt idx="5">
                  <c:v>2.9997721961495372</c:v>
                </c:pt>
                <c:pt idx="6">
                  <c:v>2.9990401535836173</c:v>
                </c:pt>
                <c:pt idx="7">
                  <c:v>2.997071742545927</c:v>
                </c:pt>
                <c:pt idx="8">
                  <c:v>2.9927188501799029</c:v>
                </c:pt>
                <c:pt idx="9">
                  <c:v>2.9842847433632831</c:v>
                </c:pt>
                <c:pt idx="10">
                  <c:v>2.9694367509006678</c:v>
                </c:pt>
                <c:pt idx="11">
                  <c:v>110.94514919472412</c:v>
                </c:pt>
                <c:pt idx="12">
                  <c:v>113.2076659534343</c:v>
                </c:pt>
                <c:pt idx="13">
                  <c:v>143.15167045580841</c:v>
                </c:pt>
                <c:pt idx="14">
                  <c:v>143.06732602044085</c:v>
                </c:pt>
                <c:pt idx="15">
                  <c:v>142.9363189136036</c:v>
                </c:pt>
                <c:pt idx="16">
                  <c:v>142.72745279685807</c:v>
                </c:pt>
                <c:pt idx="17">
                  <c:v>190.39228793149206</c:v>
                </c:pt>
                <c:pt idx="18">
                  <c:v>189.8611516899521</c:v>
                </c:pt>
                <c:pt idx="19">
                  <c:v>189.03934661477331</c:v>
                </c:pt>
                <c:pt idx="20">
                  <c:v>187.80330895048792</c:v>
                </c:pt>
                <c:pt idx="21">
                  <c:v>185.99794425625538</c:v>
                </c:pt>
                <c:pt idx="22">
                  <c:v>183.43655668048632</c:v>
                </c:pt>
                <c:pt idx="23">
                  <c:v>179.90496315676137</c:v>
                </c:pt>
                <c:pt idx="24">
                  <c:v>175.17188267786693</c:v>
                </c:pt>
                <c:pt idx="25">
                  <c:v>190.16042383267632</c:v>
                </c:pt>
              </c:numCache>
            </c:numRef>
          </c:val>
          <c:smooth val="0"/>
          <c:extLst>
            <c:ext xmlns:c16="http://schemas.microsoft.com/office/drawing/2014/chart" uri="{C3380CC4-5D6E-409C-BE32-E72D297353CC}">
              <c16:uniqueId val="{00000005-E59F-0749-993C-3B88C83AE79F}"/>
            </c:ext>
          </c:extLst>
        </c:ser>
        <c:dLbls>
          <c:showLegendKey val="0"/>
          <c:showVal val="0"/>
          <c:showCatName val="0"/>
          <c:showSerName val="0"/>
          <c:showPercent val="0"/>
          <c:showBubbleSize val="0"/>
        </c:dLbls>
        <c:marker val="1"/>
        <c:smooth val="0"/>
        <c:axId val="1513857167"/>
        <c:axId val="1582205359"/>
      </c:lineChart>
      <c:catAx>
        <c:axId val="15138571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1" u="none" strike="noStrike" kern="1200" baseline="0">
                <a:solidFill>
                  <a:schemeClr val="tx2"/>
                </a:solidFill>
                <a:latin typeface="Cambria" panose="02040503050406030204" pitchFamily="18" charset="0"/>
                <a:ea typeface="+mn-ea"/>
                <a:cs typeface="+mn-cs"/>
              </a:defRPr>
            </a:pPr>
            <a:endParaRPr lang="en-SE"/>
          </a:p>
        </c:txPr>
        <c:crossAx val="1582205359"/>
        <c:crosses val="autoZero"/>
        <c:auto val="1"/>
        <c:lblAlgn val="ctr"/>
        <c:lblOffset val="100"/>
        <c:noMultiLvlLbl val="0"/>
      </c:catAx>
      <c:valAx>
        <c:axId val="1582205359"/>
        <c:scaling>
          <c:orientation val="minMax"/>
          <c:max val="12000"/>
        </c:scaling>
        <c:delete val="0"/>
        <c:axPos val="l"/>
        <c:title>
          <c:tx>
            <c:rich>
              <a:bodyPr rot="-5400000" spcFirstLastPara="1" vertOverflow="ellipsis" vert="horz" wrap="square" anchor="ctr" anchorCtr="1"/>
              <a:lstStyle/>
              <a:p>
                <a:pPr>
                  <a:defRPr sz="900" b="0" i="1" u="none" strike="noStrike" kern="1200" baseline="0">
                    <a:solidFill>
                      <a:schemeClr val="tx2"/>
                    </a:solidFill>
                    <a:latin typeface="Cambria" panose="02040503050406030204" pitchFamily="18" charset="0"/>
                    <a:ea typeface="+mn-ea"/>
                    <a:cs typeface="+mn-cs"/>
                  </a:defRPr>
                </a:pPr>
                <a:r>
                  <a:rPr lang="en-GB"/>
                  <a:t>Cumulative installed capacity [MW]</a:t>
                </a:r>
              </a:p>
            </c:rich>
          </c:tx>
          <c:overlay val="0"/>
          <c:spPr>
            <a:noFill/>
            <a:ln>
              <a:noFill/>
            </a:ln>
            <a:effectLst/>
          </c:spPr>
          <c:txPr>
            <a:bodyPr rot="-5400000" spcFirstLastPara="1" vertOverflow="ellipsis" vert="horz" wrap="square" anchor="ctr" anchorCtr="1"/>
            <a:lstStyle/>
            <a:p>
              <a:pPr>
                <a:defRPr sz="900" b="0" i="1" u="none" strike="noStrike" kern="1200" baseline="0">
                  <a:solidFill>
                    <a:schemeClr val="tx2"/>
                  </a:solidFill>
                  <a:latin typeface="Cambria" panose="02040503050406030204" pitchFamily="18" charset="0"/>
                  <a:ea typeface="+mn-ea"/>
                  <a:cs typeface="+mn-cs"/>
                </a:defRPr>
              </a:pPr>
              <a:endParaRPr lang="en-SE"/>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1" u="none" strike="noStrike" kern="1200" baseline="0">
                <a:solidFill>
                  <a:schemeClr val="tx2"/>
                </a:solidFill>
                <a:latin typeface="Cambria" panose="02040503050406030204" pitchFamily="18" charset="0"/>
                <a:ea typeface="+mn-ea"/>
                <a:cs typeface="+mn-cs"/>
              </a:defRPr>
            </a:pPr>
            <a:endParaRPr lang="en-SE"/>
          </a:p>
        </c:txPr>
        <c:crossAx val="1513857167"/>
        <c:crosses val="autoZero"/>
        <c:crossBetween val="between"/>
      </c:valAx>
      <c:spPr>
        <a:noFill/>
        <a:ln>
          <a:noFill/>
        </a:ln>
        <a:effectLst/>
      </c:spPr>
    </c:plotArea>
    <c:legend>
      <c:legendPos val="b"/>
      <c:layout>
        <c:manualLayout>
          <c:xMode val="edge"/>
          <c:yMode val="edge"/>
          <c:x val="0.31669331549925028"/>
          <c:y val="0.90797957560090881"/>
          <c:w val="0.36661315736285549"/>
          <c:h val="9.2020424399091166E-2"/>
        </c:manualLayout>
      </c:layout>
      <c:overlay val="0"/>
      <c:spPr>
        <a:noFill/>
        <a:ln>
          <a:noFill/>
        </a:ln>
        <a:effectLst/>
      </c:spPr>
      <c:txPr>
        <a:bodyPr rot="0" spcFirstLastPara="1" vertOverflow="ellipsis" vert="horz" wrap="square" anchor="ctr" anchorCtr="1"/>
        <a:lstStyle/>
        <a:p>
          <a:pPr>
            <a:defRPr sz="900" b="0" i="1" u="none" strike="noStrike" kern="1200" baseline="0">
              <a:solidFill>
                <a:schemeClr val="tx2"/>
              </a:solidFill>
              <a:latin typeface="Cambria" panose="02040503050406030204" pitchFamily="18" charset="0"/>
              <a:ea typeface="+mn-ea"/>
              <a:cs typeface="+mn-cs"/>
            </a:defRPr>
          </a:pPr>
          <a:endParaRPr lang="en-S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i="1">
          <a:solidFill>
            <a:schemeClr val="tx2"/>
          </a:solidFill>
          <a:latin typeface="Cambria" panose="02040503050406030204" pitchFamily="18" charset="0"/>
        </a:defRPr>
      </a:pPr>
      <a:endParaRPr lang="en-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650043744531934"/>
          <c:y val="3.8828097423226259E-2"/>
          <c:w val="0.80424030329542129"/>
          <c:h val="0.73406421368989472"/>
        </c:manualLayout>
      </c:layout>
      <c:lineChart>
        <c:grouping val="standard"/>
        <c:varyColors val="0"/>
        <c:ser>
          <c:idx val="0"/>
          <c:order val="0"/>
          <c:tx>
            <c:strRef>
              <c:f>'Installed capacity prep'!$L$3</c:f>
              <c:strCache>
                <c:ptCount val="1"/>
                <c:pt idx="0">
                  <c:v>off-grid</c:v>
                </c:pt>
              </c:strCache>
            </c:strRef>
          </c:tx>
          <c:spPr>
            <a:ln w="15875" cap="rnd">
              <a:solidFill>
                <a:schemeClr val="accent1"/>
              </a:solidFill>
              <a:round/>
            </a:ln>
            <a:effectLst/>
          </c:spPr>
          <c:marker>
            <c:symbol val="triangle"/>
            <c:size val="5"/>
            <c:spPr>
              <a:solidFill>
                <a:schemeClr val="accent1"/>
              </a:solidFill>
              <a:ln w="9525">
                <a:noFill/>
              </a:ln>
              <a:effectLst/>
            </c:spPr>
          </c:marker>
          <c:dLbls>
            <c:dLbl>
              <c:idx val="0"/>
              <c:layout>
                <c:manualLayout>
                  <c:x val="-3.7037037037037035E-2"/>
                  <c:y val="-0.22135023300658854"/>
                </c:manualLayout>
              </c:layout>
              <c:spPr>
                <a:solidFill>
                  <a:sysClr val="window" lastClr="FFFFFF"/>
                </a:solidFill>
                <a:ln>
                  <a:solidFill>
                    <a:srgbClr val="156082"/>
                  </a:solidFill>
                </a:ln>
                <a:effectLst/>
              </c:spPr>
              <c:txPr>
                <a:bodyPr rot="0" spcFirstLastPara="1" vertOverflow="clip" horzOverflow="clip" vert="horz" wrap="square" lIns="36576" tIns="18288" rIns="36576" bIns="18288" anchor="ctr" anchorCtr="1">
                  <a:spAutoFit/>
                </a:bodyPr>
                <a:lstStyle/>
                <a:p>
                  <a:pPr>
                    <a:defRPr sz="900" b="0" i="1" u="none" strike="noStrike" kern="1200" baseline="0">
                      <a:solidFill>
                        <a:schemeClr val="tx2"/>
                      </a:solidFill>
                      <a:latin typeface="Cambria" panose="02040503050406030204" pitchFamily="18" charset="0"/>
                      <a:ea typeface="+mn-ea"/>
                      <a:cs typeface="+mn-cs"/>
                    </a:defRPr>
                  </a:pPr>
                  <a:endParaRPr lang="en-SE"/>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0-2B36-2E4B-AA4C-C7FEC98009E7}"/>
                </c:ext>
              </c:extLst>
            </c:dLbl>
            <c:dLbl>
              <c:idx val="25"/>
              <c:layout>
                <c:manualLayout>
                  <c:x val="-6.172936716243799E-3"/>
                  <c:y val="-3.9233851038412634E-2"/>
                </c:manualLayout>
              </c:layout>
              <c:numFmt formatCode="0" sourceLinked="0"/>
              <c:spPr>
                <a:solidFill>
                  <a:sysClr val="window" lastClr="FFFFFF"/>
                </a:solidFill>
                <a:ln>
                  <a:solidFill>
                    <a:srgbClr val="156082"/>
                  </a:solidFill>
                </a:ln>
                <a:effectLst/>
              </c:spPr>
              <c:txPr>
                <a:bodyPr rot="0" spcFirstLastPara="1" vertOverflow="clip" horzOverflow="clip" vert="horz" wrap="square" lIns="36576" tIns="18288" rIns="36576" bIns="18288" anchor="ctr" anchorCtr="1">
                  <a:spAutoFit/>
                </a:bodyPr>
                <a:lstStyle/>
                <a:p>
                  <a:pPr>
                    <a:defRPr sz="900" b="0" i="1" u="none" strike="noStrike" kern="1200" baseline="0">
                      <a:solidFill>
                        <a:schemeClr val="tx2"/>
                      </a:solidFill>
                      <a:latin typeface="Cambria" panose="02040503050406030204" pitchFamily="18" charset="0"/>
                      <a:ea typeface="+mn-ea"/>
                      <a:cs typeface="+mn-cs"/>
                    </a:defRPr>
                  </a:pPr>
                  <a:endParaRPr lang="en-SE"/>
                </a:p>
              </c:txPr>
              <c:dLblPos val="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5.6921940313016429E-2"/>
                      <c:h val="4.366271663538019E-2"/>
                    </c:manualLayout>
                  </c15:layout>
                </c:ext>
                <c:ext xmlns:c16="http://schemas.microsoft.com/office/drawing/2014/chart" uri="{C3380CC4-5D6E-409C-BE32-E72D297353CC}">
                  <c16:uniqueId val="{00000001-2B36-2E4B-AA4C-C7FEC98009E7}"/>
                </c:ext>
              </c:extLst>
            </c:dLbl>
            <c:spPr>
              <a:noFill/>
              <a:ln>
                <a:solidFill>
                  <a:schemeClr val="accent1"/>
                </a:solidFill>
              </a:ln>
              <a:effectLst/>
            </c:spPr>
            <c:txPr>
              <a:bodyPr rot="0" spcFirstLastPara="1" vertOverflow="ellipsis" vert="horz" wrap="square" anchor="ctr" anchorCtr="1"/>
              <a:lstStyle/>
              <a:p>
                <a:pPr>
                  <a:defRPr sz="900" b="0" i="1" u="none" strike="noStrike" kern="1200" baseline="0">
                    <a:solidFill>
                      <a:schemeClr val="tx2"/>
                    </a:solidFill>
                    <a:latin typeface="Cambria" panose="02040503050406030204" pitchFamily="18" charset="0"/>
                    <a:ea typeface="+mn-ea"/>
                    <a:cs typeface="+mn-cs"/>
                  </a:defRPr>
                </a:pPr>
                <a:endParaRPr lang="en-SE"/>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'Installed capacity prep'!$B$5:$B$30</c:f>
              <c:numCache>
                <c:formatCode>General</c:formatCode>
                <c:ptCount val="26"/>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pt idx="21">
                  <c:v>2017</c:v>
                </c:pt>
                <c:pt idx="22">
                  <c:v>2018</c:v>
                </c:pt>
                <c:pt idx="23">
                  <c:v>2019</c:v>
                </c:pt>
                <c:pt idx="24">
                  <c:v>2020</c:v>
                </c:pt>
                <c:pt idx="25">
                  <c:v>2021</c:v>
                </c:pt>
              </c:numCache>
            </c:numRef>
          </c:cat>
          <c:val>
            <c:numRef>
              <c:f>'Installed capacity prep'!$L$4:$L$29</c:f>
              <c:numCache>
                <c:formatCode>0.00</c:formatCode>
                <c:ptCount val="26"/>
                <c:pt idx="0">
                  <c:v>1.82</c:v>
                </c:pt>
                <c:pt idx="1">
                  <c:v>2.0300000000000002</c:v>
                </c:pt>
                <c:pt idx="2">
                  <c:v>2.2600000000000002</c:v>
                </c:pt>
                <c:pt idx="3">
                  <c:v>2.46</c:v>
                </c:pt>
                <c:pt idx="4">
                  <c:v>2.6799999999999997</c:v>
                </c:pt>
                <c:pt idx="5">
                  <c:v>2.88</c:v>
                </c:pt>
                <c:pt idx="6">
                  <c:v>3.1399999999999997</c:v>
                </c:pt>
                <c:pt idx="7">
                  <c:v>3.39</c:v>
                </c:pt>
                <c:pt idx="8">
                  <c:v>3.67</c:v>
                </c:pt>
                <c:pt idx="9">
                  <c:v>3.9800000000000004</c:v>
                </c:pt>
                <c:pt idx="10">
                  <c:v>4.3000000000000007</c:v>
                </c:pt>
                <c:pt idx="11">
                  <c:v>4.57</c:v>
                </c:pt>
                <c:pt idx="12">
                  <c:v>4.83</c:v>
                </c:pt>
                <c:pt idx="13">
                  <c:v>4.9700000000000006</c:v>
                </c:pt>
                <c:pt idx="14">
                  <c:v>5.3400000000000007</c:v>
                </c:pt>
                <c:pt idx="15">
                  <c:v>5.7799999999999994</c:v>
                </c:pt>
                <c:pt idx="16">
                  <c:v>6.3800000000000008</c:v>
                </c:pt>
                <c:pt idx="17">
                  <c:v>7.3500000000000014</c:v>
                </c:pt>
                <c:pt idx="18">
                  <c:v>8.1899999999999977</c:v>
                </c:pt>
                <c:pt idx="19">
                  <c:v>9.1500000000000057</c:v>
                </c:pt>
                <c:pt idx="20">
                  <c:v>10.439999999999998</c:v>
                </c:pt>
                <c:pt idx="21">
                  <c:v>12.28000000000003</c:v>
                </c:pt>
                <c:pt idx="22">
                  <c:v>14.900000000000034</c:v>
                </c:pt>
                <c:pt idx="23">
                  <c:v>15.819999999999936</c:v>
                </c:pt>
                <c:pt idx="24">
                  <c:v>17.199999999999818</c:v>
                </c:pt>
                <c:pt idx="25">
                  <c:v>18.8900000000001</c:v>
                </c:pt>
              </c:numCache>
            </c:numRef>
          </c:val>
          <c:smooth val="0"/>
          <c:extLst>
            <c:ext xmlns:c16="http://schemas.microsoft.com/office/drawing/2014/chart" uri="{C3380CC4-5D6E-409C-BE32-E72D297353CC}">
              <c16:uniqueId val="{00000002-2B36-2E4B-AA4C-C7FEC98009E7}"/>
            </c:ext>
          </c:extLst>
        </c:ser>
        <c:ser>
          <c:idx val="1"/>
          <c:order val="1"/>
          <c:tx>
            <c:strRef>
              <c:f>'Installed capacity prep'!$M$3</c:f>
              <c:strCache>
                <c:ptCount val="1"/>
                <c:pt idx="0">
                  <c:v>grid-connected distributed</c:v>
                </c:pt>
              </c:strCache>
            </c:strRef>
          </c:tx>
          <c:spPr>
            <a:ln w="15875" cap="rnd">
              <a:solidFill>
                <a:schemeClr val="accent2"/>
              </a:solidFill>
              <a:round/>
            </a:ln>
            <a:effectLst/>
          </c:spPr>
          <c:marker>
            <c:symbol val="square"/>
            <c:size val="4"/>
            <c:spPr>
              <a:solidFill>
                <a:schemeClr val="accent2"/>
              </a:solidFill>
              <a:ln w="9525">
                <a:noFill/>
              </a:ln>
              <a:effectLst/>
            </c:spPr>
          </c:marker>
          <c:dLbls>
            <c:dLbl>
              <c:idx val="0"/>
              <c:layout>
                <c:manualLayout>
                  <c:x val="4.9382716049382715E-3"/>
                  <c:y val="-0.1510424107328977"/>
                </c:manualLayout>
              </c:layout>
              <c:spPr>
                <a:solidFill>
                  <a:sysClr val="window" lastClr="FFFFFF"/>
                </a:solidFill>
                <a:ln>
                  <a:solidFill>
                    <a:srgbClr val="E97132"/>
                  </a:solidFill>
                </a:ln>
                <a:effectLst/>
              </c:spPr>
              <c:txPr>
                <a:bodyPr rot="0" spcFirstLastPara="1" vertOverflow="clip" horzOverflow="clip" vert="horz" wrap="square" lIns="36576" tIns="18288" rIns="36576" bIns="18288" anchor="ctr" anchorCtr="1">
                  <a:spAutoFit/>
                </a:bodyPr>
                <a:lstStyle/>
                <a:p>
                  <a:pPr>
                    <a:defRPr sz="900" b="0" i="1" u="none" strike="noStrike" kern="1200" baseline="0">
                      <a:solidFill>
                        <a:schemeClr val="tx2"/>
                      </a:solidFill>
                      <a:latin typeface="Cambria" panose="02040503050406030204" pitchFamily="18" charset="0"/>
                      <a:ea typeface="+mn-ea"/>
                      <a:cs typeface="+mn-cs"/>
                    </a:defRPr>
                  </a:pPr>
                  <a:endParaRPr lang="en-SE"/>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3-2B36-2E4B-AA4C-C7FEC98009E7}"/>
                </c:ext>
              </c:extLst>
            </c:dLbl>
            <c:dLbl>
              <c:idx val="25"/>
              <c:numFmt formatCode="0" sourceLinked="0"/>
              <c:spPr>
                <a:solidFill>
                  <a:sysClr val="window" lastClr="FFFFFF"/>
                </a:solidFill>
                <a:ln>
                  <a:solidFill>
                    <a:srgbClr val="E97132"/>
                  </a:solidFill>
                </a:ln>
                <a:effectLst/>
              </c:spPr>
              <c:txPr>
                <a:bodyPr rot="0" spcFirstLastPara="1" vertOverflow="clip" horzOverflow="clip" vert="horz" wrap="square" lIns="36576" tIns="18288" rIns="36576" bIns="18288" anchor="ctr" anchorCtr="1">
                  <a:spAutoFit/>
                </a:bodyPr>
                <a:lstStyle/>
                <a:p>
                  <a:pPr>
                    <a:defRPr sz="900" b="0" i="1" u="none" strike="noStrike" kern="1200" baseline="0">
                      <a:solidFill>
                        <a:schemeClr val="tx2"/>
                      </a:solidFill>
                      <a:latin typeface="Cambria" panose="02040503050406030204" pitchFamily="18" charset="0"/>
                      <a:ea typeface="+mn-ea"/>
                      <a:cs typeface="+mn-cs"/>
                    </a:defRPr>
                  </a:pPr>
                  <a:endParaRPr lang="en-SE"/>
                </a:p>
              </c:txPr>
              <c:dLblPos val="l"/>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4-2B36-2E4B-AA4C-C7FEC98009E7}"/>
                </c:ext>
              </c:extLst>
            </c:dLbl>
            <c:spPr>
              <a:noFill/>
              <a:ln>
                <a:solidFill>
                  <a:schemeClr val="accent2"/>
                </a:solidFill>
              </a:ln>
              <a:effectLst/>
            </c:spPr>
            <c:txPr>
              <a:bodyPr rot="0" spcFirstLastPara="1" vertOverflow="ellipsis" vert="horz" wrap="square" anchor="ctr" anchorCtr="1"/>
              <a:lstStyle/>
              <a:p>
                <a:pPr>
                  <a:defRPr sz="900" b="0" i="1" u="none" strike="noStrike" kern="1200" baseline="0">
                    <a:solidFill>
                      <a:schemeClr val="tx2"/>
                    </a:solidFill>
                    <a:latin typeface="Cambria" panose="02040503050406030204" pitchFamily="18" charset="0"/>
                    <a:ea typeface="+mn-ea"/>
                    <a:cs typeface="+mn-cs"/>
                  </a:defRPr>
                </a:pPr>
                <a:endParaRPr lang="en-SE"/>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'Installed capacity prep'!$B$5:$B$30</c:f>
              <c:numCache>
                <c:formatCode>General</c:formatCode>
                <c:ptCount val="26"/>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pt idx="21">
                  <c:v>2017</c:v>
                </c:pt>
                <c:pt idx="22">
                  <c:v>2018</c:v>
                </c:pt>
                <c:pt idx="23">
                  <c:v>2019</c:v>
                </c:pt>
                <c:pt idx="24">
                  <c:v>2020</c:v>
                </c:pt>
                <c:pt idx="25">
                  <c:v>2021</c:v>
                </c:pt>
              </c:numCache>
            </c:numRef>
          </c:cat>
          <c:val>
            <c:numRef>
              <c:f>'Installed capacity prep'!$M$4:$M$29</c:f>
              <c:numCache>
                <c:formatCode>0.00</c:formatCode>
                <c:ptCount val="26"/>
                <c:pt idx="0">
                  <c:v>0.03</c:v>
                </c:pt>
                <c:pt idx="1">
                  <c:v>0.09</c:v>
                </c:pt>
                <c:pt idx="2">
                  <c:v>0.11</c:v>
                </c:pt>
                <c:pt idx="3">
                  <c:v>0.12</c:v>
                </c:pt>
                <c:pt idx="4">
                  <c:v>0.12</c:v>
                </c:pt>
                <c:pt idx="5">
                  <c:v>0.15</c:v>
                </c:pt>
                <c:pt idx="6">
                  <c:v>0.16</c:v>
                </c:pt>
                <c:pt idx="7">
                  <c:v>0.19</c:v>
                </c:pt>
                <c:pt idx="8">
                  <c:v>0.19</c:v>
                </c:pt>
                <c:pt idx="9">
                  <c:v>0.25</c:v>
                </c:pt>
                <c:pt idx="10">
                  <c:v>0.56000000000000005</c:v>
                </c:pt>
                <c:pt idx="11">
                  <c:v>1.68</c:v>
                </c:pt>
                <c:pt idx="12">
                  <c:v>3.08</c:v>
                </c:pt>
                <c:pt idx="13">
                  <c:v>3.54</c:v>
                </c:pt>
                <c:pt idx="14">
                  <c:v>5.12</c:v>
                </c:pt>
                <c:pt idx="15">
                  <c:v>8.4700000000000006</c:v>
                </c:pt>
                <c:pt idx="16">
                  <c:v>14.92</c:v>
                </c:pt>
                <c:pt idx="17">
                  <c:v>32.14</c:v>
                </c:pt>
                <c:pt idx="18">
                  <c:v>63.81</c:v>
                </c:pt>
                <c:pt idx="19">
                  <c:v>109.19</c:v>
                </c:pt>
                <c:pt idx="20">
                  <c:v>165.17</c:v>
                </c:pt>
                <c:pt idx="21">
                  <c:v>244.18</c:v>
                </c:pt>
                <c:pt idx="22">
                  <c:v>390.15</c:v>
                </c:pt>
                <c:pt idx="23">
                  <c:v>655.86</c:v>
                </c:pt>
                <c:pt idx="24">
                  <c:v>1007.82</c:v>
                </c:pt>
                <c:pt idx="25">
                  <c:v>1453.33</c:v>
                </c:pt>
              </c:numCache>
            </c:numRef>
          </c:val>
          <c:smooth val="0"/>
          <c:extLst>
            <c:ext xmlns:c16="http://schemas.microsoft.com/office/drawing/2014/chart" uri="{C3380CC4-5D6E-409C-BE32-E72D297353CC}">
              <c16:uniqueId val="{00000005-2B36-2E4B-AA4C-C7FEC98009E7}"/>
            </c:ext>
          </c:extLst>
        </c:ser>
        <c:ser>
          <c:idx val="2"/>
          <c:order val="2"/>
          <c:tx>
            <c:strRef>
              <c:f>'Installed capacity prep'!$N$3</c:f>
              <c:strCache>
                <c:ptCount val="1"/>
                <c:pt idx="0">
                  <c:v>grid-connected centralised</c:v>
                </c:pt>
              </c:strCache>
            </c:strRef>
          </c:tx>
          <c:spPr>
            <a:ln w="15875" cap="rnd">
              <a:solidFill>
                <a:srgbClr val="FFC000"/>
              </a:solidFill>
              <a:round/>
            </a:ln>
            <a:effectLst/>
          </c:spPr>
          <c:marker>
            <c:symbol val="circle"/>
            <c:size val="4"/>
            <c:spPr>
              <a:solidFill>
                <a:srgbClr val="FFC000"/>
              </a:solidFill>
              <a:ln w="9525">
                <a:noFill/>
              </a:ln>
              <a:effectLst/>
            </c:spPr>
          </c:marker>
          <c:dLbls>
            <c:dLbl>
              <c:idx val="0"/>
              <c:layout>
                <c:manualLayout>
                  <c:x val="3.7037037037037035E-2"/>
                  <c:y val="-7.7750138274720604E-2"/>
                </c:manualLayout>
              </c:layout>
              <c:spPr>
                <a:solidFill>
                  <a:sysClr val="window" lastClr="FFFFFF"/>
                </a:solidFill>
                <a:ln>
                  <a:solidFill>
                    <a:srgbClr val="196B24"/>
                  </a:solidFill>
                </a:ln>
                <a:effectLst/>
              </c:spPr>
              <c:txPr>
                <a:bodyPr rot="0" spcFirstLastPara="1" vertOverflow="clip" horzOverflow="clip" vert="horz" wrap="square" lIns="36576" tIns="18288" rIns="36576" bIns="18288" anchor="ctr" anchorCtr="1">
                  <a:spAutoFit/>
                </a:bodyPr>
                <a:lstStyle/>
                <a:p>
                  <a:pPr>
                    <a:defRPr sz="900" b="0" i="1" u="none" strike="noStrike" kern="1200" baseline="0">
                      <a:solidFill>
                        <a:schemeClr val="tx2"/>
                      </a:solidFill>
                      <a:latin typeface="Cambria" panose="02040503050406030204" pitchFamily="18" charset="0"/>
                      <a:ea typeface="+mn-ea"/>
                      <a:cs typeface="+mn-cs"/>
                    </a:defRPr>
                  </a:pPr>
                  <a:endParaRPr lang="en-SE"/>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6-2B36-2E4B-AA4C-C7FEC98009E7}"/>
                </c:ext>
              </c:extLst>
            </c:dLbl>
            <c:dLbl>
              <c:idx val="25"/>
              <c:layout>
                <c:manualLayout>
                  <c:x val="-8.8305628463108785E-2"/>
                  <c:y val="-2.5862068965517241E-2"/>
                </c:manualLayout>
              </c:layout>
              <c:numFmt formatCode="#,##0" sourceLinked="0"/>
              <c:spPr>
                <a:solidFill>
                  <a:sysClr val="window" lastClr="FFFFFF"/>
                </a:solidFill>
                <a:ln>
                  <a:solidFill>
                    <a:srgbClr val="196B24"/>
                  </a:solidFill>
                </a:ln>
                <a:effectLst/>
              </c:spPr>
              <c:txPr>
                <a:bodyPr rot="0" spcFirstLastPara="1" vertOverflow="clip" horzOverflow="clip" vert="horz" wrap="square" lIns="36576" tIns="18288" rIns="36576" bIns="18288" anchor="ctr" anchorCtr="1">
                  <a:spAutoFit/>
                </a:bodyPr>
                <a:lstStyle/>
                <a:p>
                  <a:pPr>
                    <a:defRPr sz="900" b="0" i="1" u="none" strike="noStrike" kern="1200" baseline="0">
                      <a:solidFill>
                        <a:schemeClr val="tx2"/>
                      </a:solidFill>
                      <a:latin typeface="Cambria" panose="02040503050406030204" pitchFamily="18" charset="0"/>
                      <a:ea typeface="+mn-ea"/>
                      <a:cs typeface="+mn-cs"/>
                    </a:defRPr>
                  </a:pPr>
                  <a:endParaRPr lang="en-SE"/>
                </a:p>
              </c:txPr>
              <c:dLblPos val="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7-2B36-2E4B-AA4C-C7FEC98009E7}"/>
                </c:ext>
              </c:extLst>
            </c:dLbl>
            <c:spPr>
              <a:noFill/>
              <a:ln>
                <a:solidFill>
                  <a:schemeClr val="accent3"/>
                </a:solidFill>
              </a:ln>
              <a:effectLst/>
            </c:spPr>
            <c:txPr>
              <a:bodyPr rot="0" spcFirstLastPara="1" vertOverflow="ellipsis" vert="horz" wrap="square" anchor="ctr" anchorCtr="1"/>
              <a:lstStyle/>
              <a:p>
                <a:pPr>
                  <a:defRPr sz="900" b="0" i="1" u="none" strike="noStrike" kern="1200" baseline="0">
                    <a:solidFill>
                      <a:schemeClr val="tx2"/>
                    </a:solidFill>
                    <a:latin typeface="Cambria" panose="02040503050406030204" pitchFamily="18" charset="0"/>
                    <a:ea typeface="+mn-ea"/>
                    <a:cs typeface="+mn-cs"/>
                  </a:defRPr>
                </a:pPr>
                <a:endParaRPr lang="en-SE"/>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'Installed capacity prep'!$B$5:$B$30</c:f>
              <c:numCache>
                <c:formatCode>General</c:formatCode>
                <c:ptCount val="26"/>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pt idx="21">
                  <c:v>2017</c:v>
                </c:pt>
                <c:pt idx="22">
                  <c:v>2018</c:v>
                </c:pt>
                <c:pt idx="23">
                  <c:v>2019</c:v>
                </c:pt>
                <c:pt idx="24">
                  <c:v>2020</c:v>
                </c:pt>
                <c:pt idx="25">
                  <c:v>2021</c:v>
                </c:pt>
              </c:numCache>
            </c:numRef>
          </c:cat>
          <c:val>
            <c:numRef>
              <c:f>'Installed capacity prep'!$N$4:$N$29</c:f>
              <c:numCache>
                <c:formatCode>General</c:formatCode>
                <c:ptCount val="26"/>
                <c:pt idx="0">
                  <c:v>0</c:v>
                </c:pt>
                <c:pt idx="1">
                  <c:v>0</c:v>
                </c:pt>
                <c:pt idx="2">
                  <c:v>0</c:v>
                </c:pt>
                <c:pt idx="3">
                  <c:v>0</c:v>
                </c:pt>
                <c:pt idx="4">
                  <c:v>0</c:v>
                </c:pt>
                <c:pt idx="5">
                  <c:v>0</c:v>
                </c:pt>
                <c:pt idx="6">
                  <c:v>0</c:v>
                </c:pt>
                <c:pt idx="7">
                  <c:v>0</c:v>
                </c:pt>
                <c:pt idx="8">
                  <c:v>0</c:v>
                </c:pt>
                <c:pt idx="9">
                  <c:v>0</c:v>
                </c:pt>
                <c:pt idx="10">
                  <c:v>0</c:v>
                </c:pt>
                <c:pt idx="11">
                  <c:v>0</c:v>
                </c:pt>
                <c:pt idx="12">
                  <c:v>0</c:v>
                </c:pt>
                <c:pt idx="13">
                  <c:v>0.06</c:v>
                </c:pt>
                <c:pt idx="14">
                  <c:v>0.25</c:v>
                </c:pt>
                <c:pt idx="15">
                  <c:v>0.28000000000000003</c:v>
                </c:pt>
                <c:pt idx="16">
                  <c:v>0.89</c:v>
                </c:pt>
                <c:pt idx="17">
                  <c:v>1.37</c:v>
                </c:pt>
                <c:pt idx="18">
                  <c:v>2.95</c:v>
                </c:pt>
                <c:pt idx="19">
                  <c:v>4.3</c:v>
                </c:pt>
                <c:pt idx="20">
                  <c:v>7.12</c:v>
                </c:pt>
                <c:pt idx="21">
                  <c:v>11.64</c:v>
                </c:pt>
                <c:pt idx="22">
                  <c:v>20.09</c:v>
                </c:pt>
                <c:pt idx="23">
                  <c:v>35.07</c:v>
                </c:pt>
                <c:pt idx="24">
                  <c:v>81.58</c:v>
                </c:pt>
                <c:pt idx="25">
                  <c:v>133.84</c:v>
                </c:pt>
              </c:numCache>
            </c:numRef>
          </c:val>
          <c:smooth val="0"/>
          <c:extLst>
            <c:ext xmlns:c16="http://schemas.microsoft.com/office/drawing/2014/chart" uri="{C3380CC4-5D6E-409C-BE32-E72D297353CC}">
              <c16:uniqueId val="{00000008-2B36-2E4B-AA4C-C7FEC98009E7}"/>
            </c:ext>
          </c:extLst>
        </c:ser>
        <c:dLbls>
          <c:showLegendKey val="0"/>
          <c:showVal val="0"/>
          <c:showCatName val="0"/>
          <c:showSerName val="0"/>
          <c:showPercent val="0"/>
          <c:showBubbleSize val="0"/>
        </c:dLbls>
        <c:marker val="1"/>
        <c:smooth val="0"/>
        <c:axId val="1977855615"/>
        <c:axId val="2088081871"/>
      </c:lineChart>
      <c:catAx>
        <c:axId val="19778556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1" u="none" strike="noStrike" kern="1200" baseline="0">
                <a:solidFill>
                  <a:schemeClr val="tx2"/>
                </a:solidFill>
                <a:latin typeface="Cambria" panose="02040503050406030204" pitchFamily="18" charset="0"/>
                <a:ea typeface="+mn-ea"/>
                <a:cs typeface="+mn-cs"/>
              </a:defRPr>
            </a:pPr>
            <a:endParaRPr lang="en-SE"/>
          </a:p>
        </c:txPr>
        <c:crossAx val="2088081871"/>
        <c:crosses val="autoZero"/>
        <c:auto val="1"/>
        <c:lblAlgn val="ctr"/>
        <c:lblOffset val="100"/>
        <c:noMultiLvlLbl val="0"/>
      </c:catAx>
      <c:valAx>
        <c:axId val="2088081871"/>
        <c:scaling>
          <c:orientation val="minMax"/>
        </c:scaling>
        <c:delete val="0"/>
        <c:axPos val="l"/>
        <c:title>
          <c:tx>
            <c:rich>
              <a:bodyPr rot="-5400000" spcFirstLastPara="1" vertOverflow="ellipsis" vert="horz" wrap="square" anchor="ctr" anchorCtr="1"/>
              <a:lstStyle/>
              <a:p>
                <a:pPr>
                  <a:defRPr sz="900" b="0" i="1" u="none" strike="noStrike" kern="1200" baseline="0">
                    <a:solidFill>
                      <a:schemeClr val="tx2"/>
                    </a:solidFill>
                    <a:latin typeface="Cambria" panose="02040503050406030204" pitchFamily="18" charset="0"/>
                    <a:ea typeface="+mn-ea"/>
                    <a:cs typeface="+mn-cs"/>
                  </a:defRPr>
                </a:pPr>
                <a:r>
                  <a:rPr lang="en-GB"/>
                  <a:t>Cumulative installed capacity [MW]</a:t>
                </a:r>
              </a:p>
            </c:rich>
          </c:tx>
          <c:overlay val="0"/>
          <c:spPr>
            <a:noFill/>
            <a:ln>
              <a:noFill/>
            </a:ln>
            <a:effectLst/>
          </c:spPr>
          <c:txPr>
            <a:bodyPr rot="-5400000" spcFirstLastPara="1" vertOverflow="ellipsis" vert="horz" wrap="square" anchor="ctr" anchorCtr="1"/>
            <a:lstStyle/>
            <a:p>
              <a:pPr>
                <a:defRPr sz="900" b="0" i="1" u="none" strike="noStrike" kern="1200" baseline="0">
                  <a:solidFill>
                    <a:schemeClr val="tx2"/>
                  </a:solidFill>
                  <a:latin typeface="Cambria" panose="02040503050406030204" pitchFamily="18" charset="0"/>
                  <a:ea typeface="+mn-ea"/>
                  <a:cs typeface="+mn-cs"/>
                </a:defRPr>
              </a:pPr>
              <a:endParaRPr lang="en-SE"/>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1" u="none" strike="noStrike" kern="1200" baseline="0">
                <a:solidFill>
                  <a:schemeClr val="tx2"/>
                </a:solidFill>
                <a:latin typeface="Cambria" panose="02040503050406030204" pitchFamily="18" charset="0"/>
                <a:ea typeface="+mn-ea"/>
                <a:cs typeface="+mn-cs"/>
              </a:defRPr>
            </a:pPr>
            <a:endParaRPr lang="en-SE"/>
          </a:p>
        </c:txPr>
        <c:crossAx val="1977855615"/>
        <c:crosses val="autoZero"/>
        <c:crossBetween val="between"/>
        <c:majorUnit val="400"/>
      </c:valAx>
      <c:spPr>
        <a:noFill/>
        <a:ln>
          <a:noFill/>
        </a:ln>
        <a:effectLst/>
      </c:spPr>
    </c:plotArea>
    <c:legend>
      <c:legendPos val="b"/>
      <c:layout>
        <c:manualLayout>
          <c:xMode val="edge"/>
          <c:yMode val="edge"/>
          <c:x val="4.9999947104556304E-2"/>
          <c:y val="0.92411971326322939"/>
          <c:w val="0.9"/>
          <c:h val="7.588021610384324E-2"/>
        </c:manualLayout>
      </c:layout>
      <c:overlay val="0"/>
      <c:spPr>
        <a:noFill/>
        <a:ln>
          <a:noFill/>
        </a:ln>
        <a:effectLst/>
      </c:spPr>
      <c:txPr>
        <a:bodyPr rot="0" spcFirstLastPara="1" vertOverflow="ellipsis" vert="horz" wrap="square" anchor="ctr" anchorCtr="1"/>
        <a:lstStyle/>
        <a:p>
          <a:pPr>
            <a:defRPr sz="900" b="0" i="1" u="none" strike="noStrike" kern="1200" baseline="0">
              <a:solidFill>
                <a:schemeClr val="tx2"/>
              </a:solidFill>
              <a:latin typeface="Cambria" panose="02040503050406030204" pitchFamily="18" charset="0"/>
              <a:ea typeface="+mn-ea"/>
              <a:cs typeface="+mn-cs"/>
            </a:defRPr>
          </a:pPr>
          <a:endParaRPr lang="en-S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i="1">
          <a:solidFill>
            <a:schemeClr val="tx2"/>
          </a:solidFill>
          <a:latin typeface="Cambria" panose="02040503050406030204" pitchFamily="18" charset="0"/>
        </a:defRPr>
      </a:pPr>
      <a:endParaRPr lang="en-SE"/>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40660542432196"/>
          <c:y val="4.7352561343090828E-2"/>
          <c:w val="0.85918598716827066"/>
          <c:h val="0.63616650291297072"/>
        </c:manualLayout>
      </c:layout>
      <c:scatterChart>
        <c:scatterStyle val="smoothMarker"/>
        <c:varyColors val="0"/>
        <c:ser>
          <c:idx val="1"/>
          <c:order val="0"/>
          <c:tx>
            <c:strRef>
              <c:f>'Lifetime prep'!$E$16:$F$16</c:f>
              <c:strCache>
                <c:ptCount val="1"/>
                <c:pt idx="0">
                  <c:v>Offshore wind - Baseline</c:v>
                </c:pt>
              </c:strCache>
            </c:strRef>
          </c:tx>
          <c:spPr>
            <a:ln>
              <a:solidFill>
                <a:schemeClr val="accent2"/>
              </a:solidFill>
            </a:ln>
          </c:spPr>
          <c:marker>
            <c:symbol val="none"/>
          </c:marker>
          <c:xVal>
            <c:numRef>
              <c:f>'Lifetime prep'!$B$18:$B$77</c:f>
              <c:numCache>
                <c:formatCode>General</c:formatCode>
                <c:ptCount val="6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numCache>
            </c:numRef>
          </c:xVal>
          <c:yVal>
            <c:numRef>
              <c:f>'Lifetime prep'!$E$18:$E$77</c:f>
              <c:numCache>
                <c:formatCode>General</c:formatCode>
                <c:ptCount val="60"/>
                <c:pt idx="0">
                  <c:v>6.8298305706690027E-7</c:v>
                </c:pt>
                <c:pt idx="1">
                  <c:v>1.0927682639749116E-5</c:v>
                </c:pt>
                <c:pt idx="2">
                  <c:v>5.5319798919651656E-5</c:v>
                </c:pt>
                <c:pt idx="3">
                  <c:v>1.7481923195074699E-4</c:v>
                </c:pt>
                <c:pt idx="4">
                  <c:v>4.2668229458483656E-4</c:v>
                </c:pt>
                <c:pt idx="5">
                  <c:v>8.8420648153265556E-4</c:v>
                </c:pt>
                <c:pt idx="6">
                  <c:v>1.6360821451927631E-3</c:v>
                </c:pt>
                <c:pt idx="7">
                  <c:v>2.7850053645398702E-3</c:v>
                </c:pt>
                <c:pt idx="8">
                  <c:v>4.4450541281093672E-3</c:v>
                </c:pt>
                <c:pt idx="9">
                  <c:v>6.7371725923534072E-3</c:v>
                </c:pt>
                <c:pt idx="10">
                  <c:v>9.7819778581257188E-3</c:v>
                </c:pt>
                <c:pt idx="11">
                  <c:v>1.3689055127670985E-2</c:v>
                </c:pt>
                <c:pt idx="12">
                  <c:v>1.8542023350890575E-2</c:v>
                </c:pt>
                <c:pt idx="13">
                  <c:v>2.4379046265606476E-2</c:v>
                </c:pt>
                <c:pt idx="14">
                  <c:v>3.1169260529418433E-2</c:v>
                </c:pt>
                <c:pt idx="15">
                  <c:v>3.8786900445636346E-2</c:v>
                </c:pt>
                <c:pt idx="16">
                  <c:v>4.6986734918578132E-2</c:v>
                </c:pt>
                <c:pt idx="17">
                  <c:v>5.5386619635176264E-2</c:v>
                </c:pt>
                <c:pt idx="18">
                  <c:v>6.3465012436560761E-2</c:v>
                </c:pt>
                <c:pt idx="19">
                  <c:v>7.058230736826869E-2</c:v>
                </c:pt>
                <c:pt idx="20">
                  <c:v>7.603356964956709E-2</c:v>
                </c:pt>
                <c:pt idx="21">
                  <c:v>7.9135429393619311E-2</c:v>
                </c:pt>
                <c:pt idx="22">
                  <c:v>7.9340897824549506E-2</c:v>
                </c:pt>
                <c:pt idx="23">
                  <c:v>7.6363692008359602E-2</c:v>
                </c:pt>
                <c:pt idx="24">
                  <c:v>7.0281700927673732E-2</c:v>
                </c:pt>
                <c:pt idx="25">
                  <c:v>6.1583246498775182E-2</c:v>
                </c:pt>
                <c:pt idx="26">
                  <c:v>5.1126080768154995E-2</c:v>
                </c:pt>
                <c:pt idx="27">
                  <c:v>4.0000797877797208E-2</c:v>
                </c:pt>
                <c:pt idx="28">
                  <c:v>2.9323496380398821E-2</c:v>
                </c:pt>
                <c:pt idx="29">
                  <c:v>2.0014380639652978E-2</c:v>
                </c:pt>
                <c:pt idx="30">
                  <c:v>1.2632374213671249E-2</c:v>
                </c:pt>
                <c:pt idx="31">
                  <c:v>7.3190527018022694E-3</c:v>
                </c:pt>
                <c:pt idx="32">
                  <c:v>3.8621617932820007E-3</c:v>
                </c:pt>
                <c:pt idx="33">
                  <c:v>1.840571139631408E-3</c:v>
                </c:pt>
                <c:pt idx="34">
                  <c:v>7.8508816700718453E-4</c:v>
                </c:pt>
                <c:pt idx="35">
                  <c:v>2.9687607300750418E-4</c:v>
                </c:pt>
                <c:pt idx="36">
                  <c:v>9.8517649883298481E-5</c:v>
                </c:pt>
                <c:pt idx="37">
                  <c:v>2.8383347488539102E-5</c:v>
                </c:pt>
                <c:pt idx="38">
                  <c:v>7.0191347847906149E-6</c:v>
                </c:pt>
                <c:pt idx="39">
                  <c:v>1.4721704483536511E-6</c:v>
                </c:pt>
                <c:pt idx="40">
                  <c:v>2.5857656159852544E-7</c:v>
                </c:pt>
                <c:pt idx="41">
                  <c:v>3.7530982475035302E-8</c:v>
                </c:pt>
                <c:pt idx="42">
                  <c:v>4.4389272907106336E-9</c:v>
                </c:pt>
                <c:pt idx="43">
                  <c:v>4.2156904053967728E-10</c:v>
                </c:pt>
                <c:pt idx="44">
                  <c:v>3.1656876715400384E-11</c:v>
                </c:pt>
                <c:pt idx="45">
                  <c:v>1.84955045628159E-12</c:v>
                </c:pt>
                <c:pt idx="46">
                  <c:v>8.2666634962923711E-14</c:v>
                </c:pt>
                <c:pt idx="47">
                  <c:v>2.777139477537454E-15</c:v>
                </c:pt>
                <c:pt idx="48">
                  <c:v>6.8844485424172426E-17</c:v>
                </c:pt>
                <c:pt idx="49">
                  <c:v>1.2353831320825921E-18</c:v>
                </c:pt>
                <c:pt idx="50">
                  <c:v>1.5729017576188507E-20</c:v>
                </c:pt>
                <c:pt idx="51">
                  <c:v>1.3916105722780004E-22</c:v>
                </c:pt>
                <c:pt idx="52">
                  <c:v>8.3720960411698236E-25</c:v>
                </c:pt>
                <c:pt idx="53">
                  <c:v>3.3486025984977955E-27</c:v>
                </c:pt>
                <c:pt idx="54">
                  <c:v>8.6984103460935099E-30</c:v>
                </c:pt>
                <c:pt idx="55">
                  <c:v>1.4322253390760427E-32</c:v>
                </c:pt>
                <c:pt idx="56">
                  <c:v>1.4575841174673874E-35</c:v>
                </c:pt>
                <c:pt idx="57">
                  <c:v>8.9322863063641235E-39</c:v>
                </c:pt>
                <c:pt idx="58">
                  <c:v>3.208097343889371E-42</c:v>
                </c:pt>
                <c:pt idx="59">
                  <c:v>6.5663448278623479E-46</c:v>
                </c:pt>
              </c:numCache>
            </c:numRef>
          </c:yVal>
          <c:smooth val="1"/>
          <c:extLst>
            <c:ext xmlns:c16="http://schemas.microsoft.com/office/drawing/2014/chart" uri="{C3380CC4-5D6E-409C-BE32-E72D297353CC}">
              <c16:uniqueId val="{00000000-D4AF-6A41-A9D3-F31FC921722F}"/>
            </c:ext>
          </c:extLst>
        </c:ser>
        <c:ser>
          <c:idx val="4"/>
          <c:order val="1"/>
          <c:tx>
            <c:strRef>
              <c:f>'Lifetime prep'!$C$16:$D$16</c:f>
              <c:strCache>
                <c:ptCount val="1"/>
                <c:pt idx="0">
                  <c:v>Onshore wind - Baseline</c:v>
                </c:pt>
              </c:strCache>
            </c:strRef>
          </c:tx>
          <c:spPr>
            <a:ln>
              <a:solidFill>
                <a:schemeClr val="accent1"/>
              </a:solidFill>
            </a:ln>
          </c:spPr>
          <c:marker>
            <c:symbol val="none"/>
          </c:marker>
          <c:xVal>
            <c:numRef>
              <c:f>'Lifetime prep'!$B$18:$B$77</c:f>
              <c:numCache>
                <c:formatCode>General</c:formatCode>
                <c:ptCount val="6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numCache>
            </c:numRef>
          </c:xVal>
          <c:yVal>
            <c:numRef>
              <c:f>'Lifetime prep'!$C$18:$C$77</c:f>
              <c:numCache>
                <c:formatCode>General</c:formatCode>
                <c:ptCount val="60"/>
                <c:pt idx="0">
                  <c:v>1.0391332579285289E-6</c:v>
                </c:pt>
                <c:pt idx="1">
                  <c:v>1.6626025011224818E-5</c:v>
                </c:pt>
                <c:pt idx="2">
                  <c:v>8.4165560757986857E-5</c:v>
                </c:pt>
                <c:pt idx="3">
                  <c:v>2.6596156280580738E-4</c:v>
                </c:pt>
                <c:pt idx="4">
                  <c:v>6.4903676187918471E-4</c:v>
                </c:pt>
                <c:pt idx="5">
                  <c:v>1.3445423638335763E-3</c:v>
                </c:pt>
                <c:pt idx="6">
                  <c:v>2.4862599213015877E-3</c:v>
                </c:pt>
                <c:pt idx="7">
                  <c:v>4.2274035653925169E-3</c:v>
                </c:pt>
                <c:pt idx="8">
                  <c:v>6.7345988057556181E-3</c:v>
                </c:pt>
                <c:pt idx="9">
                  <c:v>1.0177603707091587E-2</c:v>
                </c:pt>
                <c:pt idx="10">
                  <c:v>1.4713159285877816E-2</c:v>
                </c:pt>
                <c:pt idx="11">
                  <c:v>2.0461489443958113E-2</c:v>
                </c:pt>
                <c:pt idx="12">
                  <c:v>2.7474676380929826E-2</c:v>
                </c:pt>
                <c:pt idx="13">
                  <c:v>3.5697727198561284E-2</c:v>
                </c:pt>
                <c:pt idx="14">
                  <c:v>4.492589240250542E-2</c:v>
                </c:pt>
                <c:pt idx="15">
                  <c:v>5.476573328440508E-2</c:v>
                </c:pt>
                <c:pt idx="16">
                  <c:v>6.4612059797828317E-2</c:v>
                </c:pt>
                <c:pt idx="17">
                  <c:v>7.3656783872366072E-2</c:v>
                </c:pt>
                <c:pt idx="18">
                  <c:v>8.0946491226580361E-2</c:v>
                </c:pt>
                <c:pt idx="19">
                  <c:v>8.5499930203726371E-2</c:v>
                </c:pt>
                <c:pt idx="20">
                  <c:v>8.6482011053419225E-2</c:v>
                </c:pt>
                <c:pt idx="21">
                  <c:v>8.3407597092909264E-2</c:v>
                </c:pt>
                <c:pt idx="22">
                  <c:v>7.632227689734282E-2</c:v>
                </c:pt>
                <c:pt idx="23">
                  <c:v>6.5890968423621923E-2</c:v>
                </c:pt>
                <c:pt idx="24">
                  <c:v>5.3334191761756258E-2</c:v>
                </c:pt>
                <c:pt idx="25">
                  <c:v>4.0195334725249714E-2</c:v>
                </c:pt>
                <c:pt idx="26">
                  <c:v>2.7991291311837498E-2</c:v>
                </c:pt>
                <c:pt idx="27">
                  <c:v>1.7862008587631747E-2</c:v>
                </c:pt>
                <c:pt idx="28">
                  <c:v>1.0350666418179473E-2</c:v>
                </c:pt>
                <c:pt idx="29">
                  <c:v>5.3937060755642171E-3</c:v>
                </c:pt>
                <c:pt idx="30">
                  <c:v>2.5009705586749257E-3</c:v>
                </c:pt>
                <c:pt idx="31">
                  <c:v>1.020271534519892E-3</c:v>
                </c:pt>
                <c:pt idx="32">
                  <c:v>3.6178063139524796E-4</c:v>
                </c:pt>
                <c:pt idx="33">
                  <c:v>1.1007206310043693E-4</c:v>
                </c:pt>
                <c:pt idx="34">
                  <c:v>2.8341629443444346E-5</c:v>
                </c:pt>
                <c:pt idx="35">
                  <c:v>6.0859170246084064E-6</c:v>
                </c:pt>
                <c:pt idx="36">
                  <c:v>1.0730804441966482E-6</c:v>
                </c:pt>
                <c:pt idx="37">
                  <c:v>1.5282660987443624E-7</c:v>
                </c:pt>
                <c:pt idx="38">
                  <c:v>1.7277273442559151E-8</c:v>
                </c:pt>
                <c:pt idx="39">
                  <c:v>1.5222762047967599E-9</c:v>
                </c:pt>
                <c:pt idx="40">
                  <c:v>1.0253197171621068E-10</c:v>
                </c:pt>
                <c:pt idx="41">
                  <c:v>5.1729825399409622E-12</c:v>
                </c:pt>
                <c:pt idx="42">
                  <c:v>1.9136347963158399E-13</c:v>
                </c:pt>
                <c:pt idx="43">
                  <c:v>5.0754631972521088E-15</c:v>
                </c:pt>
                <c:pt idx="44">
                  <c:v>9.4272349709368664E-17</c:v>
                </c:pt>
                <c:pt idx="45">
                  <c:v>1.1964625412096291E-18</c:v>
                </c:pt>
                <c:pt idx="46">
                  <c:v>1.0112165468548576E-20</c:v>
                </c:pt>
                <c:pt idx="47">
                  <c:v>5.5404255203114975E-23</c:v>
                </c:pt>
                <c:pt idx="48">
                  <c:v>1.9134114930129983E-25</c:v>
                </c:pt>
                <c:pt idx="49">
                  <c:v>4.0451115089439672E-28</c:v>
                </c:pt>
                <c:pt idx="50">
                  <c:v>5.0777055352058049E-31</c:v>
                </c:pt>
                <c:pt idx="51">
                  <c:v>3.6663526301313083E-34</c:v>
                </c:pt>
                <c:pt idx="52">
                  <c:v>1.4733012388468498E-37</c:v>
                </c:pt>
                <c:pt idx="53">
                  <c:v>3.1837263320568288E-41</c:v>
                </c:pt>
                <c:pt idx="54">
                  <c:v>3.5701597614102584E-45</c:v>
                </c:pt>
                <c:pt idx="55">
                  <c:v>2.0020831515139284E-49</c:v>
                </c:pt>
                <c:pt idx="56">
                  <c:v>5.4032748445771268E-54</c:v>
                </c:pt>
                <c:pt idx="57">
                  <c:v>6.7443927109457745E-59</c:v>
                </c:pt>
                <c:pt idx="58">
                  <c:v>3.7363838533265164E-64</c:v>
                </c:pt>
                <c:pt idx="59">
                  <c:v>8.8037125137668551E-70</c:v>
                </c:pt>
              </c:numCache>
            </c:numRef>
          </c:yVal>
          <c:smooth val="1"/>
          <c:extLst>
            <c:ext xmlns:c16="http://schemas.microsoft.com/office/drawing/2014/chart" uri="{C3380CC4-5D6E-409C-BE32-E72D297353CC}">
              <c16:uniqueId val="{00000001-D4AF-6A41-A9D3-F31FC921722F}"/>
            </c:ext>
          </c:extLst>
        </c:ser>
        <c:ser>
          <c:idx val="5"/>
          <c:order val="2"/>
          <c:tx>
            <c:strRef>
              <c:f>'Lifetime prep'!$G$16:$H$16</c:f>
              <c:strCache>
                <c:ptCount val="1"/>
                <c:pt idx="0">
                  <c:v>Solar PV - Baseline</c:v>
                </c:pt>
              </c:strCache>
            </c:strRef>
          </c:tx>
          <c:marker>
            <c:symbol val="none"/>
          </c:marker>
          <c:xVal>
            <c:numRef>
              <c:f>'Lifetime prep'!$B$18:$B$77</c:f>
              <c:numCache>
                <c:formatCode>General</c:formatCode>
                <c:ptCount val="6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numCache>
            </c:numRef>
          </c:xVal>
          <c:yVal>
            <c:numRef>
              <c:f>'Lifetime prep'!$G$18:$G$77</c:f>
              <c:numCache>
                <c:formatCode>General</c:formatCode>
                <c:ptCount val="60"/>
                <c:pt idx="0">
                  <c:v>3.9736647828819539E-7</c:v>
                </c:pt>
                <c:pt idx="1">
                  <c:v>6.3578479889374634E-6</c:v>
                </c:pt>
                <c:pt idx="2">
                  <c:v>3.2186065715624504E-5</c:v>
                </c:pt>
                <c:pt idx="3">
                  <c:v>1.0171754834808541E-4</c:v>
                </c:pt>
                <c:pt idx="4">
                  <c:v>2.4829239658278896E-4</c:v>
                </c:pt>
                <c:pt idx="5">
                  <c:v>5.1466884117870918E-4</c:v>
                </c:pt>
                <c:pt idx="6">
                  <c:v>9.5280347284196188E-4</c:v>
                </c:pt>
                <c:pt idx="7">
                  <c:v>1.6233801389799348E-3</c:v>
                </c:pt>
                <c:pt idx="8">
                  <c:v>2.5949155839896927E-3</c:v>
                </c:pt>
                <c:pt idx="9">
                  <c:v>3.942210226733558E-3</c:v>
                </c:pt>
                <c:pt idx="10">
                  <c:v>5.7438535309533422E-3</c:v>
                </c:pt>
                <c:pt idx="11">
                  <c:v>8.0784465385881059E-3</c:v>
                </c:pt>
                <c:pt idx="12">
                  <c:v>1.1019187204796587E-2</c:v>
                </c:pt>
                <c:pt idx="13">
                  <c:v>1.46265031130586E-2</c:v>
                </c:pt>
                <c:pt idx="14">
                  <c:v>1.8938544961269725E-2</c:v>
                </c:pt>
                <c:pt idx="15">
                  <c:v>2.3959612189434595E-2</c:v>
                </c:pt>
                <c:pt idx="16">
                  <c:v>2.9647006158154316E-2</c:v>
                </c:pt>
                <c:pt idx="17">
                  <c:v>3.5897416130333766E-2</c:v>
                </c:pt>
                <c:pt idx="18">
                  <c:v>4.2534718512464535E-2</c:v>
                </c:pt>
                <c:pt idx="19">
                  <c:v>4.9301919895202745E-2</c:v>
                </c:pt>
                <c:pt idx="20">
                  <c:v>5.5860709080751574E-2</c:v>
                </c:pt>
                <c:pt idx="21">
                  <c:v>6.1802397408799919E-2</c:v>
                </c:pt>
                <c:pt idx="22">
                  <c:v>6.6673523718576821E-2</c:v>
                </c:pt>
                <c:pt idx="23">
                  <c:v>7.00176809555801E-2</c:v>
                </c:pt>
                <c:pt idx="24">
                  <c:v>7.14319558671207E-2</c:v>
                </c:pt>
                <c:pt idx="25">
                  <c:v>7.063194104164891E-2</c:v>
                </c:pt>
                <c:pt idx="26">
                  <c:v>6.7514402164020007E-2</c:v>
                </c:pt>
                <c:pt idx="27">
                  <c:v>6.2202908746002997E-2</c:v>
                </c:pt>
                <c:pt idx="28">
                  <c:v>5.5061077943608372E-2</c:v>
                </c:pt>
                <c:pt idx="29">
                  <c:v>4.6662310548114622E-2</c:v>
                </c:pt>
                <c:pt idx="30">
                  <c:v>3.7714481703686485E-2</c:v>
                </c:pt>
                <c:pt idx="31">
                  <c:v>2.895116948166666E-2</c:v>
                </c:pt>
                <c:pt idx="32">
                  <c:v>2.1013389622576744E-2</c:v>
                </c:pt>
                <c:pt idx="33">
                  <c:v>1.4351972972242406E-2</c:v>
                </c:pt>
                <c:pt idx="34">
                  <c:v>9.1765737889175393E-3</c:v>
                </c:pt>
                <c:pt idx="35">
                  <c:v>5.4628879848953159E-3</c:v>
                </c:pt>
                <c:pt idx="36">
                  <c:v>3.0102613774899054E-3</c:v>
                </c:pt>
                <c:pt idx="37">
                  <c:v>1.5259431852461031E-3</c:v>
                </c:pt>
                <c:pt idx="38">
                  <c:v>7.0693261242743999E-4</c:v>
                </c:pt>
                <c:pt idx="39">
                  <c:v>2.9724462971106444E-4</c:v>
                </c:pt>
                <c:pt idx="40">
                  <c:v>1.1260849914344912E-4</c:v>
                </c:pt>
                <c:pt idx="41">
                  <c:v>3.8142093996775392E-5</c:v>
                </c:pt>
                <c:pt idx="42">
                  <c:v>1.1457652576402155E-5</c:v>
                </c:pt>
                <c:pt idx="43">
                  <c:v>3.0265563040104137E-6</c:v>
                </c:pt>
                <c:pt idx="44">
                  <c:v>6.9676598740876573E-7</c:v>
                </c:pt>
                <c:pt idx="45">
                  <c:v>1.3849951895603958E-7</c:v>
                </c:pt>
                <c:pt idx="46">
                  <c:v>2.3538666755964851E-8</c:v>
                </c:pt>
                <c:pt idx="47">
                  <c:v>3.3856652103472921E-9</c:v>
                </c:pt>
                <c:pt idx="48">
                  <c:v>4.0775021183758387E-10</c:v>
                </c:pt>
                <c:pt idx="49">
                  <c:v>4.0662223316749915E-11</c:v>
                </c:pt>
                <c:pt idx="50">
                  <c:v>3.3188585118818014E-12</c:v>
                </c:pt>
                <c:pt idx="51">
                  <c:v>2.1904444162392427E-13</c:v>
                </c:pt>
                <c:pt idx="52">
                  <c:v>1.1543939335941703E-14</c:v>
                </c:pt>
                <c:pt idx="53">
                  <c:v>4.7947917780698503E-16</c:v>
                </c:pt>
                <c:pt idx="54">
                  <c:v>1.5483679262029277E-17</c:v>
                </c:pt>
                <c:pt idx="55">
                  <c:v>3.8329855090447601E-19</c:v>
                </c:pt>
                <c:pt idx="56">
                  <c:v>7.1680288437430934E-21</c:v>
                </c:pt>
                <c:pt idx="57">
                  <c:v>9.9740106196315632E-23</c:v>
                </c:pt>
                <c:pt idx="58">
                  <c:v>1.0165255827664933E-24</c:v>
                </c:pt>
                <c:pt idx="59">
                  <c:v>7.4657758818434271E-27</c:v>
                </c:pt>
              </c:numCache>
            </c:numRef>
          </c:yVal>
          <c:smooth val="1"/>
          <c:extLst>
            <c:ext xmlns:c16="http://schemas.microsoft.com/office/drawing/2014/chart" uri="{C3380CC4-5D6E-409C-BE32-E72D297353CC}">
              <c16:uniqueId val="{00000002-D4AF-6A41-A9D3-F31FC921722F}"/>
            </c:ext>
          </c:extLst>
        </c:ser>
        <c:ser>
          <c:idx val="0"/>
          <c:order val="3"/>
          <c:tx>
            <c:strRef>
              <c:f>'Lifetime prep'!$K$16:$L$16</c:f>
              <c:strCache>
                <c:ptCount val="1"/>
                <c:pt idx="0">
                  <c:v>Offshore wind - Longer design lifespan</c:v>
                </c:pt>
              </c:strCache>
            </c:strRef>
          </c:tx>
          <c:spPr>
            <a:ln w="19050" cap="rnd">
              <a:solidFill>
                <a:schemeClr val="accent2"/>
              </a:solidFill>
              <a:round/>
            </a:ln>
            <a:effectLst/>
          </c:spPr>
          <c:marker>
            <c:symbol val="diamond"/>
            <c:size val="5"/>
            <c:spPr>
              <a:solidFill>
                <a:schemeClr val="accent2"/>
              </a:solidFill>
              <a:ln w="9525">
                <a:solidFill>
                  <a:schemeClr val="accent2"/>
                </a:solidFill>
              </a:ln>
              <a:effectLst/>
            </c:spPr>
          </c:marker>
          <c:xVal>
            <c:numRef>
              <c:f>'Lifetime prep'!$B$18:$B$77</c:f>
              <c:numCache>
                <c:formatCode>General</c:formatCode>
                <c:ptCount val="6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numCache>
            </c:numRef>
          </c:xVal>
          <c:yVal>
            <c:numRef>
              <c:f>'Lifetime prep'!$K$18:$K$77</c:f>
              <c:numCache>
                <c:formatCode>General</c:formatCode>
                <c:ptCount val="60"/>
                <c:pt idx="0">
                  <c:v>9.5198427413369724E-8</c:v>
                </c:pt>
                <c:pt idx="1">
                  <c:v>1.523173939590298E-6</c:v>
                </c:pt>
                <c:pt idx="2">
                  <c:v>7.711037090995949E-6</c:v>
                </c:pt>
                <c:pt idx="3">
                  <c:v>2.4370322737835326E-5</c:v>
                </c:pt>
                <c:pt idx="4">
                  <c:v>5.949547823833916E-5</c:v>
                </c:pt>
                <c:pt idx="5">
                  <c:v>1.2335889931931217E-4</c:v>
                </c:pt>
                <c:pt idx="6">
                  <c:v>2.2849829741589486E-4</c:v>
                </c:pt>
                <c:pt idx="7">
                  <c:v>3.8968956588330043E-4</c:v>
                </c:pt>
                <c:pt idx="8">
                  <c:v>6.2389507044206078E-4</c:v>
                </c:pt>
                <c:pt idx="9">
                  <c:v>9.5017346849657575E-4</c:v>
                </c:pt>
                <c:pt idx="10">
                  <c:v>1.3895328544450325E-3</c:v>
                </c:pt>
                <c:pt idx="11">
                  <c:v>1.9647043972058111E-3</c:v>
                </c:pt>
                <c:pt idx="12">
                  <c:v>2.6998089513265025E-3</c:v>
                </c:pt>
                <c:pt idx="13">
                  <c:v>3.6198848010979591E-3</c:v>
                </c:pt>
                <c:pt idx="14">
                  <c:v>4.750241348371949E-3</c:v>
                </c:pt>
                <c:pt idx="15">
                  <c:v>6.1156020279282469E-3</c:v>
                </c:pt>
                <c:pt idx="16">
                  <c:v>7.7390011506394676E-3</c:v>
                </c:pt>
                <c:pt idx="17">
                  <c:v>9.6404051374975094E-3</c:v>
                </c:pt>
                <c:pt idx="18">
                  <c:v>1.1835040364370842E-2</c:v>
                </c:pt>
                <c:pt idx="19">
                  <c:v>1.4331429368990496E-2</c:v>
                </c:pt>
                <c:pt idx="20">
                  <c:v>1.712916617517907E-2</c:v>
                </c:pt>
                <c:pt idx="21">
                  <c:v>2.0216501223014705E-2</c:v>
                </c:pt>
                <c:pt idx="22">
                  <c:v>2.3567857160762845E-2</c:v>
                </c:pt>
                <c:pt idx="23">
                  <c:v>2.7141457226183306E-2</c:v>
                </c:pt>
                <c:pt idx="24">
                  <c:v>3.0877314365956487E-2</c:v>
                </c:pt>
                <c:pt idx="25">
                  <c:v>3.46958946309592E-2</c:v>
                </c:pt>
                <c:pt idx="26">
                  <c:v>3.8497821931465719E-2</c:v>
                </c:pt>
                <c:pt idx="27">
                  <c:v>4.2165018200247074E-2</c:v>
                </c:pt>
                <c:pt idx="28">
                  <c:v>4.5563655518947296E-2</c:v>
                </c:pt>
                <c:pt idx="29">
                  <c:v>4.8549215916184836E-2</c:v>
                </c:pt>
                <c:pt idx="30">
                  <c:v>5.0973794169793127E-2</c:v>
                </c:pt>
                <c:pt idx="31">
                  <c:v>5.2695530999050791E-2</c:v>
                </c:pt>
                <c:pt idx="32">
                  <c:v>5.3589735168549348E-2</c:v>
                </c:pt>
                <c:pt idx="33">
                  <c:v>5.3560871021661967E-2</c:v>
                </c:pt>
                <c:pt idx="34">
                  <c:v>5.2554205881634654E-2</c:v>
                </c:pt>
                <c:pt idx="35">
                  <c:v>5.0565607043542814E-2</c:v>
                </c:pt>
                <c:pt idx="36">
                  <c:v>4.7647843786409669E-2</c:v>
                </c:pt>
                <c:pt idx="37">
                  <c:v>4.3911876388631026E-2</c:v>
                </c:pt>
                <c:pt idx="38">
                  <c:v>3.9522062642728714E-2</c:v>
                </c:pt>
                <c:pt idx="39">
                  <c:v>3.4684984497225534E-2</c:v>
                </c:pt>
                <c:pt idx="40">
                  <c:v>2.9632611079366229E-2</c:v>
                </c:pt>
                <c:pt idx="41">
                  <c:v>2.4601596940273918E-2</c:v>
                </c:pt>
                <c:pt idx="42">
                  <c:v>1.9811424681897456E-2</c:v>
                </c:pt>
                <c:pt idx="43">
                  <c:v>1.5444582952601215E-2</c:v>
                </c:pt>
                <c:pt idx="44">
                  <c:v>1.1631830088644914E-2</c:v>
                </c:pt>
                <c:pt idx="45">
                  <c:v>8.4447767246398527E-3</c:v>
                </c:pt>
                <c:pt idx="46">
                  <c:v>5.896661877775683E-3</c:v>
                </c:pt>
                <c:pt idx="47">
                  <c:v>3.9506077379007137E-3</c:v>
                </c:pt>
                <c:pt idx="48">
                  <c:v>2.5332272339501907E-3</c:v>
                </c:pt>
                <c:pt idx="49">
                  <c:v>1.5506017463784545E-3</c:v>
                </c:pt>
                <c:pt idx="50">
                  <c:v>9.0355619594264277E-4</c:v>
                </c:pt>
                <c:pt idx="51">
                  <c:v>4.9980484434699766E-4</c:v>
                </c:pt>
                <c:pt idx="52">
                  <c:v>2.6166498662914822E-4</c:v>
                </c:pt>
                <c:pt idx="53">
                  <c:v>1.292549151819142E-4</c:v>
                </c:pt>
                <c:pt idx="54">
                  <c:v>6.0049217227269152E-5</c:v>
                </c:pt>
                <c:pt idx="55">
                  <c:v>2.6150149980642504E-5</c:v>
                </c:pt>
                <c:pt idx="56">
                  <c:v>1.0637499995401822E-5</c:v>
                </c:pt>
                <c:pt idx="57">
                  <c:v>4.0275310279310459E-6</c:v>
                </c:pt>
                <c:pt idx="58">
                  <c:v>1.4140018594843703E-6</c:v>
                </c:pt>
                <c:pt idx="59">
                  <c:v>4.5855579638475931E-7</c:v>
                </c:pt>
              </c:numCache>
            </c:numRef>
          </c:yVal>
          <c:smooth val="1"/>
          <c:extLst>
            <c:ext xmlns:c16="http://schemas.microsoft.com/office/drawing/2014/chart" uri="{C3380CC4-5D6E-409C-BE32-E72D297353CC}">
              <c16:uniqueId val="{00000003-D4AF-6A41-A9D3-F31FC921722F}"/>
            </c:ext>
          </c:extLst>
        </c:ser>
        <c:ser>
          <c:idx val="2"/>
          <c:order val="4"/>
          <c:tx>
            <c:strRef>
              <c:f>'Lifetime prep'!$I$16</c:f>
              <c:strCache>
                <c:ptCount val="1"/>
                <c:pt idx="0">
                  <c:v>Onshore wind - Longer design lifespan</c:v>
                </c:pt>
              </c:strCache>
            </c:strRef>
          </c:tx>
          <c:spPr>
            <a:ln w="19050" cap="rnd">
              <a:solidFill>
                <a:schemeClr val="accent1"/>
              </a:solidFill>
              <a:round/>
            </a:ln>
            <a:effectLst/>
          </c:spPr>
          <c:marker>
            <c:symbol val="diamond"/>
            <c:size val="5"/>
            <c:spPr>
              <a:solidFill>
                <a:schemeClr val="accent1"/>
              </a:solidFill>
              <a:ln w="9525">
                <a:solidFill>
                  <a:schemeClr val="accent1"/>
                </a:solidFill>
              </a:ln>
              <a:effectLst/>
            </c:spPr>
          </c:marker>
          <c:xVal>
            <c:numRef>
              <c:f>'Lifetime prep'!$B$18:$B$77</c:f>
              <c:numCache>
                <c:formatCode>General</c:formatCode>
                <c:ptCount val="6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numCache>
            </c:numRef>
          </c:xVal>
          <c:yVal>
            <c:numRef>
              <c:f>'Lifetime prep'!$I$18:$I$77</c:f>
              <c:numCache>
                <c:formatCode>General</c:formatCode>
                <c:ptCount val="60"/>
                <c:pt idx="0">
                  <c:v>2.0576130840488407E-7</c:v>
                </c:pt>
                <c:pt idx="1">
                  <c:v>3.2921767345792199E-6</c:v>
                </c:pt>
                <c:pt idx="2">
                  <c:v>1.6666500000833322E-5</c:v>
                </c:pt>
                <c:pt idx="3">
                  <c:v>5.2672677450280938E-5</c:v>
                </c:pt>
                <c:pt idx="4">
                  <c:v>1.2858428593694505E-4</c:v>
                </c:pt>
                <c:pt idx="5">
                  <c:v>2.665813469852101E-4</c:v>
                </c:pt>
                <c:pt idx="6">
                  <c:v>4.936913440108247E-4</c:v>
                </c:pt>
                <c:pt idx="7">
                  <c:v>8.4166262532914184E-4</c:v>
                </c:pt>
                <c:pt idx="8">
                  <c:v>1.3467234825809559E-3</c:v>
                </c:pt>
                <c:pt idx="9">
                  <c:v>2.04916302387471E-3</c:v>
                </c:pt>
                <c:pt idx="10">
                  <c:v>2.9926514323519878E-3</c:v>
                </c:pt>
                <c:pt idx="11">
                  <c:v>4.2231989346142801E-3</c:v>
                </c:pt>
                <c:pt idx="12">
                  <c:v>5.7876374328461478E-3</c:v>
                </c:pt>
                <c:pt idx="13">
                  <c:v>7.731500260830089E-3</c:v>
                </c:pt>
                <c:pt idx="14">
                  <c:v>1.0096179525795241E-2</c:v>
                </c:pt>
                <c:pt idx="15">
                  <c:v>1.2915264370129085E-2</c:v>
                </c:pt>
                <c:pt idx="16">
                  <c:v>1.6210016118658705E-2</c:v>
                </c:pt>
                <c:pt idx="17">
                  <c:v>1.9984027204375521E-2</c:v>
                </c:pt>
                <c:pt idx="18">
                  <c:v>2.4217248363646578E-2</c:v>
                </c:pt>
                <c:pt idx="19">
                  <c:v>2.8859757033800903E-2</c:v>
                </c:pt>
                <c:pt idx="20">
                  <c:v>3.3825874723858403E-2</c:v>
                </c:pt>
                <c:pt idx="21">
                  <c:v>3.8989503744093296E-2</c:v>
                </c:pt>
                <c:pt idx="22">
                  <c:v>4.4181805519991672E-2</c:v>
                </c:pt>
                <c:pt idx="23">
                  <c:v>4.9192521233621528E-2</c:v>
                </c:pt>
                <c:pt idx="24">
                  <c:v>5.3776254876207061E-2</c:v>
                </c:pt>
                <c:pt idx="25">
                  <c:v>5.7664799159509082E-2</c:v>
                </c:pt>
                <c:pt idx="26">
                  <c:v>6.058599417403629E-2</c:v>
                </c:pt>
                <c:pt idx="27">
                  <c:v>6.2288618910991217E-2</c:v>
                </c:pt>
                <c:pt idx="28">
                  <c:v>6.2571468364924221E-2</c:v>
                </c:pt>
                <c:pt idx="29">
                  <c:v>6.1313240195240343E-2</c:v>
                </c:pt>
                <c:pt idx="30">
                  <c:v>5.8498478122892619E-2</c:v>
                </c:pt>
                <c:pt idx="31">
                  <c:v>5.4234057120079879E-2</c:v>
                </c:pt>
                <c:pt idx="32">
                  <c:v>4.875103992305832E-2</c:v>
                </c:pt>
                <c:pt idx="33">
                  <c:v>4.238853168780634E-2</c:v>
                </c:pt>
                <c:pt idx="34">
                  <c:v>3.5559398525310308E-2</c:v>
                </c:pt>
                <c:pt idx="35">
                  <c:v>2.8701863096986146E-2</c:v>
                </c:pt>
                <c:pt idx="36">
                  <c:v>2.2224986006908466E-2</c:v>
                </c:pt>
                <c:pt idx="37">
                  <c:v>1.645853882349466E-2</c:v>
                </c:pt>
                <c:pt idx="38">
                  <c:v>1.161761949411912E-2</c:v>
                </c:pt>
                <c:pt idx="39">
                  <c:v>7.7891545981987453E-3</c:v>
                </c:pt>
                <c:pt idx="40">
                  <c:v>4.9418989135947659E-3</c:v>
                </c:pt>
                <c:pt idx="41">
                  <c:v>2.9554317729418855E-3</c:v>
                </c:pt>
                <c:pt idx="42">
                  <c:v>1.6591021478780314E-3</c:v>
                </c:pt>
                <c:pt idx="43">
                  <c:v>8.7047950325570074E-4</c:v>
                </c:pt>
                <c:pt idx="44">
                  <c:v>4.249032607155522E-4</c:v>
                </c:pt>
                <c:pt idx="45">
                  <c:v>1.9203631875069373E-4</c:v>
                </c:pt>
                <c:pt idx="46">
                  <c:v>7.9956747901702448E-5</c:v>
                </c:pt>
                <c:pt idx="47">
                  <c:v>3.050850831074949E-5</c:v>
                </c:pt>
                <c:pt idx="48">
                  <c:v>1.0609469070665078E-5</c:v>
                </c:pt>
                <c:pt idx="49">
                  <c:v>3.3433432495667056E-6</c:v>
                </c:pt>
                <c:pt idx="50">
                  <c:v>9.4903850489703061E-7</c:v>
                </c:pt>
                <c:pt idx="51">
                  <c:v>2.4115388446948375E-7</c:v>
                </c:pt>
                <c:pt idx="52">
                  <c:v>5.4499603440377539E-8</c:v>
                </c:pt>
                <c:pt idx="53">
                  <c:v>1.0880509042489354E-8</c:v>
                </c:pt>
                <c:pt idx="54">
                  <c:v>1.9055266550911613E-9</c:v>
                </c:pt>
                <c:pt idx="55">
                  <c:v>2.9062093476612001E-10</c:v>
                </c:pt>
                <c:pt idx="56">
                  <c:v>3.8309089484696159E-11</c:v>
                </c:pt>
                <c:pt idx="57">
                  <c:v>4.33047648149269E-12</c:v>
                </c:pt>
                <c:pt idx="58">
                  <c:v>4.1639075296155285E-13</c:v>
                </c:pt>
                <c:pt idx="59">
                  <c:v>3.3771108130917734E-14</c:v>
                </c:pt>
              </c:numCache>
            </c:numRef>
          </c:yVal>
          <c:smooth val="1"/>
          <c:extLst>
            <c:ext xmlns:c16="http://schemas.microsoft.com/office/drawing/2014/chart" uri="{C3380CC4-5D6E-409C-BE32-E72D297353CC}">
              <c16:uniqueId val="{00000004-D4AF-6A41-A9D3-F31FC921722F}"/>
            </c:ext>
          </c:extLst>
        </c:ser>
        <c:ser>
          <c:idx val="3"/>
          <c:order val="5"/>
          <c:tx>
            <c:strRef>
              <c:f>'Lifetime prep'!$M$16:$N$16</c:f>
              <c:strCache>
                <c:ptCount val="1"/>
                <c:pt idx="0">
                  <c:v>Solar PV - Longer design lifespan</c:v>
                </c:pt>
              </c:strCache>
            </c:strRef>
          </c:tx>
          <c:spPr>
            <a:ln w="19050" cap="rnd">
              <a:solidFill>
                <a:schemeClr val="accent6"/>
              </a:solidFill>
              <a:round/>
            </a:ln>
            <a:effectLst/>
          </c:spPr>
          <c:marker>
            <c:symbol val="diamond"/>
            <c:size val="5"/>
            <c:spPr>
              <a:solidFill>
                <a:schemeClr val="accent6"/>
              </a:solidFill>
              <a:ln w="9525">
                <a:solidFill>
                  <a:schemeClr val="accent6"/>
                </a:solidFill>
              </a:ln>
              <a:effectLst/>
            </c:spPr>
          </c:marker>
          <c:xVal>
            <c:numRef>
              <c:f>'Lifetime prep'!$B$18:$B$77</c:f>
              <c:numCache>
                <c:formatCode>General</c:formatCode>
                <c:ptCount val="6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numCache>
            </c:numRef>
          </c:xVal>
          <c:yVal>
            <c:numRef>
              <c:f>'Lifetime prep'!$M$18:$M$77</c:f>
              <c:numCache>
                <c:formatCode>General</c:formatCode>
                <c:ptCount val="60"/>
                <c:pt idx="0">
                  <c:v>4.8828124523162877E-8</c:v>
                </c:pt>
                <c:pt idx="1">
                  <c:v>7.812497558594136E-7</c:v>
                </c:pt>
                <c:pt idx="2">
                  <c:v>3.9550687394253552E-6</c:v>
                </c:pt>
                <c:pt idx="3">
                  <c:v>1.2499875000625004E-5</c:v>
                </c:pt>
                <c:pt idx="4">
                  <c:v>3.0516646816636107E-5</c:v>
                </c:pt>
                <c:pt idx="5">
                  <c:v>6.3276444762529332E-5</c:v>
                </c:pt>
                <c:pt idx="6">
                  <c:v>1.1721708760473968E-4</c:v>
                </c:pt>
                <c:pt idx="7">
                  <c:v>1.9993601023890779E-4</c:v>
                </c:pt>
                <c:pt idx="8">
                  <c:v>3.2017664489394232E-4</c:v>
                </c:pt>
                <c:pt idx="9">
                  <c:v>4.8780464559666857E-4</c:v>
                </c:pt>
                <c:pt idx="10">
                  <c:v>7.1376910475946462E-4</c:v>
                </c:pt>
                <c:pt idx="11">
                  <c:v>1.0100426119357181E-3</c:v>
                </c:pt>
                <c:pt idx="12">
                  <c:v>1.3895326151285583E-3</c:v>
                </c:pt>
                <c:pt idx="13">
                  <c:v>1.8659551220873026E-3</c:v>
                </c:pt>
                <c:pt idx="14">
                  <c:v>2.4536604082605897E-3</c:v>
                </c:pt>
                <c:pt idx="15">
                  <c:v>3.1673992009607138E-3</c:v>
                </c:pt>
                <c:pt idx="16">
                  <c:v>4.0220169515805841E-3</c:v>
                </c:pt>
                <c:pt idx="17">
                  <c:v>5.0320635069231803E-3</c:v>
                </c:pt>
                <c:pt idx="18">
                  <c:v>6.2113060212620535E-3</c:v>
                </c:pt>
                <c:pt idx="19">
                  <c:v>7.5721346443464402E-3</c:v>
                </c:pt>
                <c:pt idx="20">
                  <c:v>9.1248537588444357E-3</c:v>
                </c:pt>
                <c:pt idx="21">
                  <c:v>1.0876856736366496E-2</c:v>
                </c:pt>
                <c:pt idx="22">
                  <c:v>1.2831689743052521E-2</c:v>
                </c:pt>
                <c:pt idx="23">
                  <c:v>1.4988020403281685E-2</c:v>
                </c:pt>
                <c:pt idx="24">
                  <c:v>1.7338540333878862E-2</c:v>
                </c:pt>
                <c:pt idx="25">
                  <c:v>1.9868846656846136E-2</c:v>
                </c:pt>
                <c:pt idx="26">
                  <c:v>2.2556366177009991E-2</c:v>
                </c:pt>
                <c:pt idx="27">
                  <c:v>2.5369406042893828E-2</c:v>
                </c:pt>
                <c:pt idx="28">
                  <c:v>2.8266434802075115E-2</c:v>
                </c:pt>
                <c:pt idx="29">
                  <c:v>3.1195715447823777E-2</c:v>
                </c:pt>
                <c:pt idx="30">
                  <c:v>3.4095424147170934E-2</c:v>
                </c:pt>
                <c:pt idx="31">
                  <c:v>3.6894390925216188E-2</c:v>
                </c:pt>
                <c:pt idx="32">
                  <c:v>3.9513587276672597E-2</c:v>
                </c:pt>
                <c:pt idx="33">
                  <c:v>4.1868456146748521E-2</c:v>
                </c:pt>
                <c:pt idx="34">
                  <c:v>4.3872128452026746E-2</c:v>
                </c:pt>
                <c:pt idx="35">
                  <c:v>4.5439495630527266E-2</c:v>
                </c:pt>
                <c:pt idx="36">
                  <c:v>4.6492010998328615E-2</c:v>
                </c:pt>
                <c:pt idx="37">
                  <c:v>4.6962979553067309E-2</c:v>
                </c:pt>
                <c:pt idx="38">
                  <c:v>4.6802976999726464E-2</c:v>
                </c:pt>
                <c:pt idx="39">
                  <c:v>4.5984930146430313E-2</c:v>
                </c:pt>
                <c:pt idx="40">
                  <c:v>4.4508312735568628E-2</c:v>
                </c:pt>
                <c:pt idx="41">
                  <c:v>4.2401885537789702E-2</c:v>
                </c:pt>
                <c:pt idx="42">
                  <c:v>3.9724457559867393E-2</c:v>
                </c:pt>
                <c:pt idx="43">
                  <c:v>3.6563279942293775E-2</c:v>
                </c:pt>
                <c:pt idx="44">
                  <c:v>3.3029906519353336E-2</c:v>
                </c:pt>
                <c:pt idx="45">
                  <c:v>2.9253649037129334E-2</c:v>
                </c:pt>
                <c:pt idx="46">
                  <c:v>2.5373085689351475E-2</c:v>
                </c:pt>
                <c:pt idx="47">
                  <c:v>2.1526397322739674E-2</c:v>
                </c:pt>
                <c:pt idx="48">
                  <c:v>1.7841545592917278E-2</c:v>
                </c:pt>
                <c:pt idx="49">
                  <c:v>1.4427413759243946E-2</c:v>
                </c:pt>
                <c:pt idx="50">
                  <c:v>1.1366963787551188E-2</c:v>
                </c:pt>
                <c:pt idx="51">
                  <c:v>8.7132146205893667E-3</c:v>
                </c:pt>
                <c:pt idx="52">
                  <c:v>6.4884470185757144E-3</c:v>
                </c:pt>
                <c:pt idx="53">
                  <c:v>4.6865592114861288E-3</c:v>
                </c:pt>
                <c:pt idx="54">
                  <c:v>3.2780285411635685E-3</c:v>
                </c:pt>
                <c:pt idx="55">
                  <c:v>2.2165738297064211E-3</c:v>
                </c:pt>
                <c:pt idx="56">
                  <c:v>1.4464351297051204E-3</c:v>
                </c:pt>
                <c:pt idx="57">
                  <c:v>9.0922190065148079E-4</c:v>
                </c:pt>
                <c:pt idx="58">
                  <c:v>5.4950527203050743E-4</c:v>
                </c:pt>
                <c:pt idx="59">
                  <c:v>3.1867744553666454E-4</c:v>
                </c:pt>
              </c:numCache>
            </c:numRef>
          </c:yVal>
          <c:smooth val="1"/>
          <c:extLst>
            <c:ext xmlns:c16="http://schemas.microsoft.com/office/drawing/2014/chart" uri="{C3380CC4-5D6E-409C-BE32-E72D297353CC}">
              <c16:uniqueId val="{00000005-D4AF-6A41-A9D3-F31FC921722F}"/>
            </c:ext>
          </c:extLst>
        </c:ser>
        <c:dLbls>
          <c:showLegendKey val="0"/>
          <c:showVal val="0"/>
          <c:showCatName val="0"/>
          <c:showSerName val="0"/>
          <c:showPercent val="0"/>
          <c:showBubbleSize val="0"/>
        </c:dLbls>
        <c:axId val="1604999887"/>
        <c:axId val="1226436959"/>
      </c:scatterChart>
      <c:valAx>
        <c:axId val="1604999887"/>
        <c:scaling>
          <c:orientation val="minMax"/>
          <c:max val="60"/>
        </c:scaling>
        <c:delete val="0"/>
        <c:axPos val="b"/>
        <c:title>
          <c:tx>
            <c:rich>
              <a:bodyPr/>
              <a:lstStyle/>
              <a:p>
                <a:pPr>
                  <a:defRPr/>
                </a:pPr>
                <a:r>
                  <a:rPr lang="en-GB" b="0"/>
                  <a:t>Lifespan (years)</a:t>
                </a: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SE"/>
          </a:p>
        </c:txPr>
        <c:crossAx val="1226436959"/>
        <c:crosses val="autoZero"/>
        <c:crossBetween val="midCat"/>
      </c:valAx>
      <c:valAx>
        <c:axId val="1226436959"/>
        <c:scaling>
          <c:orientation val="minMax"/>
          <c:min val="0"/>
        </c:scaling>
        <c:delete val="0"/>
        <c:axPos val="l"/>
        <c:title>
          <c:tx>
            <c:rich>
              <a:bodyPr rot="-5400000" vert="horz"/>
              <a:lstStyle/>
              <a:p>
                <a:pPr>
                  <a:defRPr/>
                </a:pPr>
                <a:r>
                  <a:rPr lang="en-GB" b="0"/>
                  <a:t>Annual share of installed capacity reaching EoL (%)</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SE"/>
          </a:p>
        </c:txPr>
        <c:crossAx val="1604999887"/>
        <c:crosses val="autoZero"/>
        <c:crossBetween val="midCat"/>
        <c:majorUnit val="0.02"/>
      </c:valAx>
    </c:plotArea>
    <c:legend>
      <c:legendPos val="b"/>
      <c:layout>
        <c:manualLayout>
          <c:xMode val="edge"/>
          <c:yMode val="edge"/>
          <c:x val="0"/>
          <c:y val="0.84703963300720975"/>
          <c:w val="1"/>
          <c:h val="0.12659832832846687"/>
        </c:manualLayout>
      </c:layout>
      <c:overlay val="0"/>
      <c:spPr>
        <a:noFill/>
        <a:ln>
          <a:noFill/>
        </a:ln>
        <a:effectLst/>
      </c:spPr>
      <c:txPr>
        <a:bodyPr rot="0" vert="horz"/>
        <a:lstStyle/>
        <a:p>
          <a:pPr>
            <a:defRPr sz="800"/>
          </a:pPr>
          <a:endParaRPr lang="en-SE"/>
        </a:p>
      </c:txPr>
    </c:legend>
    <c:plotVisOnly val="1"/>
    <c:dispBlanksAs val="gap"/>
    <c:showDLblsOverMax val="0"/>
    <c:extLst/>
  </c:chart>
  <c:spPr>
    <a:ln>
      <a:noFill/>
    </a:ln>
  </c:spPr>
  <c:txPr>
    <a:bodyPr/>
    <a:lstStyle/>
    <a:p>
      <a:pPr>
        <a:defRPr sz="800" i="0">
          <a:solidFill>
            <a:schemeClr val="tx2"/>
          </a:solidFill>
          <a:latin typeface="Times New Roman" panose="02020603050405020304" pitchFamily="18" charset="0"/>
          <a:cs typeface="Times New Roman" panose="02020603050405020304" pitchFamily="18" charset="0"/>
        </a:defRPr>
      </a:pPr>
      <a:endParaRPr lang="en-SE"/>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tockChart>
        <c:ser>
          <c:idx val="0"/>
          <c:order val="0"/>
          <c:tx>
            <c:strRef>
              <c:f>'Mat intensity prep solar'!$J$25</c:f>
              <c:strCache>
                <c:ptCount val="1"/>
                <c:pt idx="0">
                  <c:v>Min</c:v>
                </c:pt>
              </c:strCache>
            </c:strRef>
          </c:tx>
          <c:spPr>
            <a:ln w="19050" cap="rnd">
              <a:noFill/>
              <a:round/>
            </a:ln>
            <a:effectLst/>
          </c:spPr>
          <c:marker>
            <c:symbol val="dash"/>
            <c:size val="6"/>
            <c:spPr>
              <a:solidFill>
                <a:schemeClr val="accent2"/>
              </a:solidFill>
              <a:ln w="15875">
                <a:solidFill>
                  <a:schemeClr val="accent2"/>
                </a:solidFill>
              </a:ln>
              <a:effectLst/>
            </c:spPr>
          </c:marker>
          <c:cat>
            <c:multiLvlStrRef>
              <c:f>'Mat intensity prep solar'!$K$22:$AE$24</c:f>
              <c:multiLvlStrCache>
                <c:ptCount val="21"/>
                <c:lvl>
                  <c:pt idx="0">
                    <c:v>Base year</c:v>
                  </c:pt>
                  <c:pt idx="1">
                    <c:v>2030</c:v>
                  </c:pt>
                  <c:pt idx="2">
                    <c:v>2050</c:v>
                  </c:pt>
                  <c:pt idx="3">
                    <c:v>Base year</c:v>
                  </c:pt>
                  <c:pt idx="4">
                    <c:v>2030</c:v>
                  </c:pt>
                  <c:pt idx="5">
                    <c:v>2050</c:v>
                  </c:pt>
                  <c:pt idx="6">
                    <c:v>Base year</c:v>
                  </c:pt>
                  <c:pt idx="7">
                    <c:v>2030</c:v>
                  </c:pt>
                  <c:pt idx="8">
                    <c:v>2050</c:v>
                  </c:pt>
                  <c:pt idx="9">
                    <c:v>Base year</c:v>
                  </c:pt>
                  <c:pt idx="10">
                    <c:v>2030</c:v>
                  </c:pt>
                  <c:pt idx="11">
                    <c:v>2050</c:v>
                  </c:pt>
                  <c:pt idx="12">
                    <c:v>Base year</c:v>
                  </c:pt>
                  <c:pt idx="13">
                    <c:v>2030</c:v>
                  </c:pt>
                  <c:pt idx="14">
                    <c:v>2050</c:v>
                  </c:pt>
                  <c:pt idx="15">
                    <c:v>Base year</c:v>
                  </c:pt>
                  <c:pt idx="16">
                    <c:v>2030</c:v>
                  </c:pt>
                  <c:pt idx="17">
                    <c:v>2050</c:v>
                  </c:pt>
                  <c:pt idx="18">
                    <c:v>Base year</c:v>
                  </c:pt>
                  <c:pt idx="19">
                    <c:v>2030</c:v>
                  </c:pt>
                  <c:pt idx="20">
                    <c:v>2050</c:v>
                  </c:pt>
                </c:lvl>
                <c:lvl>
                  <c:pt idx="0">
                    <c:v>Ag</c:v>
                  </c:pt>
                  <c:pt idx="3">
                    <c:v> Cd</c:v>
                  </c:pt>
                  <c:pt idx="6">
                    <c:v> Te</c:v>
                  </c:pt>
                  <c:pt idx="9">
                    <c:v> Ge</c:v>
                  </c:pt>
                  <c:pt idx="12">
                    <c:v> In</c:v>
                  </c:pt>
                  <c:pt idx="15">
                    <c:v> Ga</c:v>
                  </c:pt>
                  <c:pt idx="18">
                    <c:v> Se</c:v>
                  </c:pt>
                </c:lvl>
                <c:lvl>
                  <c:pt idx="0">
                    <c:v>cSi</c:v>
                  </c:pt>
                  <c:pt idx="3">
                    <c:v>CdTe</c:v>
                  </c:pt>
                  <c:pt idx="9">
                    <c:v>a-Si</c:v>
                  </c:pt>
                  <c:pt idx="12">
                    <c:v>CIGS</c:v>
                  </c:pt>
                </c:lvl>
              </c:multiLvlStrCache>
            </c:multiLvlStrRef>
          </c:cat>
          <c:val>
            <c:numRef>
              <c:f>'Mat intensity prep solar'!$K$25:$AE$25</c:f>
              <c:numCache>
                <c:formatCode>0.0</c:formatCode>
                <c:ptCount val="21"/>
                <c:pt idx="0">
                  <c:v>4.0999999999999996</c:v>
                </c:pt>
                <c:pt idx="1">
                  <c:v>4</c:v>
                </c:pt>
                <c:pt idx="2">
                  <c:v>1</c:v>
                </c:pt>
                <c:pt idx="3">
                  <c:v>35</c:v>
                </c:pt>
                <c:pt idx="4">
                  <c:v>20</c:v>
                </c:pt>
                <c:pt idx="5">
                  <c:v>10</c:v>
                </c:pt>
                <c:pt idx="6">
                  <c:v>35</c:v>
                </c:pt>
                <c:pt idx="7">
                  <c:v>20</c:v>
                </c:pt>
                <c:pt idx="8">
                  <c:v>11</c:v>
                </c:pt>
                <c:pt idx="9">
                  <c:v>14.8</c:v>
                </c:pt>
                <c:pt idx="10">
                  <c:v>22</c:v>
                </c:pt>
                <c:pt idx="11">
                  <c:v>10</c:v>
                </c:pt>
                <c:pt idx="12">
                  <c:v>10</c:v>
                </c:pt>
                <c:pt idx="13">
                  <c:v>8</c:v>
                </c:pt>
                <c:pt idx="14">
                  <c:v>5</c:v>
                </c:pt>
                <c:pt idx="15">
                  <c:v>3</c:v>
                </c:pt>
                <c:pt idx="16">
                  <c:v>2</c:v>
                </c:pt>
                <c:pt idx="17">
                  <c:v>1</c:v>
                </c:pt>
                <c:pt idx="18">
                  <c:v>22</c:v>
                </c:pt>
                <c:pt idx="19">
                  <c:v>17</c:v>
                </c:pt>
                <c:pt idx="20">
                  <c:v>9</c:v>
                </c:pt>
              </c:numCache>
            </c:numRef>
          </c:val>
          <c:smooth val="0"/>
          <c:extLst>
            <c:ext xmlns:c16="http://schemas.microsoft.com/office/drawing/2014/chart" uri="{C3380CC4-5D6E-409C-BE32-E72D297353CC}">
              <c16:uniqueId val="{00000000-DBA5-2D42-80E6-FB327CD71B49}"/>
            </c:ext>
          </c:extLst>
        </c:ser>
        <c:ser>
          <c:idx val="1"/>
          <c:order val="1"/>
          <c:tx>
            <c:strRef>
              <c:f>'Mat intensity prep solar'!$J$26</c:f>
              <c:strCache>
                <c:ptCount val="1"/>
                <c:pt idx="0">
                  <c:v>Max</c:v>
                </c:pt>
              </c:strCache>
            </c:strRef>
          </c:tx>
          <c:spPr>
            <a:ln w="19050" cap="rnd">
              <a:noFill/>
              <a:round/>
            </a:ln>
            <a:effectLst/>
          </c:spPr>
          <c:marker>
            <c:symbol val="dash"/>
            <c:size val="6"/>
            <c:spPr>
              <a:solidFill>
                <a:schemeClr val="accent2"/>
              </a:solidFill>
              <a:ln w="15875">
                <a:solidFill>
                  <a:schemeClr val="accent2"/>
                </a:solidFill>
              </a:ln>
              <a:effectLst/>
            </c:spPr>
          </c:marker>
          <c:cat>
            <c:multiLvlStrRef>
              <c:f>'Mat intensity prep solar'!$K$22:$AE$24</c:f>
              <c:multiLvlStrCache>
                <c:ptCount val="21"/>
                <c:lvl>
                  <c:pt idx="0">
                    <c:v>Base year</c:v>
                  </c:pt>
                  <c:pt idx="1">
                    <c:v>2030</c:v>
                  </c:pt>
                  <c:pt idx="2">
                    <c:v>2050</c:v>
                  </c:pt>
                  <c:pt idx="3">
                    <c:v>Base year</c:v>
                  </c:pt>
                  <c:pt idx="4">
                    <c:v>2030</c:v>
                  </c:pt>
                  <c:pt idx="5">
                    <c:v>2050</c:v>
                  </c:pt>
                  <c:pt idx="6">
                    <c:v>Base year</c:v>
                  </c:pt>
                  <c:pt idx="7">
                    <c:v>2030</c:v>
                  </c:pt>
                  <c:pt idx="8">
                    <c:v>2050</c:v>
                  </c:pt>
                  <c:pt idx="9">
                    <c:v>Base year</c:v>
                  </c:pt>
                  <c:pt idx="10">
                    <c:v>2030</c:v>
                  </c:pt>
                  <c:pt idx="11">
                    <c:v>2050</c:v>
                  </c:pt>
                  <c:pt idx="12">
                    <c:v>Base year</c:v>
                  </c:pt>
                  <c:pt idx="13">
                    <c:v>2030</c:v>
                  </c:pt>
                  <c:pt idx="14">
                    <c:v>2050</c:v>
                  </c:pt>
                  <c:pt idx="15">
                    <c:v>Base year</c:v>
                  </c:pt>
                  <c:pt idx="16">
                    <c:v>2030</c:v>
                  </c:pt>
                  <c:pt idx="17">
                    <c:v>2050</c:v>
                  </c:pt>
                  <c:pt idx="18">
                    <c:v>Base year</c:v>
                  </c:pt>
                  <c:pt idx="19">
                    <c:v>2030</c:v>
                  </c:pt>
                  <c:pt idx="20">
                    <c:v>2050</c:v>
                  </c:pt>
                </c:lvl>
                <c:lvl>
                  <c:pt idx="0">
                    <c:v>Ag</c:v>
                  </c:pt>
                  <c:pt idx="3">
                    <c:v> Cd</c:v>
                  </c:pt>
                  <c:pt idx="6">
                    <c:v> Te</c:v>
                  </c:pt>
                  <c:pt idx="9">
                    <c:v> Ge</c:v>
                  </c:pt>
                  <c:pt idx="12">
                    <c:v> In</c:v>
                  </c:pt>
                  <c:pt idx="15">
                    <c:v> Ga</c:v>
                  </c:pt>
                  <c:pt idx="18">
                    <c:v> Se</c:v>
                  </c:pt>
                </c:lvl>
                <c:lvl>
                  <c:pt idx="0">
                    <c:v>cSi</c:v>
                  </c:pt>
                  <c:pt idx="3">
                    <c:v>CdTe</c:v>
                  </c:pt>
                  <c:pt idx="9">
                    <c:v>a-Si</c:v>
                  </c:pt>
                  <c:pt idx="12">
                    <c:v>CIGS</c:v>
                  </c:pt>
                </c:lvl>
              </c:multiLvlStrCache>
            </c:multiLvlStrRef>
          </c:cat>
          <c:val>
            <c:numRef>
              <c:f>'Mat intensity prep solar'!$K$26:$AE$26</c:f>
              <c:numCache>
                <c:formatCode>0.0</c:formatCode>
                <c:ptCount val="21"/>
                <c:pt idx="0">
                  <c:v>80</c:v>
                </c:pt>
                <c:pt idx="1">
                  <c:v>11</c:v>
                </c:pt>
                <c:pt idx="2">
                  <c:v>5</c:v>
                </c:pt>
                <c:pt idx="3">
                  <c:v>244</c:v>
                </c:pt>
                <c:pt idx="4">
                  <c:v>60</c:v>
                </c:pt>
                <c:pt idx="5">
                  <c:v>35</c:v>
                </c:pt>
                <c:pt idx="6">
                  <c:v>97.5</c:v>
                </c:pt>
                <c:pt idx="7">
                  <c:v>70</c:v>
                </c:pt>
                <c:pt idx="8">
                  <c:v>40</c:v>
                </c:pt>
                <c:pt idx="9">
                  <c:v>73</c:v>
                </c:pt>
                <c:pt idx="10">
                  <c:v>35</c:v>
                </c:pt>
                <c:pt idx="11">
                  <c:v>20</c:v>
                </c:pt>
                <c:pt idx="12">
                  <c:v>31</c:v>
                </c:pt>
                <c:pt idx="13">
                  <c:v>17</c:v>
                </c:pt>
                <c:pt idx="14">
                  <c:v>10</c:v>
                </c:pt>
                <c:pt idx="15">
                  <c:v>19</c:v>
                </c:pt>
                <c:pt idx="16">
                  <c:v>4.5</c:v>
                </c:pt>
                <c:pt idx="17">
                  <c:v>2.5</c:v>
                </c:pt>
                <c:pt idx="18">
                  <c:v>61</c:v>
                </c:pt>
                <c:pt idx="19">
                  <c:v>40</c:v>
                </c:pt>
                <c:pt idx="20">
                  <c:v>20</c:v>
                </c:pt>
              </c:numCache>
            </c:numRef>
          </c:val>
          <c:smooth val="0"/>
          <c:extLst>
            <c:ext xmlns:c16="http://schemas.microsoft.com/office/drawing/2014/chart" uri="{C3380CC4-5D6E-409C-BE32-E72D297353CC}">
              <c16:uniqueId val="{00000001-DBA5-2D42-80E6-FB327CD71B49}"/>
            </c:ext>
          </c:extLst>
        </c:ser>
        <c:ser>
          <c:idx val="2"/>
          <c:order val="2"/>
          <c:tx>
            <c:strRef>
              <c:f>'Mat intensity prep solar'!$J$27</c:f>
              <c:strCache>
                <c:ptCount val="1"/>
                <c:pt idx="0">
                  <c:v>Average</c:v>
                </c:pt>
              </c:strCache>
            </c:strRef>
          </c:tx>
          <c:spPr>
            <a:ln w="19050" cap="rnd">
              <a:noFill/>
              <a:round/>
            </a:ln>
            <a:effectLst/>
          </c:spPr>
          <c:marker>
            <c:symbol val="x"/>
            <c:size val="5"/>
            <c:spPr>
              <a:noFill/>
              <a:ln w="9525">
                <a:solidFill>
                  <a:schemeClr val="tx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accent1">
                        <a:lumMod val="50000"/>
                      </a:schemeClr>
                    </a:solidFill>
                    <a:latin typeface="Times New Roman" panose="02020603050405020304" pitchFamily="18" charset="0"/>
                    <a:ea typeface="+mn-ea"/>
                    <a:cs typeface="Times New Roman" panose="02020603050405020304" pitchFamily="18" charset="0"/>
                  </a:defRPr>
                </a:pPr>
                <a:endParaRPr lang="en-SE"/>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'Mat intensity prep solar'!$K$22:$AE$24</c:f>
              <c:multiLvlStrCache>
                <c:ptCount val="21"/>
                <c:lvl>
                  <c:pt idx="0">
                    <c:v>Base year</c:v>
                  </c:pt>
                  <c:pt idx="1">
                    <c:v>2030</c:v>
                  </c:pt>
                  <c:pt idx="2">
                    <c:v>2050</c:v>
                  </c:pt>
                  <c:pt idx="3">
                    <c:v>Base year</c:v>
                  </c:pt>
                  <c:pt idx="4">
                    <c:v>2030</c:v>
                  </c:pt>
                  <c:pt idx="5">
                    <c:v>2050</c:v>
                  </c:pt>
                  <c:pt idx="6">
                    <c:v>Base year</c:v>
                  </c:pt>
                  <c:pt idx="7">
                    <c:v>2030</c:v>
                  </c:pt>
                  <c:pt idx="8">
                    <c:v>2050</c:v>
                  </c:pt>
                  <c:pt idx="9">
                    <c:v>Base year</c:v>
                  </c:pt>
                  <c:pt idx="10">
                    <c:v>2030</c:v>
                  </c:pt>
                  <c:pt idx="11">
                    <c:v>2050</c:v>
                  </c:pt>
                  <c:pt idx="12">
                    <c:v>Base year</c:v>
                  </c:pt>
                  <c:pt idx="13">
                    <c:v>2030</c:v>
                  </c:pt>
                  <c:pt idx="14">
                    <c:v>2050</c:v>
                  </c:pt>
                  <c:pt idx="15">
                    <c:v>Base year</c:v>
                  </c:pt>
                  <c:pt idx="16">
                    <c:v>2030</c:v>
                  </c:pt>
                  <c:pt idx="17">
                    <c:v>2050</c:v>
                  </c:pt>
                  <c:pt idx="18">
                    <c:v>Base year</c:v>
                  </c:pt>
                  <c:pt idx="19">
                    <c:v>2030</c:v>
                  </c:pt>
                  <c:pt idx="20">
                    <c:v>2050</c:v>
                  </c:pt>
                </c:lvl>
                <c:lvl>
                  <c:pt idx="0">
                    <c:v>Ag</c:v>
                  </c:pt>
                  <c:pt idx="3">
                    <c:v> Cd</c:v>
                  </c:pt>
                  <c:pt idx="6">
                    <c:v> Te</c:v>
                  </c:pt>
                  <c:pt idx="9">
                    <c:v> Ge</c:v>
                  </c:pt>
                  <c:pt idx="12">
                    <c:v> In</c:v>
                  </c:pt>
                  <c:pt idx="15">
                    <c:v> Ga</c:v>
                  </c:pt>
                  <c:pt idx="18">
                    <c:v> Se</c:v>
                  </c:pt>
                </c:lvl>
                <c:lvl>
                  <c:pt idx="0">
                    <c:v>cSi</c:v>
                  </c:pt>
                  <c:pt idx="3">
                    <c:v>CdTe</c:v>
                  </c:pt>
                  <c:pt idx="9">
                    <c:v>a-Si</c:v>
                  </c:pt>
                  <c:pt idx="12">
                    <c:v>CIGS</c:v>
                  </c:pt>
                </c:lvl>
              </c:multiLvlStrCache>
            </c:multiLvlStrRef>
          </c:cat>
          <c:val>
            <c:numRef>
              <c:f>'Mat intensity prep solar'!$K$27:$AE$27</c:f>
              <c:numCache>
                <c:formatCode>0.0</c:formatCode>
                <c:ptCount val="21"/>
                <c:pt idx="0">
                  <c:v>36.671250000000001</c:v>
                </c:pt>
                <c:pt idx="1">
                  <c:v>7.75</c:v>
                </c:pt>
                <c:pt idx="2">
                  <c:v>2.25</c:v>
                </c:pt>
                <c:pt idx="3">
                  <c:v>88.025000000000006</c:v>
                </c:pt>
                <c:pt idx="4">
                  <c:v>33.6</c:v>
                </c:pt>
                <c:pt idx="5">
                  <c:v>17.2</c:v>
                </c:pt>
                <c:pt idx="6">
                  <c:v>68.487499999999997</c:v>
                </c:pt>
                <c:pt idx="7">
                  <c:v>36.200000000000003</c:v>
                </c:pt>
                <c:pt idx="8">
                  <c:v>20</c:v>
                </c:pt>
                <c:pt idx="9">
                  <c:v>45.266666666666673</c:v>
                </c:pt>
                <c:pt idx="10">
                  <c:v>29</c:v>
                </c:pt>
                <c:pt idx="11">
                  <c:v>14.75</c:v>
                </c:pt>
                <c:pt idx="12">
                  <c:v>18</c:v>
                </c:pt>
                <c:pt idx="13">
                  <c:v>11</c:v>
                </c:pt>
                <c:pt idx="14">
                  <c:v>6.8</c:v>
                </c:pt>
                <c:pt idx="15">
                  <c:v>6.7857142857142856</c:v>
                </c:pt>
                <c:pt idx="16">
                  <c:v>2.9</c:v>
                </c:pt>
                <c:pt idx="17">
                  <c:v>1.6</c:v>
                </c:pt>
                <c:pt idx="18">
                  <c:v>41.5</c:v>
                </c:pt>
                <c:pt idx="19">
                  <c:v>23.8</c:v>
                </c:pt>
                <c:pt idx="20">
                  <c:v>13.2</c:v>
                </c:pt>
              </c:numCache>
            </c:numRef>
          </c:val>
          <c:smooth val="0"/>
          <c:extLst>
            <c:ext xmlns:c16="http://schemas.microsoft.com/office/drawing/2014/chart" uri="{C3380CC4-5D6E-409C-BE32-E72D297353CC}">
              <c16:uniqueId val="{00000002-DBA5-2D42-80E6-FB327CD71B49}"/>
            </c:ext>
          </c:extLst>
        </c:ser>
        <c:dLbls>
          <c:showLegendKey val="0"/>
          <c:showVal val="0"/>
          <c:showCatName val="0"/>
          <c:showSerName val="0"/>
          <c:showPercent val="0"/>
          <c:showBubbleSize val="0"/>
        </c:dLbls>
        <c:hiLowLines>
          <c:spPr>
            <a:ln w="9525" cap="flat" cmpd="sng" algn="ctr">
              <a:solidFill>
                <a:schemeClr val="tx1">
                  <a:lumMod val="75000"/>
                  <a:lumOff val="25000"/>
                </a:schemeClr>
              </a:solidFill>
              <a:round/>
            </a:ln>
            <a:effectLst/>
          </c:spPr>
        </c:hiLowLines>
        <c:axId val="619113759"/>
        <c:axId val="658249247"/>
      </c:stockChart>
      <c:catAx>
        <c:axId val="6191137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accent1">
                    <a:lumMod val="50000"/>
                  </a:schemeClr>
                </a:solidFill>
                <a:latin typeface="Times New Roman" panose="02020603050405020304" pitchFamily="18" charset="0"/>
                <a:ea typeface="+mn-ea"/>
                <a:cs typeface="Times New Roman" panose="02020603050405020304" pitchFamily="18" charset="0"/>
              </a:defRPr>
            </a:pPr>
            <a:endParaRPr lang="en-SE"/>
          </a:p>
        </c:txPr>
        <c:crossAx val="658249247"/>
        <c:crosses val="autoZero"/>
        <c:auto val="1"/>
        <c:lblAlgn val="ctr"/>
        <c:lblOffset val="100"/>
        <c:noMultiLvlLbl val="0"/>
      </c:catAx>
      <c:valAx>
        <c:axId val="658249247"/>
        <c:scaling>
          <c:logBase val="10"/>
          <c:orientation val="minMax"/>
          <c:max val="2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accent1">
                        <a:lumMod val="50000"/>
                      </a:schemeClr>
                    </a:solidFill>
                    <a:latin typeface="Times New Roman" panose="02020603050405020304" pitchFamily="18" charset="0"/>
                    <a:ea typeface="+mn-ea"/>
                    <a:cs typeface="Times New Roman" panose="02020603050405020304" pitchFamily="18" charset="0"/>
                  </a:defRPr>
                </a:pPr>
                <a:r>
                  <a:rPr lang="en-GB"/>
                  <a:t>Material  intensities (kg/MW)</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accent1">
                      <a:lumMod val="50000"/>
                    </a:schemeClr>
                  </a:solidFill>
                  <a:latin typeface="Times New Roman" panose="02020603050405020304" pitchFamily="18" charset="0"/>
                  <a:ea typeface="+mn-ea"/>
                  <a:cs typeface="Times New Roman" panose="02020603050405020304" pitchFamily="18" charset="0"/>
                </a:defRPr>
              </a:pPr>
              <a:endParaRPr lang="en-SE"/>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1">
                    <a:lumMod val="50000"/>
                  </a:schemeClr>
                </a:solidFill>
                <a:latin typeface="Times New Roman" panose="02020603050405020304" pitchFamily="18" charset="0"/>
                <a:ea typeface="+mn-ea"/>
                <a:cs typeface="Times New Roman" panose="02020603050405020304" pitchFamily="18" charset="0"/>
              </a:defRPr>
            </a:pPr>
            <a:endParaRPr lang="en-SE"/>
          </a:p>
        </c:txPr>
        <c:crossAx val="61911375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chemeClr val="accent1">
              <a:lumMod val="50000"/>
            </a:schemeClr>
          </a:solidFill>
          <a:latin typeface="Times New Roman" panose="02020603050405020304" pitchFamily="18" charset="0"/>
          <a:cs typeface="Times New Roman" panose="02020603050405020304" pitchFamily="18" charset="0"/>
        </a:defRPr>
      </a:pPr>
      <a:endParaRPr lang="en-S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tockChart>
        <c:ser>
          <c:idx val="3"/>
          <c:order val="0"/>
          <c:tx>
            <c:strRef>
              <c:f>'Mat intensity prep wind'!$I$6</c:f>
              <c:strCache>
                <c:ptCount val="1"/>
                <c:pt idx="0">
                  <c:v>Min</c:v>
                </c:pt>
              </c:strCache>
            </c:strRef>
          </c:tx>
          <c:spPr>
            <a:ln w="25400" cap="rnd">
              <a:noFill/>
              <a:round/>
            </a:ln>
            <a:effectLst/>
          </c:spPr>
          <c:marker>
            <c:symbol val="dash"/>
            <c:size val="5"/>
            <c:spPr>
              <a:solidFill>
                <a:schemeClr val="accent2"/>
              </a:solidFill>
              <a:ln w="15875">
                <a:solidFill>
                  <a:schemeClr val="accent2"/>
                </a:solidFill>
              </a:ln>
              <a:effectLst/>
            </c:spPr>
          </c:marker>
          <c:cat>
            <c:multiLvlStrRef>
              <c:f>'Mat intensity prep wind'!$J$2:$Y$5</c:f>
              <c:multiLvlStrCache>
                <c:ptCount val="16"/>
                <c:lvl>
                  <c:pt idx="0">
                    <c:v>Base year</c:v>
                  </c:pt>
                  <c:pt idx="1">
                    <c:v>2050</c:v>
                  </c:pt>
                  <c:pt idx="2">
                    <c:v>Base year</c:v>
                  </c:pt>
                  <c:pt idx="3">
                    <c:v>2050</c:v>
                  </c:pt>
                  <c:pt idx="4">
                    <c:v>Current</c:v>
                  </c:pt>
                  <c:pt idx="5">
                    <c:v>2050</c:v>
                  </c:pt>
                  <c:pt idx="6">
                    <c:v>Base year</c:v>
                  </c:pt>
                  <c:pt idx="7">
                    <c:v>2050</c:v>
                  </c:pt>
                  <c:pt idx="8">
                    <c:v>Base year</c:v>
                  </c:pt>
                  <c:pt idx="9">
                    <c:v>2050</c:v>
                  </c:pt>
                  <c:pt idx="10">
                    <c:v>Base year</c:v>
                  </c:pt>
                  <c:pt idx="11">
                    <c:v>2050</c:v>
                  </c:pt>
                  <c:pt idx="12">
                    <c:v>Base year</c:v>
                  </c:pt>
                  <c:pt idx="13">
                    <c:v>2050</c:v>
                  </c:pt>
                  <c:pt idx="14">
                    <c:v>Base year</c:v>
                  </c:pt>
                  <c:pt idx="15">
                    <c:v>2050</c:v>
                  </c:pt>
                </c:lvl>
                <c:lvl>
                  <c:pt idx="0">
                    <c:v>Nd</c:v>
                  </c:pt>
                  <c:pt idx="2">
                    <c:v>Pr</c:v>
                  </c:pt>
                  <c:pt idx="4">
                    <c:v>Dy</c:v>
                  </c:pt>
                  <c:pt idx="6">
                    <c:v>Tb</c:v>
                  </c:pt>
                  <c:pt idx="8">
                    <c:v>Nd</c:v>
                  </c:pt>
                  <c:pt idx="10">
                    <c:v>Pr</c:v>
                  </c:pt>
                  <c:pt idx="12">
                    <c:v>Dy</c:v>
                  </c:pt>
                  <c:pt idx="14">
                    <c:v>Tb</c:v>
                  </c:pt>
                </c:lvl>
                <c:lvl>
                  <c:pt idx="0">
                    <c:v>LRRE</c:v>
                  </c:pt>
                  <c:pt idx="4">
                    <c:v>HRRE</c:v>
                  </c:pt>
                  <c:pt idx="8">
                    <c:v>LRRE</c:v>
                  </c:pt>
                  <c:pt idx="12">
                    <c:v>HRRE</c:v>
                  </c:pt>
                </c:lvl>
                <c:lvl>
                  <c:pt idx="0">
                    <c:v>DD-PMSG</c:v>
                  </c:pt>
                  <c:pt idx="8">
                    <c:v>GB-PMSG</c:v>
                  </c:pt>
                </c:lvl>
              </c:multiLvlStrCache>
            </c:multiLvlStrRef>
          </c:cat>
          <c:val>
            <c:numRef>
              <c:f>'Mat intensity prep wind'!$J$6:$Y$6</c:f>
              <c:numCache>
                <c:formatCode>General</c:formatCode>
                <c:ptCount val="16"/>
                <c:pt idx="0">
                  <c:v>150.80000000000001</c:v>
                </c:pt>
                <c:pt idx="2">
                  <c:v>13</c:v>
                </c:pt>
                <c:pt idx="4">
                  <c:v>19.5</c:v>
                </c:pt>
                <c:pt idx="6">
                  <c:v>1.3</c:v>
                </c:pt>
                <c:pt idx="8">
                  <c:v>27.84</c:v>
                </c:pt>
                <c:pt idx="10">
                  <c:v>3.2</c:v>
                </c:pt>
                <c:pt idx="12">
                  <c:v>4.8</c:v>
                </c:pt>
                <c:pt idx="14">
                  <c:v>1</c:v>
                </c:pt>
              </c:numCache>
            </c:numRef>
          </c:val>
          <c:smooth val="0"/>
          <c:extLst>
            <c:ext xmlns:c16="http://schemas.microsoft.com/office/drawing/2014/chart" uri="{C3380CC4-5D6E-409C-BE32-E72D297353CC}">
              <c16:uniqueId val="{00000000-4901-8344-9DD4-E5111E3C82CD}"/>
            </c:ext>
          </c:extLst>
        </c:ser>
        <c:ser>
          <c:idx val="4"/>
          <c:order val="1"/>
          <c:tx>
            <c:strRef>
              <c:f>'Mat intensity prep wind'!$I$7</c:f>
              <c:strCache>
                <c:ptCount val="1"/>
                <c:pt idx="0">
                  <c:v>Max</c:v>
                </c:pt>
              </c:strCache>
            </c:strRef>
          </c:tx>
          <c:spPr>
            <a:ln w="25400" cap="rnd">
              <a:noFill/>
              <a:round/>
            </a:ln>
            <a:effectLst/>
          </c:spPr>
          <c:marker>
            <c:symbol val="dash"/>
            <c:size val="6"/>
            <c:spPr>
              <a:solidFill>
                <a:schemeClr val="accent2"/>
              </a:solidFill>
              <a:ln w="15875">
                <a:solidFill>
                  <a:schemeClr val="accent2"/>
                </a:solidFill>
              </a:ln>
              <a:effectLst/>
            </c:spPr>
          </c:marker>
          <c:cat>
            <c:multiLvlStrRef>
              <c:f>'Mat intensity prep wind'!$J$2:$Y$5</c:f>
              <c:multiLvlStrCache>
                <c:ptCount val="16"/>
                <c:lvl>
                  <c:pt idx="0">
                    <c:v>Base year</c:v>
                  </c:pt>
                  <c:pt idx="1">
                    <c:v>2050</c:v>
                  </c:pt>
                  <c:pt idx="2">
                    <c:v>Base year</c:v>
                  </c:pt>
                  <c:pt idx="3">
                    <c:v>2050</c:v>
                  </c:pt>
                  <c:pt idx="4">
                    <c:v>Current</c:v>
                  </c:pt>
                  <c:pt idx="5">
                    <c:v>2050</c:v>
                  </c:pt>
                  <c:pt idx="6">
                    <c:v>Base year</c:v>
                  </c:pt>
                  <c:pt idx="7">
                    <c:v>2050</c:v>
                  </c:pt>
                  <c:pt idx="8">
                    <c:v>Base year</c:v>
                  </c:pt>
                  <c:pt idx="9">
                    <c:v>2050</c:v>
                  </c:pt>
                  <c:pt idx="10">
                    <c:v>Base year</c:v>
                  </c:pt>
                  <c:pt idx="11">
                    <c:v>2050</c:v>
                  </c:pt>
                  <c:pt idx="12">
                    <c:v>Base year</c:v>
                  </c:pt>
                  <c:pt idx="13">
                    <c:v>2050</c:v>
                  </c:pt>
                  <c:pt idx="14">
                    <c:v>Base year</c:v>
                  </c:pt>
                  <c:pt idx="15">
                    <c:v>2050</c:v>
                  </c:pt>
                </c:lvl>
                <c:lvl>
                  <c:pt idx="0">
                    <c:v>Nd</c:v>
                  </c:pt>
                  <c:pt idx="2">
                    <c:v>Pr</c:v>
                  </c:pt>
                  <c:pt idx="4">
                    <c:v>Dy</c:v>
                  </c:pt>
                  <c:pt idx="6">
                    <c:v>Tb</c:v>
                  </c:pt>
                  <c:pt idx="8">
                    <c:v>Nd</c:v>
                  </c:pt>
                  <c:pt idx="10">
                    <c:v>Pr</c:v>
                  </c:pt>
                  <c:pt idx="12">
                    <c:v>Dy</c:v>
                  </c:pt>
                  <c:pt idx="14">
                    <c:v>Tb</c:v>
                  </c:pt>
                </c:lvl>
                <c:lvl>
                  <c:pt idx="0">
                    <c:v>LRRE</c:v>
                  </c:pt>
                  <c:pt idx="4">
                    <c:v>HRRE</c:v>
                  </c:pt>
                  <c:pt idx="8">
                    <c:v>LRRE</c:v>
                  </c:pt>
                  <c:pt idx="12">
                    <c:v>HRRE</c:v>
                  </c:pt>
                </c:lvl>
                <c:lvl>
                  <c:pt idx="0">
                    <c:v>DD-PMSG</c:v>
                  </c:pt>
                  <c:pt idx="8">
                    <c:v>GB-PMSG</c:v>
                  </c:pt>
                </c:lvl>
              </c:multiLvlStrCache>
            </c:multiLvlStrRef>
          </c:cat>
          <c:val>
            <c:numRef>
              <c:f>'Mat intensity prep wind'!$J$7:$Y$7</c:f>
              <c:numCache>
                <c:formatCode>General</c:formatCode>
                <c:ptCount val="16"/>
                <c:pt idx="0">
                  <c:v>198</c:v>
                </c:pt>
                <c:pt idx="2">
                  <c:v>48</c:v>
                </c:pt>
                <c:pt idx="4">
                  <c:v>29.25</c:v>
                </c:pt>
                <c:pt idx="6">
                  <c:v>8</c:v>
                </c:pt>
                <c:pt idx="8">
                  <c:v>43.2</c:v>
                </c:pt>
                <c:pt idx="10">
                  <c:v>8.9600000000000009</c:v>
                </c:pt>
                <c:pt idx="12">
                  <c:v>5.3999999999999995</c:v>
                </c:pt>
                <c:pt idx="14">
                  <c:v>1.6</c:v>
                </c:pt>
              </c:numCache>
            </c:numRef>
          </c:val>
          <c:smooth val="0"/>
          <c:extLst>
            <c:ext xmlns:c16="http://schemas.microsoft.com/office/drawing/2014/chart" uri="{C3380CC4-5D6E-409C-BE32-E72D297353CC}">
              <c16:uniqueId val="{00000001-4901-8344-9DD4-E5111E3C82CD}"/>
            </c:ext>
          </c:extLst>
        </c:ser>
        <c:ser>
          <c:idx val="5"/>
          <c:order val="2"/>
          <c:tx>
            <c:strRef>
              <c:f>'Mat intensity prep wind'!$I$8</c:f>
              <c:strCache>
                <c:ptCount val="1"/>
                <c:pt idx="0">
                  <c:v>Average</c:v>
                </c:pt>
              </c:strCache>
            </c:strRef>
          </c:tx>
          <c:spPr>
            <a:ln w="25400" cap="rnd">
              <a:noFill/>
              <a:round/>
            </a:ln>
            <a:effectLst/>
          </c:spPr>
          <c:marker>
            <c:symbol val="x"/>
            <c:size val="5"/>
            <c:spPr>
              <a:noFill/>
              <a:ln w="9525">
                <a:solidFill>
                  <a:schemeClr val="tx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SE"/>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'Mat intensity prep wind'!$J$2:$Y$5</c:f>
              <c:multiLvlStrCache>
                <c:ptCount val="16"/>
                <c:lvl>
                  <c:pt idx="0">
                    <c:v>Base year</c:v>
                  </c:pt>
                  <c:pt idx="1">
                    <c:v>2050</c:v>
                  </c:pt>
                  <c:pt idx="2">
                    <c:v>Base year</c:v>
                  </c:pt>
                  <c:pt idx="3">
                    <c:v>2050</c:v>
                  </c:pt>
                  <c:pt idx="4">
                    <c:v>Current</c:v>
                  </c:pt>
                  <c:pt idx="5">
                    <c:v>2050</c:v>
                  </c:pt>
                  <c:pt idx="6">
                    <c:v>Base year</c:v>
                  </c:pt>
                  <c:pt idx="7">
                    <c:v>2050</c:v>
                  </c:pt>
                  <c:pt idx="8">
                    <c:v>Base year</c:v>
                  </c:pt>
                  <c:pt idx="9">
                    <c:v>2050</c:v>
                  </c:pt>
                  <c:pt idx="10">
                    <c:v>Base year</c:v>
                  </c:pt>
                  <c:pt idx="11">
                    <c:v>2050</c:v>
                  </c:pt>
                  <c:pt idx="12">
                    <c:v>Base year</c:v>
                  </c:pt>
                  <c:pt idx="13">
                    <c:v>2050</c:v>
                  </c:pt>
                  <c:pt idx="14">
                    <c:v>Base year</c:v>
                  </c:pt>
                  <c:pt idx="15">
                    <c:v>2050</c:v>
                  </c:pt>
                </c:lvl>
                <c:lvl>
                  <c:pt idx="0">
                    <c:v>Nd</c:v>
                  </c:pt>
                  <c:pt idx="2">
                    <c:v>Pr</c:v>
                  </c:pt>
                  <c:pt idx="4">
                    <c:v>Dy</c:v>
                  </c:pt>
                  <c:pt idx="6">
                    <c:v>Tb</c:v>
                  </c:pt>
                  <c:pt idx="8">
                    <c:v>Nd</c:v>
                  </c:pt>
                  <c:pt idx="10">
                    <c:v>Pr</c:v>
                  </c:pt>
                  <c:pt idx="12">
                    <c:v>Dy</c:v>
                  </c:pt>
                  <c:pt idx="14">
                    <c:v>Tb</c:v>
                  </c:pt>
                </c:lvl>
                <c:lvl>
                  <c:pt idx="0">
                    <c:v>LRRE</c:v>
                  </c:pt>
                  <c:pt idx="4">
                    <c:v>HRRE</c:v>
                  </c:pt>
                  <c:pt idx="8">
                    <c:v>LRRE</c:v>
                  </c:pt>
                  <c:pt idx="12">
                    <c:v>HRRE</c:v>
                  </c:pt>
                </c:lvl>
                <c:lvl>
                  <c:pt idx="0">
                    <c:v>DD-PMSG</c:v>
                  </c:pt>
                  <c:pt idx="8">
                    <c:v>GB-PMSG</c:v>
                  </c:pt>
                </c:lvl>
              </c:multiLvlStrCache>
            </c:multiLvlStrRef>
          </c:cat>
          <c:val>
            <c:numRef>
              <c:f>'Mat intensity prep wind'!$J$8:$Y$8</c:f>
              <c:numCache>
                <c:formatCode>0.0</c:formatCode>
                <c:ptCount val="16"/>
                <c:pt idx="0">
                  <c:v>176.56</c:v>
                </c:pt>
                <c:pt idx="1">
                  <c:v>123.592</c:v>
                </c:pt>
                <c:pt idx="2">
                  <c:v>35.318750000000001</c:v>
                </c:pt>
                <c:pt idx="3">
                  <c:v>24.723125</c:v>
                </c:pt>
                <c:pt idx="4">
                  <c:v>26.55</c:v>
                </c:pt>
                <c:pt idx="5">
                  <c:v>13.275</c:v>
                </c:pt>
                <c:pt idx="6">
                  <c:v>5.7</c:v>
                </c:pt>
                <c:pt idx="7">
                  <c:v>2.85</c:v>
                </c:pt>
                <c:pt idx="8">
                  <c:v>34.480000000000004</c:v>
                </c:pt>
                <c:pt idx="9">
                  <c:v>24.136000000000003</c:v>
                </c:pt>
                <c:pt idx="10">
                  <c:v>6.7533333333333339</c:v>
                </c:pt>
                <c:pt idx="11">
                  <c:v>4.7273333333333332</c:v>
                </c:pt>
                <c:pt idx="12">
                  <c:v>5.0799999999999992</c:v>
                </c:pt>
                <c:pt idx="13">
                  <c:v>2.5399999999999996</c:v>
                </c:pt>
                <c:pt idx="14">
                  <c:v>1.3</c:v>
                </c:pt>
                <c:pt idx="15">
                  <c:v>0.65</c:v>
                </c:pt>
              </c:numCache>
            </c:numRef>
          </c:val>
          <c:smooth val="0"/>
          <c:extLst>
            <c:ext xmlns:c16="http://schemas.microsoft.com/office/drawing/2014/chart" uri="{C3380CC4-5D6E-409C-BE32-E72D297353CC}">
              <c16:uniqueId val="{00000002-4901-8344-9DD4-E5111E3C82CD}"/>
            </c:ext>
          </c:extLst>
        </c:ser>
        <c:dLbls>
          <c:showLegendKey val="0"/>
          <c:showVal val="0"/>
          <c:showCatName val="0"/>
          <c:showSerName val="0"/>
          <c:showPercent val="0"/>
          <c:showBubbleSize val="0"/>
        </c:dLbls>
        <c:hiLowLines>
          <c:spPr>
            <a:ln w="9525" cap="flat" cmpd="sng" algn="ctr">
              <a:solidFill>
                <a:schemeClr val="tx2"/>
              </a:solidFill>
              <a:round/>
            </a:ln>
            <a:effectLst/>
          </c:spPr>
        </c:hiLowLines>
        <c:axId val="1294835935"/>
        <c:axId val="2110311151"/>
      </c:stockChart>
      <c:catAx>
        <c:axId val="12948359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SE"/>
          </a:p>
        </c:txPr>
        <c:crossAx val="2110311151"/>
        <c:crossesAt val="0.1"/>
        <c:auto val="1"/>
        <c:lblAlgn val="ctr"/>
        <c:lblOffset val="100"/>
        <c:noMultiLvlLbl val="0"/>
      </c:catAx>
      <c:valAx>
        <c:axId val="2110311151"/>
        <c:scaling>
          <c:logBase val="10"/>
          <c:orientation val="minMax"/>
          <c:min val="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n-GB"/>
                  <a:t>Material  intensities (kg/MW)</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SE"/>
          </a:p>
        </c:txPr>
        <c:crossAx val="129483593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chemeClr val="tx2"/>
          </a:solidFill>
          <a:latin typeface="Times New Roman" panose="02020603050405020304" pitchFamily="18" charset="0"/>
          <a:cs typeface="Times New Roman" panose="02020603050405020304" pitchFamily="18" charset="0"/>
        </a:defRPr>
      </a:pPr>
      <a:endParaRPr lang="en-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0508E0-55ED-8642-85EF-02E419F81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26</Pages>
  <Words>37357</Words>
  <Characters>212938</Characters>
  <Application>Microsoft Office Word</Application>
  <DocSecurity>0</DocSecurity>
  <Lines>1774</Lines>
  <Paragraphs>499</Paragraphs>
  <ScaleCrop>false</ScaleCrop>
  <HeadingPairs>
    <vt:vector size="2" baseType="variant">
      <vt:variant>
        <vt:lpstr>Title</vt:lpstr>
      </vt:variant>
      <vt:variant>
        <vt:i4>1</vt:i4>
      </vt:variant>
    </vt:vector>
  </HeadingPairs>
  <TitlesOfParts>
    <vt:vector size="1" baseType="lpstr">
      <vt:lpstr>Application of Physical Economy Approaches</vt:lpstr>
    </vt:vector>
  </TitlesOfParts>
  <Company>Griffith University</Company>
  <LinksUpToDate>false</LinksUpToDate>
  <CharactersWithSpaces>249796</CharactersWithSpaces>
  <SharedDoc>false</SharedDoc>
  <HLinks>
    <vt:vector size="54" baseType="variant">
      <vt:variant>
        <vt:i4>1900605</vt:i4>
      </vt:variant>
      <vt:variant>
        <vt:i4>50</vt:i4>
      </vt:variant>
      <vt:variant>
        <vt:i4>0</vt:i4>
      </vt:variant>
      <vt:variant>
        <vt:i4>5</vt:i4>
      </vt:variant>
      <vt:variant>
        <vt:lpwstr/>
      </vt:variant>
      <vt:variant>
        <vt:lpwstr>_Toc198126647</vt:lpwstr>
      </vt:variant>
      <vt:variant>
        <vt:i4>1900605</vt:i4>
      </vt:variant>
      <vt:variant>
        <vt:i4>44</vt:i4>
      </vt:variant>
      <vt:variant>
        <vt:i4>0</vt:i4>
      </vt:variant>
      <vt:variant>
        <vt:i4>5</vt:i4>
      </vt:variant>
      <vt:variant>
        <vt:lpwstr/>
      </vt:variant>
      <vt:variant>
        <vt:lpwstr>_Toc198126646</vt:lpwstr>
      </vt:variant>
      <vt:variant>
        <vt:i4>1900605</vt:i4>
      </vt:variant>
      <vt:variant>
        <vt:i4>38</vt:i4>
      </vt:variant>
      <vt:variant>
        <vt:i4>0</vt:i4>
      </vt:variant>
      <vt:variant>
        <vt:i4>5</vt:i4>
      </vt:variant>
      <vt:variant>
        <vt:lpwstr/>
      </vt:variant>
      <vt:variant>
        <vt:lpwstr>_Toc198126645</vt:lpwstr>
      </vt:variant>
      <vt:variant>
        <vt:i4>1900605</vt:i4>
      </vt:variant>
      <vt:variant>
        <vt:i4>32</vt:i4>
      </vt:variant>
      <vt:variant>
        <vt:i4>0</vt:i4>
      </vt:variant>
      <vt:variant>
        <vt:i4>5</vt:i4>
      </vt:variant>
      <vt:variant>
        <vt:lpwstr/>
      </vt:variant>
      <vt:variant>
        <vt:lpwstr>_Toc198126644</vt:lpwstr>
      </vt:variant>
      <vt:variant>
        <vt:i4>1900605</vt:i4>
      </vt:variant>
      <vt:variant>
        <vt:i4>26</vt:i4>
      </vt:variant>
      <vt:variant>
        <vt:i4>0</vt:i4>
      </vt:variant>
      <vt:variant>
        <vt:i4>5</vt:i4>
      </vt:variant>
      <vt:variant>
        <vt:lpwstr/>
      </vt:variant>
      <vt:variant>
        <vt:lpwstr>_Toc198126643</vt:lpwstr>
      </vt:variant>
      <vt:variant>
        <vt:i4>1900605</vt:i4>
      </vt:variant>
      <vt:variant>
        <vt:i4>20</vt:i4>
      </vt:variant>
      <vt:variant>
        <vt:i4>0</vt:i4>
      </vt:variant>
      <vt:variant>
        <vt:i4>5</vt:i4>
      </vt:variant>
      <vt:variant>
        <vt:lpwstr/>
      </vt:variant>
      <vt:variant>
        <vt:lpwstr>_Toc198126642</vt:lpwstr>
      </vt:variant>
      <vt:variant>
        <vt:i4>1900605</vt:i4>
      </vt:variant>
      <vt:variant>
        <vt:i4>14</vt:i4>
      </vt:variant>
      <vt:variant>
        <vt:i4>0</vt:i4>
      </vt:variant>
      <vt:variant>
        <vt:i4>5</vt:i4>
      </vt:variant>
      <vt:variant>
        <vt:lpwstr/>
      </vt:variant>
      <vt:variant>
        <vt:lpwstr>_Toc198126641</vt:lpwstr>
      </vt:variant>
      <vt:variant>
        <vt:i4>1900605</vt:i4>
      </vt:variant>
      <vt:variant>
        <vt:i4>8</vt:i4>
      </vt:variant>
      <vt:variant>
        <vt:i4>0</vt:i4>
      </vt:variant>
      <vt:variant>
        <vt:i4>5</vt:i4>
      </vt:variant>
      <vt:variant>
        <vt:lpwstr/>
      </vt:variant>
      <vt:variant>
        <vt:lpwstr>_Toc198126640</vt:lpwstr>
      </vt:variant>
      <vt:variant>
        <vt:i4>1703997</vt:i4>
      </vt:variant>
      <vt:variant>
        <vt:i4>2</vt:i4>
      </vt:variant>
      <vt:variant>
        <vt:i4>0</vt:i4>
      </vt:variant>
      <vt:variant>
        <vt:i4>5</vt:i4>
      </vt:variant>
      <vt:variant>
        <vt:lpwstr/>
      </vt:variant>
      <vt:variant>
        <vt:lpwstr>_Toc198126639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of Physical Economy Approaches</dc:title>
  <dc:subject/>
  <dc:creator>Peter Daniels</dc:creator>
  <cp:keywords/>
  <cp:lastModifiedBy>Georgia Savvidou</cp:lastModifiedBy>
  <cp:revision>23</cp:revision>
  <cp:lastPrinted>2011-02-03T23:37:00Z</cp:lastPrinted>
  <dcterms:created xsi:type="dcterms:W3CDTF">2025-09-18T13:52:00Z</dcterms:created>
  <dcterms:modified xsi:type="dcterms:W3CDTF">2025-11-05T11:49:00Z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zotero-version="7.0.26"&gt;&lt;session id="ghkJQ3c4"/&gt;&lt;style id="http://www.zotero.org/styles/apa" locale="en-US" hasBibliography="1" bibliographyStyleHasBeenSet="1"/&gt;&lt;prefs&gt;&lt;pref name="fieldType" value="Field"/&gt;&lt;pref name="delayCitationU</vt:lpwstr>
  </property>
  <property fmtid="{D5CDD505-2E9C-101B-9397-08002B2CF9AE}" pid="3" name="ZOTERO_PREF_2">
    <vt:lpwstr>pdates" value="true"/&gt;&lt;pref name="dontAskDelayCitationUpdates" value="true"/&gt;&lt;/prefs&gt;&lt;/data&gt;</vt:lpwstr>
  </property>
</Properties>
</file>