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1670"/>
        <w:gridCol w:w="1135"/>
        <w:gridCol w:w="941"/>
        <w:gridCol w:w="1612"/>
        <w:gridCol w:w="991"/>
        <w:gridCol w:w="1014"/>
      </w:tblGrid>
      <w:tr w:rsidR="00B122F0" w:rsidRPr="001355EC" w14:paraId="3663F536" w14:textId="77777777" w:rsidTr="00C62B77">
        <w:trPr>
          <w:trHeight w:val="302"/>
        </w:trPr>
        <w:tc>
          <w:tcPr>
            <w:tcW w:w="619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52E648B3" w14:textId="77777777" w:rsidR="00B122F0" w:rsidRDefault="00B122F0" w:rsidP="006132AE">
            <w:pPr>
              <w:pStyle w:val="GvdeMetni"/>
              <w:spacing w:before="0" w:after="0"/>
              <w:rPr>
                <w:lang w:val="tr-TR"/>
              </w:rPr>
            </w:pPr>
            <w:r w:rsidRPr="001355EC">
              <w:rPr>
                <w:lang w:val="tr-TR"/>
              </w:rPr>
              <w:t xml:space="preserve">                                                                     </w:t>
            </w:r>
            <w:bookmarkStart w:id="0" w:name="_Hlk205320778"/>
            <w:r w:rsidRPr="001355EC">
              <w:rPr>
                <w:lang w:val="tr-TR"/>
              </w:rPr>
              <w:t xml:space="preserve">STAS </w:t>
            </w:r>
            <w:proofErr w:type="spellStart"/>
            <w:r w:rsidRPr="001355EC">
              <w:rPr>
                <w:lang w:val="tr-TR"/>
              </w:rPr>
              <w:t>negative</w:t>
            </w:r>
            <w:proofErr w:type="spellEnd"/>
            <w:r w:rsidRPr="001355EC">
              <w:rPr>
                <w:lang w:val="tr-TR"/>
              </w:rPr>
              <w:t xml:space="preserve">    </w:t>
            </w:r>
          </w:p>
          <w:p w14:paraId="677FE712" w14:textId="77777777" w:rsidR="00B122F0" w:rsidRPr="001355EC" w:rsidRDefault="00B122F0" w:rsidP="006132AE">
            <w:pPr>
              <w:pStyle w:val="GvdeMetni"/>
              <w:spacing w:before="0" w:after="0"/>
              <w:rPr>
                <w:lang w:val="tr-TR"/>
              </w:rPr>
            </w:pPr>
            <w:r>
              <w:rPr>
                <w:lang w:val="tr-TR"/>
              </w:rPr>
              <w:t xml:space="preserve">                                                                           (n=47)</w:t>
            </w:r>
          </w:p>
        </w:tc>
        <w:tc>
          <w:tcPr>
            <w:tcW w:w="36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30D09AE5" w14:textId="77777777" w:rsidR="00B122F0" w:rsidRDefault="00B122F0" w:rsidP="006132AE">
            <w:pPr>
              <w:pStyle w:val="GvdeMetni"/>
              <w:spacing w:before="0" w:after="0"/>
              <w:rPr>
                <w:lang w:val="tr-TR"/>
              </w:rPr>
            </w:pPr>
            <w:r w:rsidRPr="001355EC">
              <w:rPr>
                <w:lang w:val="tr-TR"/>
              </w:rPr>
              <w:t xml:space="preserve">       </w:t>
            </w:r>
            <w:r>
              <w:rPr>
                <w:lang w:val="tr-TR"/>
              </w:rPr>
              <w:t xml:space="preserve">               </w:t>
            </w:r>
            <w:r w:rsidRPr="001355EC">
              <w:rPr>
                <w:lang w:val="tr-TR"/>
              </w:rPr>
              <w:t xml:space="preserve">STAS </w:t>
            </w:r>
            <w:proofErr w:type="spellStart"/>
            <w:r w:rsidRPr="001355EC">
              <w:rPr>
                <w:lang w:val="tr-TR"/>
              </w:rPr>
              <w:t>positive</w:t>
            </w:r>
            <w:proofErr w:type="spellEnd"/>
          </w:p>
          <w:p w14:paraId="4DD3189C" w14:textId="77777777" w:rsidR="00B122F0" w:rsidRPr="001355EC" w:rsidRDefault="00B122F0" w:rsidP="006132AE">
            <w:pPr>
              <w:pStyle w:val="GvdeMetni"/>
              <w:spacing w:before="0" w:after="0"/>
              <w:rPr>
                <w:lang w:val="tr-TR"/>
              </w:rPr>
            </w:pPr>
            <w:r>
              <w:rPr>
                <w:lang w:val="tr-TR"/>
              </w:rPr>
              <w:t xml:space="preserve">                           (n=61)</w:t>
            </w:r>
          </w:p>
        </w:tc>
      </w:tr>
      <w:tr w:rsidR="00B122F0" w:rsidRPr="009F2300" w14:paraId="60F43A46" w14:textId="77777777" w:rsidTr="00711A5C">
        <w:trPr>
          <w:gridAfter w:val="2"/>
          <w:wAfter w:w="2005" w:type="dxa"/>
          <w:trHeight w:val="409"/>
        </w:trPr>
        <w:tc>
          <w:tcPr>
            <w:tcW w:w="2451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3C2D89B" w14:textId="77777777" w:rsidR="00B122F0" w:rsidRPr="001355EC" w:rsidRDefault="00B122F0" w:rsidP="006132AE">
            <w:pPr>
              <w:pStyle w:val="GvdeMetni"/>
              <w:spacing w:after="0"/>
              <w:rPr>
                <w:lang w:val="tr-TR"/>
              </w:rPr>
            </w:pPr>
            <w:r>
              <w:rPr>
                <w:lang w:val="tr-TR"/>
              </w:rPr>
              <w:t>Age</w:t>
            </w:r>
          </w:p>
        </w:tc>
        <w:tc>
          <w:tcPr>
            <w:tcW w:w="1670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54FC90CB" w14:textId="77777777" w:rsidR="00B122F0" w:rsidRPr="005F6D44" w:rsidRDefault="00B122F0" w:rsidP="006132AE">
            <w:pPr>
              <w:pStyle w:val="GvdeMetni"/>
              <w:spacing w:after="0"/>
              <w:ind w:right="-63"/>
              <w:rPr>
                <w:lang w:val="tr-TR"/>
              </w:rPr>
            </w:pPr>
            <w:r w:rsidRPr="001355EC">
              <w:rPr>
                <w:lang w:val="tr-TR"/>
              </w:rPr>
              <w:t>45-86</w:t>
            </w:r>
            <w:r>
              <w:rPr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5F6D44">
              <w:rPr>
                <w:sz w:val="20"/>
                <w:szCs w:val="20"/>
                <w:lang w:val="tr-TR"/>
              </w:rPr>
              <w:t>mean</w:t>
            </w:r>
            <w:proofErr w:type="spellEnd"/>
            <w:r w:rsidRPr="005F6D44">
              <w:rPr>
                <w:sz w:val="20"/>
                <w:szCs w:val="20"/>
                <w:lang w:val="tr-TR"/>
              </w:rPr>
              <w:t>=66</w:t>
            </w:r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84B9775" w14:textId="77777777" w:rsidR="00B122F0" w:rsidRPr="001355EC" w:rsidRDefault="00B122F0" w:rsidP="006132AE">
            <w:pPr>
              <w:pStyle w:val="GvdeMetni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41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6FE49EF" w14:textId="77777777" w:rsidR="00B122F0" w:rsidRPr="001355EC" w:rsidRDefault="00B122F0" w:rsidP="006132AE">
            <w:pPr>
              <w:pStyle w:val="GvdeMetni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46714FD" w14:textId="77777777" w:rsidR="00B122F0" w:rsidRPr="001355EC" w:rsidRDefault="00B122F0" w:rsidP="006132AE">
            <w:pPr>
              <w:pStyle w:val="GvdeMetni"/>
              <w:spacing w:after="0"/>
              <w:rPr>
                <w:lang w:val="tr-TR"/>
              </w:rPr>
            </w:pPr>
            <w:r w:rsidRPr="001355EC">
              <w:rPr>
                <w:lang w:val="tr-TR"/>
              </w:rPr>
              <w:t>45-87</w:t>
            </w: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5F6D44">
              <w:rPr>
                <w:sz w:val="20"/>
                <w:szCs w:val="20"/>
                <w:lang w:val="tr-TR"/>
              </w:rPr>
              <w:t>mean</w:t>
            </w:r>
            <w:proofErr w:type="spellEnd"/>
            <w:r w:rsidRPr="005F6D44">
              <w:rPr>
                <w:sz w:val="20"/>
                <w:szCs w:val="20"/>
                <w:lang w:val="tr-TR"/>
              </w:rPr>
              <w:t>=67</w:t>
            </w:r>
            <w:r>
              <w:rPr>
                <w:sz w:val="20"/>
                <w:szCs w:val="20"/>
                <w:lang w:val="tr-TR"/>
              </w:rPr>
              <w:t>)</w:t>
            </w:r>
          </w:p>
          <w:p w14:paraId="619D0C78" w14:textId="77777777" w:rsidR="00B122F0" w:rsidRPr="001355EC" w:rsidRDefault="00B122F0" w:rsidP="006132AE">
            <w:pPr>
              <w:pStyle w:val="GvdeMetni"/>
              <w:ind w:left="-88"/>
              <w:rPr>
                <w:sz w:val="20"/>
                <w:szCs w:val="20"/>
                <w:lang w:val="tr-TR"/>
              </w:rPr>
            </w:pPr>
          </w:p>
        </w:tc>
      </w:tr>
      <w:tr w:rsidR="00B122F0" w:rsidRPr="001355EC" w14:paraId="28B3C970" w14:textId="77777777" w:rsidTr="006132AE">
        <w:trPr>
          <w:trHeight w:val="3428"/>
        </w:trPr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6C71BD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>
              <w:rPr>
                <w:lang w:val="tr-TR"/>
              </w:rPr>
              <w:t>Gender</w:t>
            </w:r>
            <w:proofErr w:type="spellEnd"/>
          </w:p>
          <w:p w14:paraId="1F541F20" w14:textId="77777777" w:rsidR="00B122F0" w:rsidRPr="001355EC" w:rsidRDefault="00B122F0" w:rsidP="00B122F0">
            <w:pPr>
              <w:pStyle w:val="GvdeMetni"/>
              <w:numPr>
                <w:ilvl w:val="0"/>
                <w:numId w:val="1"/>
              </w:numPr>
              <w:ind w:left="642"/>
              <w:rPr>
                <w:lang w:val="tr-TR"/>
              </w:rPr>
            </w:pPr>
            <w:r w:rsidRPr="001355EC">
              <w:rPr>
                <w:lang w:val="tr-TR"/>
              </w:rPr>
              <w:t>Male</w:t>
            </w:r>
          </w:p>
          <w:p w14:paraId="793AE2B1" w14:textId="77777777" w:rsidR="00B122F0" w:rsidRPr="001355EC" w:rsidRDefault="00B122F0" w:rsidP="00B122F0">
            <w:pPr>
              <w:pStyle w:val="GvdeMetni"/>
              <w:numPr>
                <w:ilvl w:val="0"/>
                <w:numId w:val="1"/>
              </w:numPr>
              <w:ind w:left="642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Female</w:t>
            </w:r>
            <w:proofErr w:type="spellEnd"/>
          </w:p>
          <w:p w14:paraId="631798DC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Operation</w:t>
            </w:r>
            <w:proofErr w:type="spellEnd"/>
          </w:p>
          <w:p w14:paraId="1B5013CE" w14:textId="77777777" w:rsidR="00B122F0" w:rsidRPr="001355EC" w:rsidRDefault="00B122F0" w:rsidP="00B122F0">
            <w:pPr>
              <w:pStyle w:val="GvdeMetni"/>
              <w:numPr>
                <w:ilvl w:val="0"/>
                <w:numId w:val="2"/>
              </w:numPr>
              <w:ind w:left="642" w:hanging="383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Wedge</w:t>
            </w:r>
            <w:proofErr w:type="spellEnd"/>
          </w:p>
          <w:p w14:paraId="6A147E2E" w14:textId="77777777" w:rsidR="00B122F0" w:rsidRPr="001355EC" w:rsidRDefault="00B122F0" w:rsidP="00B122F0">
            <w:pPr>
              <w:pStyle w:val="GvdeMetni"/>
              <w:numPr>
                <w:ilvl w:val="0"/>
                <w:numId w:val="2"/>
              </w:numPr>
              <w:ind w:left="642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Lobectomy</w:t>
            </w:r>
            <w:proofErr w:type="spellEnd"/>
          </w:p>
          <w:p w14:paraId="2F399B54" w14:textId="77777777" w:rsidR="00B122F0" w:rsidRPr="001355EC" w:rsidRDefault="00B122F0" w:rsidP="00B122F0">
            <w:pPr>
              <w:pStyle w:val="GvdeMetni"/>
              <w:numPr>
                <w:ilvl w:val="0"/>
                <w:numId w:val="2"/>
              </w:numPr>
              <w:ind w:left="642" w:hanging="383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Pneumonectomy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008BF94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7AAA7757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38</w:t>
            </w:r>
          </w:p>
          <w:p w14:paraId="78B137F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9</w:t>
            </w:r>
          </w:p>
          <w:p w14:paraId="41BE00FC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3138AB2D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22</w:t>
            </w:r>
          </w:p>
          <w:p w14:paraId="660B98D7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21</w:t>
            </w:r>
          </w:p>
          <w:p w14:paraId="65F3527C" w14:textId="77777777" w:rsidR="00B122F0" w:rsidRPr="001355EC" w:rsidRDefault="00B122F0" w:rsidP="006132AE">
            <w:pPr>
              <w:pStyle w:val="GvdeMetni"/>
              <w:jc w:val="center"/>
              <w:rPr>
                <w:u w:val="single"/>
                <w:lang w:val="tr-TR"/>
              </w:rPr>
            </w:pPr>
            <w:r w:rsidRPr="001355EC">
              <w:rPr>
                <w:lang w:val="tr-T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04BD8" w14:textId="77777777" w:rsidR="00B122F0" w:rsidRDefault="00B122F0" w:rsidP="006132AE">
            <w:pPr>
              <w:pStyle w:val="GvdeMetni"/>
              <w:rPr>
                <w:lang w:val="tr-TR"/>
              </w:rPr>
            </w:pPr>
          </w:p>
          <w:p w14:paraId="005A6D6C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28247472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1993F356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5BEAFBC3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60C959A7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27815880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u w:val="single"/>
                <w:lang w:val="tr-T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2CF181" w14:textId="77777777" w:rsidR="00B122F0" w:rsidRPr="001355EC" w:rsidRDefault="00B122F0" w:rsidP="006132AE">
            <w:pPr>
              <w:pStyle w:val="GvdeMetni"/>
              <w:rPr>
                <w:u w:val="single"/>
                <w:lang w:val="tr-TR"/>
              </w:rPr>
            </w:pPr>
          </w:p>
          <w:p w14:paraId="5F39B4E2" w14:textId="77777777" w:rsidR="00B122F0" w:rsidRPr="001355EC" w:rsidRDefault="00B122F0" w:rsidP="006132AE">
            <w:pPr>
              <w:pStyle w:val="GvdeMetni"/>
              <w:rPr>
                <w:u w:val="single"/>
                <w:lang w:val="tr-TR"/>
              </w:rPr>
            </w:pPr>
          </w:p>
          <w:p w14:paraId="43DD25D5" w14:textId="77777777" w:rsidR="00B122F0" w:rsidRPr="001355EC" w:rsidRDefault="00B122F0" w:rsidP="006132AE">
            <w:pPr>
              <w:pStyle w:val="GvdeMetni"/>
              <w:rPr>
                <w:u w:val="single"/>
                <w:lang w:val="tr-TR"/>
              </w:rPr>
            </w:pPr>
          </w:p>
          <w:p w14:paraId="16012D28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462E03AA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6E4F6A12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</w:p>
          <w:p w14:paraId="77A52228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u w:val="single"/>
                <w:lang w:val="tr-TR"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51C4ED9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7A09871D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48</w:t>
            </w:r>
          </w:p>
          <w:p w14:paraId="5A914AC9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13</w:t>
            </w:r>
          </w:p>
          <w:p w14:paraId="12EEE68D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720F676B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25</w:t>
            </w:r>
          </w:p>
          <w:p w14:paraId="53FF568D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33</w:t>
            </w:r>
          </w:p>
          <w:p w14:paraId="05A8419B" w14:textId="77777777" w:rsidR="00B122F0" w:rsidRPr="001355EC" w:rsidRDefault="00B122F0" w:rsidP="006132AE">
            <w:pPr>
              <w:pStyle w:val="GvdeMetni"/>
              <w:jc w:val="center"/>
              <w:rPr>
                <w:u w:val="single"/>
                <w:lang w:val="tr-TR"/>
              </w:rPr>
            </w:pPr>
            <w:r w:rsidRPr="001355EC">
              <w:rPr>
                <w:lang w:val="tr-TR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99DB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775551F8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1F369008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0B403CFB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3A7013E5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78B80032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45EC6D5C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u w:val="single"/>
                <w:lang w:val="tr-T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C2B2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2B814580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19540569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476052A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5550A644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12075C5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</w:p>
          <w:p w14:paraId="3F6F3793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lang w:val="tr-TR"/>
              </w:rPr>
            </w:pPr>
          </w:p>
        </w:tc>
        <w:bookmarkEnd w:id="0"/>
      </w:tr>
      <w:tr w:rsidR="00B122F0" w:rsidRPr="001355EC" w14:paraId="00161F89" w14:textId="77777777" w:rsidTr="006132AE">
        <w:trPr>
          <w:trHeight w:val="575"/>
        </w:trPr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4388A9" w14:textId="77777777" w:rsidR="00B122F0" w:rsidRDefault="00B122F0" w:rsidP="006132AE">
            <w:pPr>
              <w:pStyle w:val="GvdeMetni"/>
              <w:spacing w:after="0"/>
              <w:rPr>
                <w:lang w:val="tr-TR"/>
              </w:rPr>
            </w:pPr>
            <w:proofErr w:type="spellStart"/>
            <w:r>
              <w:rPr>
                <w:lang w:val="tr-TR"/>
              </w:rPr>
              <w:t>Variables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DDE6CFE" w14:textId="77777777" w:rsidR="00B122F0" w:rsidRDefault="00B122F0" w:rsidP="006132AE">
            <w:pPr>
              <w:pStyle w:val="GvdeMetni"/>
              <w:spacing w:after="0"/>
              <w:jc w:val="center"/>
              <w:rPr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1355EC">
              <w:rPr>
                <w:sz w:val="20"/>
                <w:szCs w:val="20"/>
                <w:lang w:val="tr-TR"/>
              </w:rPr>
              <w:t>min-max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855EA" w14:textId="77777777" w:rsidR="00B122F0" w:rsidRDefault="00B122F0" w:rsidP="006132AE">
            <w:pPr>
              <w:pStyle w:val="GvdeMetni"/>
              <w:spacing w:after="0"/>
              <w:jc w:val="center"/>
              <w:rPr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1355EC">
              <w:rPr>
                <w:sz w:val="20"/>
                <w:szCs w:val="20"/>
                <w:lang w:val="tr-TR"/>
              </w:rPr>
              <w:t>mean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D4E5C6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u w:val="single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1355EC">
              <w:rPr>
                <w:sz w:val="20"/>
                <w:szCs w:val="20"/>
                <w:lang w:val="tr-TR"/>
              </w:rPr>
              <w:t>median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57FA8C3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1355EC">
              <w:rPr>
                <w:sz w:val="20"/>
                <w:szCs w:val="20"/>
                <w:lang w:val="tr-TR"/>
              </w:rPr>
              <w:t>min-max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9ED6C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1355EC">
              <w:rPr>
                <w:sz w:val="20"/>
                <w:szCs w:val="20"/>
                <w:lang w:val="tr-TR"/>
              </w:rPr>
              <w:t>mean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624FF" w14:textId="77777777" w:rsidR="00B122F0" w:rsidRPr="001355EC" w:rsidRDefault="00B122F0" w:rsidP="006132AE">
            <w:pPr>
              <w:pStyle w:val="GvdeMetni"/>
              <w:spacing w:after="0"/>
              <w:jc w:val="center"/>
              <w:rPr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 w:rsidRPr="001355EC">
              <w:rPr>
                <w:sz w:val="20"/>
                <w:szCs w:val="20"/>
                <w:lang w:val="tr-TR"/>
              </w:rPr>
              <w:t>median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</w:tr>
      <w:tr w:rsidR="00B122F0" w:rsidRPr="001355EC" w14:paraId="0BE499C7" w14:textId="77777777" w:rsidTr="006132AE">
        <w:trPr>
          <w:trHeight w:val="4407"/>
        </w:trPr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C47686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Tumor</w:t>
            </w:r>
            <w:proofErr w:type="spellEnd"/>
            <w:r w:rsidRPr="001355EC">
              <w:rPr>
                <w:lang w:val="tr-TR"/>
              </w:rPr>
              <w:t xml:space="preserve"> </w:t>
            </w:r>
            <w:proofErr w:type="spellStart"/>
            <w:r w:rsidRPr="001355EC">
              <w:rPr>
                <w:lang w:val="tr-TR"/>
              </w:rPr>
              <w:t>diameter</w:t>
            </w:r>
            <w:proofErr w:type="spellEnd"/>
          </w:p>
          <w:p w14:paraId="6B03F5E1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SUVmax</w:t>
            </w:r>
            <w:proofErr w:type="spellEnd"/>
          </w:p>
          <w:p w14:paraId="11FCA251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SUVmean</w:t>
            </w:r>
            <w:proofErr w:type="spellEnd"/>
          </w:p>
          <w:p w14:paraId="23EBAE5B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r w:rsidRPr="001355EC">
              <w:rPr>
                <w:lang w:val="tr-TR"/>
              </w:rPr>
              <w:t>MTV</w:t>
            </w:r>
            <w:r>
              <w:rPr>
                <w:lang w:val="tr-TR"/>
              </w:rPr>
              <w:t xml:space="preserve"> (%42 </w:t>
            </w:r>
            <w:proofErr w:type="spellStart"/>
            <w:r>
              <w:rPr>
                <w:lang w:val="tr-TR"/>
              </w:rPr>
              <w:t>threshold</w:t>
            </w:r>
            <w:proofErr w:type="spellEnd"/>
            <w:r>
              <w:rPr>
                <w:lang w:val="tr-TR"/>
              </w:rPr>
              <w:t>)</w:t>
            </w:r>
          </w:p>
          <w:p w14:paraId="238CA3FD" w14:textId="77777777" w:rsidR="00B122F0" w:rsidRDefault="00B122F0" w:rsidP="006132AE">
            <w:pPr>
              <w:pStyle w:val="GvdeMetni"/>
              <w:rPr>
                <w:lang w:val="tr-TR"/>
              </w:rPr>
            </w:pPr>
            <w:r w:rsidRPr="001355EC">
              <w:rPr>
                <w:lang w:val="tr-TR"/>
              </w:rPr>
              <w:t>TLG</w:t>
            </w:r>
            <w:r>
              <w:rPr>
                <w:lang w:val="tr-TR"/>
              </w:rPr>
              <w:t xml:space="preserve">   (%42 </w:t>
            </w:r>
            <w:proofErr w:type="spellStart"/>
            <w:r>
              <w:rPr>
                <w:lang w:val="tr-TR"/>
              </w:rPr>
              <w:t>threshold</w:t>
            </w:r>
            <w:proofErr w:type="spellEnd"/>
            <w:r>
              <w:rPr>
                <w:lang w:val="tr-TR"/>
              </w:rPr>
              <w:t>)</w:t>
            </w:r>
          </w:p>
          <w:p w14:paraId="657BECF6" w14:textId="77777777" w:rsidR="00B122F0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>
              <w:rPr>
                <w:lang w:val="tr-TR"/>
              </w:rPr>
              <w:t>MTVmax</w:t>
            </w:r>
            <w:proofErr w:type="spellEnd"/>
          </w:p>
          <w:p w14:paraId="5E3E8137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>
              <w:rPr>
                <w:lang w:val="tr-TR"/>
              </w:rPr>
              <w:t>TLGmax</w:t>
            </w:r>
            <w:proofErr w:type="spellEnd"/>
          </w:p>
          <w:p w14:paraId="1EF011BF" w14:textId="77777777" w:rsidR="00B122F0" w:rsidRPr="001355EC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Pe</w:t>
            </w:r>
            <w:r>
              <w:rPr>
                <w:lang w:val="tr-TR"/>
              </w:rPr>
              <w:t>ritumoral</w:t>
            </w:r>
            <w:r w:rsidRPr="001355EC">
              <w:rPr>
                <w:lang w:val="tr-TR"/>
              </w:rPr>
              <w:t>MTV</w:t>
            </w:r>
            <w:proofErr w:type="spellEnd"/>
          </w:p>
          <w:p w14:paraId="7AE57C0A" w14:textId="77777777" w:rsidR="00B122F0" w:rsidRDefault="00B122F0" w:rsidP="006132AE">
            <w:pPr>
              <w:pStyle w:val="GvdeMetni"/>
              <w:rPr>
                <w:lang w:val="tr-TR"/>
              </w:rPr>
            </w:pPr>
            <w:proofErr w:type="spellStart"/>
            <w:r w:rsidRPr="001355EC">
              <w:rPr>
                <w:lang w:val="tr-TR"/>
              </w:rPr>
              <w:t>Pe</w:t>
            </w:r>
            <w:r>
              <w:rPr>
                <w:lang w:val="tr-TR"/>
              </w:rPr>
              <w:t>ritumoral</w:t>
            </w:r>
            <w:r w:rsidRPr="001355EC">
              <w:rPr>
                <w:lang w:val="tr-TR"/>
              </w:rPr>
              <w:t>TLG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D4798D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0.6-11</w:t>
            </w:r>
          </w:p>
          <w:p w14:paraId="0248020C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1.8-29.1</w:t>
            </w:r>
          </w:p>
          <w:p w14:paraId="1F834873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0.9-11</w:t>
            </w:r>
          </w:p>
          <w:p w14:paraId="0A7F1F34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0.5-292</w:t>
            </w:r>
          </w:p>
          <w:p w14:paraId="49DCB394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1.7-3475</w:t>
            </w:r>
          </w:p>
          <w:p w14:paraId="32E21C9E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9A482E">
              <w:t>1.0 – 464</w:t>
            </w:r>
          </w:p>
          <w:p w14:paraId="2770A9CC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9A482E">
              <w:t>2.0–44</w:t>
            </w:r>
            <w:r>
              <w:t>50</w:t>
            </w:r>
          </w:p>
          <w:p w14:paraId="282ECD21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0.2-172</w:t>
            </w:r>
          </w:p>
          <w:p w14:paraId="2680328C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0.3-974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F1FEA3F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2.7</w:t>
            </w:r>
          </w:p>
          <w:p w14:paraId="266A2E02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11.9</w:t>
            </w:r>
          </w:p>
          <w:p w14:paraId="5273C244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4.93</w:t>
            </w:r>
          </w:p>
          <w:p w14:paraId="3DF085B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15.5</w:t>
            </w:r>
          </w:p>
          <w:p w14:paraId="4F479819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164.2</w:t>
            </w:r>
          </w:p>
          <w:p w14:paraId="08A2DB44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31.2</w:t>
            </w:r>
          </w:p>
          <w:p w14:paraId="6AC26D8F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245.7</w:t>
            </w:r>
          </w:p>
          <w:p w14:paraId="3FF1E715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15.74</w:t>
            </w:r>
          </w:p>
          <w:p w14:paraId="3E3AEC31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81.5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83EC4A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</w:t>
            </w:r>
          </w:p>
          <w:p w14:paraId="610CC093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11.3</w:t>
            </w:r>
          </w:p>
          <w:p w14:paraId="4144C49C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4.41</w:t>
            </w:r>
          </w:p>
          <w:p w14:paraId="06375C28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4.6</w:t>
            </w:r>
          </w:p>
          <w:p w14:paraId="14D728F3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18.3</w:t>
            </w:r>
          </w:p>
          <w:p w14:paraId="1D4AB185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8.8</w:t>
            </w:r>
          </w:p>
          <w:p w14:paraId="5588FA7B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25.9</w:t>
            </w:r>
          </w:p>
          <w:p w14:paraId="02FE1F3F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4.1</w:t>
            </w:r>
          </w:p>
          <w:p w14:paraId="6A017034" w14:textId="77777777" w:rsidR="00B122F0" w:rsidRPr="001355EC" w:rsidRDefault="00B122F0" w:rsidP="006132AE">
            <w:pPr>
              <w:pStyle w:val="GvdeMetni"/>
              <w:jc w:val="center"/>
              <w:rPr>
                <w:u w:val="single"/>
                <w:lang w:val="tr-TR"/>
              </w:rPr>
            </w:pPr>
            <w:r w:rsidRPr="001355EC">
              <w:rPr>
                <w:lang w:val="tr-TR"/>
              </w:rPr>
              <w:t>9.6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3A5D33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0.3-8</w:t>
            </w:r>
          </w:p>
          <w:p w14:paraId="5E1643FE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3.6-36</w:t>
            </w:r>
          </w:p>
          <w:p w14:paraId="173B58A5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1.9-11.5</w:t>
            </w:r>
          </w:p>
          <w:p w14:paraId="5AC45E99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0.7-137</w:t>
            </w:r>
          </w:p>
          <w:p w14:paraId="3A6DF750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3-1685</w:t>
            </w:r>
          </w:p>
          <w:p w14:paraId="27B588D6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9A482E">
              <w:t>1.4 – 319</w:t>
            </w:r>
          </w:p>
          <w:p w14:paraId="7A4F4C3C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9A482E">
              <w:t>4.9–2693</w:t>
            </w:r>
          </w:p>
          <w:p w14:paraId="4F2C9979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0.6-182</w:t>
            </w:r>
          </w:p>
          <w:p w14:paraId="7D08A493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1.4-1007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F9E91A3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2.9</w:t>
            </w:r>
          </w:p>
          <w:p w14:paraId="11460C55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14.8</w:t>
            </w:r>
          </w:p>
          <w:p w14:paraId="4753E4DB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5.76</w:t>
            </w:r>
          </w:p>
          <w:p w14:paraId="787F8670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12.1</w:t>
            </w:r>
          </w:p>
          <w:p w14:paraId="4F557192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131.4</w:t>
            </w:r>
          </w:p>
          <w:p w14:paraId="1BF2C3AF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27.7</w:t>
            </w:r>
          </w:p>
          <w:p w14:paraId="4B49DBA7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207.6</w:t>
            </w:r>
          </w:p>
          <w:p w14:paraId="6B7C6FA8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15.71</w:t>
            </w:r>
          </w:p>
          <w:p w14:paraId="1FD45FA4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78.5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165E7BA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2.9</w:t>
            </w:r>
          </w:p>
          <w:p w14:paraId="2D77998C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12.1</w:t>
            </w:r>
          </w:p>
          <w:p w14:paraId="604A5491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4.8</w:t>
            </w:r>
          </w:p>
          <w:p w14:paraId="1E9B2E2C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4.4</w:t>
            </w:r>
          </w:p>
          <w:p w14:paraId="42470C40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21</w:t>
            </w:r>
          </w:p>
          <w:p w14:paraId="3AADCAEB" w14:textId="77777777" w:rsidR="00B122F0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8.2</w:t>
            </w:r>
          </w:p>
          <w:p w14:paraId="384E60C7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>
              <w:rPr>
                <w:lang w:val="tr-TR"/>
              </w:rPr>
              <w:t>37.5</w:t>
            </w:r>
          </w:p>
          <w:p w14:paraId="31E3901B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4.4</w:t>
            </w:r>
          </w:p>
          <w:p w14:paraId="021C1F2C" w14:textId="77777777" w:rsidR="00B122F0" w:rsidRPr="001355EC" w:rsidRDefault="00B122F0" w:rsidP="006132AE">
            <w:pPr>
              <w:pStyle w:val="GvdeMetni"/>
              <w:jc w:val="center"/>
              <w:rPr>
                <w:lang w:val="tr-TR"/>
              </w:rPr>
            </w:pPr>
            <w:r w:rsidRPr="001355EC">
              <w:rPr>
                <w:lang w:val="tr-TR"/>
              </w:rPr>
              <w:t>16.2</w:t>
            </w:r>
          </w:p>
        </w:tc>
      </w:tr>
    </w:tbl>
    <w:p w14:paraId="2A2E7CCC" w14:textId="77777777" w:rsidR="00B122F0" w:rsidRDefault="00B122F0"/>
    <w:p w14:paraId="43AA2AE4" w14:textId="6D0ED273" w:rsidR="00B122F0" w:rsidRDefault="00B122F0" w:rsidP="00E028D0">
      <w:pPr>
        <w:pStyle w:val="GvdeMetni"/>
        <w:spacing w:before="0"/>
        <w:jc w:val="center"/>
      </w:pPr>
      <w:r w:rsidRPr="009002C2">
        <w:rPr>
          <w:b/>
          <w:bCs/>
          <w:sz w:val="20"/>
          <w:szCs w:val="20"/>
        </w:rPr>
        <w:t>Table 1.</w:t>
      </w:r>
      <w:r w:rsidRPr="009002C2">
        <w:rPr>
          <w:sz w:val="20"/>
          <w:szCs w:val="20"/>
        </w:rPr>
        <w:t xml:space="preserve"> Clinicopathological characteristics stratified by tumor spread through air spac</w:t>
      </w:r>
      <w:r w:rsidR="00E028D0">
        <w:rPr>
          <w:sz w:val="20"/>
          <w:szCs w:val="20"/>
        </w:rPr>
        <w:t>e</w:t>
      </w:r>
    </w:p>
    <w:sectPr w:rsidR="00B1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219"/>
    <w:multiLevelType w:val="hybridMultilevel"/>
    <w:tmpl w:val="B8F42038"/>
    <w:lvl w:ilvl="0" w:tplc="041F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19451DA0"/>
    <w:multiLevelType w:val="hybridMultilevel"/>
    <w:tmpl w:val="FC3E6F0A"/>
    <w:lvl w:ilvl="0" w:tplc="041F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 w16cid:durableId="1093164749">
    <w:abstractNumId w:val="1"/>
  </w:num>
  <w:num w:numId="2" w16cid:durableId="175531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F0"/>
    <w:rsid w:val="00193FD5"/>
    <w:rsid w:val="005516EA"/>
    <w:rsid w:val="00711A5C"/>
    <w:rsid w:val="00B122F0"/>
    <w:rsid w:val="00C62B77"/>
    <w:rsid w:val="00E0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E33C"/>
  <w15:chartTrackingRefBased/>
  <w15:docId w15:val="{0D1A4AC1-4FEE-455D-B5FE-0B6792AD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F0"/>
    <w:pPr>
      <w:spacing w:after="200" w:line="240" w:lineRule="auto"/>
    </w:pPr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2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2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2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2F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22F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22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22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22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22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2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22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22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22F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22F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22F0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qFormat/>
    <w:rsid w:val="00B122F0"/>
    <w:pPr>
      <w:spacing w:before="180" w:after="180"/>
    </w:pPr>
  </w:style>
  <w:style w:type="character" w:customStyle="1" w:styleId="GvdeMetniChar">
    <w:name w:val="Gövde Metni Char"/>
    <w:basedOn w:val="VarsaylanParagrafYazTipi"/>
    <w:link w:val="GvdeMetni"/>
    <w:rsid w:val="00B122F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kocabeyoğlu</dc:creator>
  <cp:keywords/>
  <dc:description/>
  <cp:lastModifiedBy>batuhan kocabeyoğlu</cp:lastModifiedBy>
  <cp:revision>4</cp:revision>
  <dcterms:created xsi:type="dcterms:W3CDTF">2025-08-13T17:12:00Z</dcterms:created>
  <dcterms:modified xsi:type="dcterms:W3CDTF">2025-08-16T18:25:00Z</dcterms:modified>
</cp:coreProperties>
</file>