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20" w:rsidRPr="00FD4B7D" w:rsidRDefault="00405520" w:rsidP="00405520">
      <w:pPr>
        <w:rPr>
          <w:b/>
          <w:bCs/>
          <w:color w:val="000000" w:themeColor="text1"/>
          <w:lang w:val="en-GB"/>
        </w:rPr>
      </w:pPr>
      <w:r w:rsidRPr="00FD4B7D">
        <w:rPr>
          <w:b/>
          <w:bCs/>
          <w:color w:val="000000" w:themeColor="text1"/>
          <w:lang w:val="en-GB"/>
        </w:rPr>
        <w:t>ANNEX TABLES</w:t>
      </w:r>
    </w:p>
    <w:tbl>
      <w:tblPr>
        <w:tblW w:w="498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926"/>
        <w:gridCol w:w="770"/>
        <w:gridCol w:w="1513"/>
        <w:gridCol w:w="1416"/>
        <w:gridCol w:w="1787"/>
        <w:gridCol w:w="1728"/>
        <w:gridCol w:w="150"/>
        <w:gridCol w:w="1469"/>
        <w:gridCol w:w="3026"/>
        <w:gridCol w:w="2338"/>
      </w:tblGrid>
      <w:tr w:rsidR="00405520" w:rsidRPr="00D971F3" w:rsidTr="00FF1510">
        <w:trPr>
          <w:gridAfter w:val="1"/>
          <w:wAfter w:w="725" w:type="pct"/>
          <w:trHeight w:val="450"/>
        </w:trPr>
        <w:tc>
          <w:tcPr>
            <w:tcW w:w="4275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Table 1: Cancer location in the group of workers with SA due to cancer and diagnosis underlying SAs in the comparison group with other causes by sex in Catalonia (2012-2015)</w:t>
            </w:r>
          </w:p>
        </w:tc>
      </w:tr>
      <w:tr w:rsidR="00405520" w:rsidRPr="00D971F3" w:rsidTr="00FF1510">
        <w:trPr>
          <w:trHeight w:val="145"/>
        </w:trPr>
        <w:tc>
          <w:tcPr>
            <w:tcW w:w="42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Comparison group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Men 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Women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SA due to cancer diagnosis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Lip, oral cavity, and pharynx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 (1.3)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(0.7)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Digestive organs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42 (18.7)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25 (8.6)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Respiratory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19 (8.4)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(2.1)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Bone and articular cartilage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Skin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27 (12.0)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53 (18.2)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Connective and soft tissue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 (1.3)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Breast and female genital organs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152 (52.2)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Male genital organs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52 (23.1)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Urinary organs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41 (18.2)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(5.8)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Eye, brain, and central nervous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 (1.7)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Endocrine glands and related structures 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 (5.2)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Secondary and ill-defined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Lymphoid, haematopoietic, and related tissue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14 (6.2)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8 (2.7)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Multiple locations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(0.3)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Total 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225 (100)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291 (100)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SA due to other diagnoses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sz w:val="20"/>
                <w:szCs w:val="20"/>
                <w:lang w:val="en-GB" w:eastAsia="es-ES"/>
              </w:rPr>
              <w:t>Infectious and parasitic diseases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33 (14.7)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32 (11.0)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In situ, benign neoplasms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9 (3.1)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27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Endocrine, nutritional, and metabolic diseases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(0.7)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Mental and behavioural disorders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 (6.7)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 (7.6)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nervous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(0.9)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12 (4.1)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eye and adnexa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(2.1)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ear and mastoid process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circulatory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12 (4.1)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respiratory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46 (20.4)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47 (16.2)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digestive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(7.6)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19 (6.5)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3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skin and subcutaneous tissue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(0.9)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27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musculoskeletal system and connective tissue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59 (26.2)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68 (23.4)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genitourinary system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(3.4)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Pregnancy, childbirth, and the puerperium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(1.4)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27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Symptoms, signs, and abnormal clinical and laboratory findings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(5.8)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278"/>
        </w:trPr>
        <w:tc>
          <w:tcPr>
            <w:tcW w:w="23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Injury, poisoning, and certain other consequences of external causes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(7.6)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16 (5.5)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284"/>
        </w:trPr>
        <w:tc>
          <w:tcPr>
            <w:tcW w:w="2342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Factors influencing health status and contact with health services</w:t>
            </w:r>
          </w:p>
        </w:tc>
        <w:tc>
          <w:tcPr>
            <w:tcW w:w="99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(0.3)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FD4B7D" w:rsidTr="00FF1510">
        <w:trPr>
          <w:trHeight w:val="145"/>
        </w:trPr>
        <w:tc>
          <w:tcPr>
            <w:tcW w:w="234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Total</w:t>
            </w:r>
          </w:p>
        </w:tc>
        <w:tc>
          <w:tcPr>
            <w:tcW w:w="9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225 (100)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291 (100)</w:t>
            </w:r>
          </w:p>
        </w:tc>
        <w:tc>
          <w:tcPr>
            <w:tcW w:w="725" w:type="pct"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D971F3" w:rsidTr="00FF1510">
        <w:trPr>
          <w:trHeight w:val="26"/>
        </w:trPr>
        <w:tc>
          <w:tcPr>
            <w:tcW w:w="427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*N, Absences between 2012 and 2015; SA, sickness absence; MD(P25, P75), median duration and percentile 25 and 75 of the absences.</w:t>
            </w:r>
          </w:p>
        </w:tc>
        <w:tc>
          <w:tcPr>
            <w:tcW w:w="725" w:type="pct"/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405520" w:rsidRPr="00D971F3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15"/>
        </w:trPr>
        <w:tc>
          <w:tcPr>
            <w:tcW w:w="2879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520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  <w:p w:rsidR="00405520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  <w:p w:rsidR="00405520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bookmarkStart w:id="0" w:name="_GoBack"/>
            <w:bookmarkEnd w:id="0"/>
            <w:r w:rsidRPr="00FD4B7D">
              <w:rPr>
                <w:rFonts w:ascii="Calibri" w:eastAsia="Times New Roman" w:hAnsi="Calibri" w:cs="Calibri"/>
                <w:color w:val="000000"/>
                <w:lang w:val="en-GB" w:eastAsia="es-ES"/>
              </w:rPr>
              <w:t>Table 2: Goodness-of-fit indicator values for each model class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15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Model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E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BIC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LMR-LRT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% individuals in each class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00"/>
        </w:trPr>
        <w:tc>
          <w:tcPr>
            <w:tcW w:w="34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Men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2-class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0.992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37.225.198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0.0000***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69.7, 30.3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00"/>
        </w:trPr>
        <w:tc>
          <w:tcPr>
            <w:tcW w:w="34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3-class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0.985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36.317.827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0.0340*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60.3, 11.6, 28.1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15"/>
        </w:trPr>
        <w:tc>
          <w:tcPr>
            <w:tcW w:w="34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4-class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0.981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35.642.475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0.0226*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14.5, 14.2, 60.3, 11.0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00"/>
        </w:trPr>
        <w:tc>
          <w:tcPr>
            <w:tcW w:w="34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Women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2-class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0.997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46.623.942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0.0000***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77.3, 22.7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00"/>
        </w:trPr>
        <w:tc>
          <w:tcPr>
            <w:tcW w:w="34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3-class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0.997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45.720.904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0.0075**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  <w:t>6.4, 18.8, 74.8</w:t>
            </w:r>
          </w:p>
        </w:tc>
      </w:tr>
      <w:tr w:rsidR="00405520" w:rsidRPr="00FD4B7D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315"/>
        </w:trPr>
        <w:tc>
          <w:tcPr>
            <w:tcW w:w="34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s-ES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4-class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0.970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45.334.979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0.0071**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20" w:rsidRPr="00B757B6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B757B6">
              <w:rPr>
                <w:rFonts w:ascii="Calibri" w:eastAsia="Times New Roman" w:hAnsi="Calibri" w:cs="Calibri"/>
                <w:color w:val="000000"/>
                <w:lang w:val="en-GB" w:eastAsia="es-ES"/>
              </w:rPr>
              <w:t>5.8, 6.6, 18.7, 68.8</w:t>
            </w:r>
          </w:p>
        </w:tc>
      </w:tr>
      <w:tr w:rsidR="00405520" w:rsidRPr="00D971F3" w:rsidTr="00FF1510">
        <w:tblPrEx>
          <w:tblCellMar>
            <w:top w:w="15" w:type="dxa"/>
          </w:tblCellMar>
        </w:tblPrEx>
        <w:trPr>
          <w:gridAfter w:val="4"/>
          <w:wAfter w:w="2121" w:type="pct"/>
          <w:trHeight w:val="450"/>
        </w:trPr>
        <w:tc>
          <w:tcPr>
            <w:tcW w:w="2879" w:type="pct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FD4B7D">
              <w:rPr>
                <w:rFonts w:ascii="Calibri" w:eastAsia="Times New Roman" w:hAnsi="Calibri" w:cs="Calibri"/>
                <w:color w:val="000000"/>
                <w:lang w:val="en-GB" w:eastAsia="es-ES"/>
              </w:rPr>
              <w:t>E, entropy; BIC, Bayesian information criterion; LMR-LRT, Lo-Mendell-Rubin adjusted likelihood ratio test. The preferred 3-class model is presented in bold.*p&lt;0.05, **p&lt;0.01, ***p&lt;0.001.</w:t>
            </w:r>
          </w:p>
        </w:tc>
      </w:tr>
      <w:tr w:rsidR="00405520" w:rsidRPr="00D971F3" w:rsidTr="00FF1510">
        <w:tblPrEx>
          <w:tblCellMar>
            <w:top w:w="15" w:type="dxa"/>
          </w:tblCellMar>
        </w:tblPrEx>
        <w:trPr>
          <w:gridAfter w:val="3"/>
          <w:wAfter w:w="2119" w:type="pct"/>
          <w:trHeight w:val="300"/>
        </w:trPr>
        <w:tc>
          <w:tcPr>
            <w:tcW w:w="2879" w:type="pct"/>
            <w:gridSpan w:val="7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05520" w:rsidRPr="00FD4B7D" w:rsidRDefault="00405520" w:rsidP="00FF1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20" w:rsidRPr="00FD4B7D" w:rsidRDefault="00405520" w:rsidP="00FF15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</w:tr>
    </w:tbl>
    <w:p w:rsidR="00405520" w:rsidRPr="00FD4B7D" w:rsidRDefault="00405520" w:rsidP="00405520">
      <w:pPr>
        <w:rPr>
          <w:color w:val="000000" w:themeColor="text1"/>
          <w:lang w:val="en-GB"/>
        </w:rPr>
      </w:pPr>
    </w:p>
    <w:p w:rsidR="00405520" w:rsidRPr="00FD4B7D" w:rsidRDefault="00405520" w:rsidP="00405520">
      <w:pPr>
        <w:rPr>
          <w:color w:val="000000" w:themeColor="text1"/>
          <w:lang w:val="en-GB"/>
        </w:rPr>
      </w:pPr>
    </w:p>
    <w:p w:rsidR="00000F57" w:rsidRDefault="00405520"/>
    <w:sectPr w:rsidR="00000F57" w:rsidSect="00E53A4E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20"/>
    <w:rsid w:val="0007695B"/>
    <w:rsid w:val="00405520"/>
    <w:rsid w:val="005615C6"/>
    <w:rsid w:val="007D4061"/>
    <w:rsid w:val="008B4EED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0103D"/>
  <w15:chartTrackingRefBased/>
  <w15:docId w15:val="{CCB79786-50D2-489A-B40D-F1DC2F4B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20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>Springer Nature IT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2021-08-19T06:24:00Z</dcterms:created>
  <dcterms:modified xsi:type="dcterms:W3CDTF">2021-08-19T06:25:00Z</dcterms:modified>
</cp:coreProperties>
</file>