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1FE019" w14:textId="44F20F3B" w:rsidR="003B54CE" w:rsidRPr="003B54CE" w:rsidRDefault="003B54CE" w:rsidP="003B54CE">
      <w:pPr>
        <w:rPr>
          <w:b/>
          <w:bCs/>
          <w:lang w:val="en-US"/>
        </w:rPr>
      </w:pPr>
      <w:r w:rsidRPr="003B54CE">
        <w:rPr>
          <w:b/>
          <w:lang w:val="en-US"/>
        </w:rPr>
        <w:drawing>
          <wp:inline distT="0" distB="0" distL="0" distR="0" wp14:anchorId="76455020" wp14:editId="01242FA5">
            <wp:extent cx="5731510" cy="3555365"/>
            <wp:effectExtent l="0" t="0" r="2540" b="6985"/>
            <wp:docPr id="23314813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5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4FE51" w14:textId="77777777" w:rsidR="003B54CE" w:rsidRPr="003B54CE" w:rsidRDefault="003B54CE" w:rsidP="003B54CE">
      <w:pPr>
        <w:rPr>
          <w:lang w:val="en-US"/>
        </w:rPr>
      </w:pPr>
      <w:r w:rsidRPr="003B54CE">
        <w:rPr>
          <w:b/>
          <w:bCs/>
          <w:lang w:val="en-US"/>
        </w:rPr>
        <w:t xml:space="preserve">Graphical abstract </w:t>
      </w:r>
      <w:r w:rsidRPr="003B54CE">
        <w:rPr>
          <w:lang w:val="en-US"/>
        </w:rPr>
        <w:t>Atomistic simulations demonstrate chitosan-mediated siRNA transport across the lipid bilayer revealed by atomistic steered molecular dynamics simulations</w:t>
      </w:r>
    </w:p>
    <w:p w14:paraId="0771E105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4CE"/>
    <w:rsid w:val="003B54CE"/>
    <w:rsid w:val="005F4A4B"/>
    <w:rsid w:val="00767E38"/>
    <w:rsid w:val="00866F7D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B7BB68"/>
  <w15:chartTrackingRefBased/>
  <w15:docId w15:val="{B4E30D7F-8D9A-4339-BF7C-8F44C01F2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B54C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B54C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54C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54C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54C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54C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54C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54C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54C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B54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B54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54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54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54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54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54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54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54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B54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B54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54C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B54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B54C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B54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B54C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54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54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54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B54C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150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2025-11-28T12:32:00Z</dcterms:created>
  <dcterms:modified xsi:type="dcterms:W3CDTF">2025-11-28T12:32:00Z</dcterms:modified>
</cp:coreProperties>
</file>