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296" w:rsidRDefault="00910296"/>
    <w:p w:rsidR="00910296" w:rsidRDefault="00635888">
      <w:r>
        <w:rPr>
          <w:noProof/>
        </w:rPr>
        <w:drawing>
          <wp:inline distT="0" distB="0" distL="0" distR="0" wp14:anchorId="4A1405B5">
            <wp:extent cx="6589607" cy="395732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23859" cy="3977890"/>
                    </a:xfrm>
                    <a:prstGeom prst="rect">
                      <a:avLst/>
                    </a:prstGeom>
                    <a:noFill/>
                  </pic:spPr>
                </pic:pic>
              </a:graphicData>
            </a:graphic>
          </wp:inline>
        </w:drawing>
      </w:r>
    </w:p>
    <w:p w:rsidR="00C04EFB" w:rsidRDefault="00C04EFB">
      <w:r>
        <w:rPr>
          <w:noProof/>
        </w:rPr>
        <mc:AlternateContent>
          <mc:Choice Requires="wps">
            <w:drawing>
              <wp:anchor distT="45720" distB="45720" distL="114300" distR="114300" simplePos="0" relativeHeight="251665408" behindDoc="0" locked="0" layoutInCell="1" allowOverlap="1">
                <wp:simplePos x="0" y="0"/>
                <wp:positionH relativeFrom="margin">
                  <wp:posOffset>-635</wp:posOffset>
                </wp:positionH>
                <wp:positionV relativeFrom="paragraph">
                  <wp:posOffset>0</wp:posOffset>
                </wp:positionV>
                <wp:extent cx="6553200" cy="5824855"/>
                <wp:effectExtent l="0" t="0" r="0" b="889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5824855"/>
                        </a:xfrm>
                        <a:prstGeom prst="rect">
                          <a:avLst/>
                        </a:prstGeom>
                        <a:solidFill>
                          <a:srgbClr val="FFFFFF"/>
                        </a:solidFill>
                        <a:ln w="9525">
                          <a:noFill/>
                          <a:miter lim="800000"/>
                          <a:headEnd/>
                          <a:tailEnd/>
                        </a:ln>
                      </wps:spPr>
                      <wps:txbx>
                        <w:txbxContent>
                          <w:p w:rsidR="00C04EFB" w:rsidRPr="00987B74" w:rsidRDefault="00AA6B37">
                            <w:pPr>
                              <w:rPr>
                                <w:rFonts w:ascii="Arial" w:hAnsi="Arial" w:cs="Arial"/>
                              </w:rPr>
                            </w:pPr>
                            <w:r w:rsidRPr="00987B74">
                              <w:rPr>
                                <w:rFonts w:ascii="Arial" w:hAnsi="Arial" w:cs="Arial"/>
                                <w:b/>
                                <w:bCs/>
                              </w:rPr>
                              <w:t>Supplemental Figure 1</w:t>
                            </w:r>
                            <w:r w:rsidR="00C04EFB" w:rsidRPr="00987B74">
                              <w:rPr>
                                <w:rFonts w:ascii="Arial" w:hAnsi="Arial" w:cs="Arial"/>
                                <w:b/>
                                <w:bCs/>
                              </w:rPr>
                              <w:t xml:space="preserve">.  </w:t>
                            </w:r>
                            <w:r w:rsidR="00635888" w:rsidRPr="00987B74">
                              <w:rPr>
                                <w:rFonts w:ascii="Arial" w:hAnsi="Arial" w:cs="Arial"/>
                                <w:b/>
                                <w:bCs/>
                              </w:rPr>
                              <w:t xml:space="preserve">Representative </w:t>
                            </w:r>
                            <w:proofErr w:type="gramStart"/>
                            <w:r w:rsidR="00635888" w:rsidRPr="00987B74">
                              <w:rPr>
                                <w:rFonts w:ascii="Arial" w:hAnsi="Arial" w:cs="Arial"/>
                                <w:b/>
                                <w:bCs/>
                              </w:rPr>
                              <w:t>m</w:t>
                            </w:r>
                            <w:r w:rsidR="00C04EFB" w:rsidRPr="00987B74">
                              <w:rPr>
                                <w:rFonts w:ascii="Arial" w:hAnsi="Arial" w:cs="Arial"/>
                                <w:b/>
                                <w:bCs/>
                              </w:rPr>
                              <w:t>ulti</w:t>
                            </w:r>
                            <w:proofErr w:type="gramEnd"/>
                            <w:r w:rsidR="00C04EFB" w:rsidRPr="00987B74">
                              <w:rPr>
                                <w:rFonts w:ascii="Arial" w:hAnsi="Arial" w:cs="Arial"/>
                                <w:b/>
                                <w:bCs/>
                              </w:rPr>
                              <w:t xml:space="preserve"> –parameter gating strategy for myeloid and lymphoid cell populations.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5pt;margin-top:0;width:516pt;height:458.6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" stroked="f">
                <v:textbox style="mso-fit-shape-to-text:t">
                  <w:txbxContent>
                    <w:p w:rsidR="00C04EFB" w:rsidRPr="00987B74" w:rsidRDefault="00AA6B37">
                      <w:pPr>
                        <w:rPr>
                          <w:rFonts w:ascii="Arial" w:hAnsi="Arial" w:cs="Arial"/>
                        </w:rPr>
                      </w:pPr>
                      <w:r w:rsidRPr="00987B74">
                        <w:rPr>
                          <w:rFonts w:ascii="Arial" w:hAnsi="Arial" w:cs="Arial"/>
                          <w:b/>
                          <w:bCs/>
                        </w:rPr>
                        <w:t>Supplemental Figure 1</w:t>
                      </w:r>
                      <w:r w:rsidR="00C04EFB" w:rsidRPr="00987B74">
                        <w:rPr>
                          <w:rFonts w:ascii="Arial" w:hAnsi="Arial" w:cs="Arial"/>
                          <w:b/>
                          <w:bCs/>
                        </w:rPr>
                        <w:t xml:space="preserve">.  </w:t>
                      </w:r>
                      <w:r w:rsidR="00635888" w:rsidRPr="00987B74">
                        <w:rPr>
                          <w:rFonts w:ascii="Arial" w:hAnsi="Arial" w:cs="Arial"/>
                          <w:b/>
                          <w:bCs/>
                        </w:rPr>
                        <w:t xml:space="preserve">Representative </w:t>
                      </w:r>
                      <w:proofErr w:type="gramStart"/>
                      <w:r w:rsidR="00635888" w:rsidRPr="00987B74">
                        <w:rPr>
                          <w:rFonts w:ascii="Arial" w:hAnsi="Arial" w:cs="Arial"/>
                          <w:b/>
                          <w:bCs/>
                        </w:rPr>
                        <w:t>m</w:t>
                      </w:r>
                      <w:r w:rsidR="00C04EFB" w:rsidRPr="00987B74">
                        <w:rPr>
                          <w:rFonts w:ascii="Arial" w:hAnsi="Arial" w:cs="Arial"/>
                          <w:b/>
                          <w:bCs/>
                        </w:rPr>
                        <w:t>ulti</w:t>
                      </w:r>
                      <w:proofErr w:type="gramEnd"/>
                      <w:r w:rsidR="00C04EFB" w:rsidRPr="00987B74">
                        <w:rPr>
                          <w:rFonts w:ascii="Arial" w:hAnsi="Arial" w:cs="Arial"/>
                          <w:b/>
                          <w:bCs/>
                        </w:rPr>
                        <w:t xml:space="preserve"> –parameter gating strategy for myeloid and lymphoid cell populations. </w:t>
                      </w:r>
                    </w:p>
                  </w:txbxContent>
                </v:textbox>
                <w10:wrap type="square" anchorx="margin"/>
              </v:shape>
            </w:pict>
          </mc:Fallback>
        </mc:AlternateContent>
      </w:r>
    </w:p>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p w:rsidR="00C04EFB" w:rsidRDefault="00C04EFB">
      <w:r>
        <w:rPr>
          <w:noProof/>
        </w:rPr>
        <w:lastRenderedPageBreak/>
        <mc:AlternateContent>
          <mc:Choice Requires="wps">
            <w:drawing>
              <wp:anchor distT="45720" distB="45720" distL="114300" distR="114300" simplePos="0" relativeHeight="251667456" behindDoc="0" locked="0" layoutInCell="1" allowOverlap="1">
                <wp:simplePos x="0" y="0"/>
                <wp:positionH relativeFrom="margin">
                  <wp:align>right</wp:align>
                </wp:positionH>
                <wp:positionV relativeFrom="paragraph">
                  <wp:posOffset>473710</wp:posOffset>
                </wp:positionV>
                <wp:extent cx="6832600" cy="5807710"/>
                <wp:effectExtent l="0" t="0" r="6350" b="2540"/>
                <wp:wrapSquare wrapText="bothSides"/>
                <wp:docPr id="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2600" cy="5808134"/>
                        </a:xfrm>
                        <a:prstGeom prst="rect">
                          <a:avLst/>
                        </a:prstGeom>
                        <a:solidFill>
                          <a:srgbClr val="FFFFFF"/>
                        </a:solidFill>
                        <a:ln w="9525">
                          <a:noFill/>
                          <a:miter lim="800000"/>
                          <a:headEnd/>
                          <a:tailEnd/>
                        </a:ln>
                      </wps:spPr>
                      <wps:txbx>
                        <w:txbxContent>
                          <w:p w:rsidR="00E729A9" w:rsidRDefault="00E729A9" w:rsidP="00E729A9">
                            <w:pPr>
                              <w:rPr>
                                <w:b/>
                                <w:bCs/>
                              </w:rPr>
                            </w:pPr>
                          </w:p>
                          <w:p w:rsidR="00E729A9" w:rsidRDefault="00E729A9" w:rsidP="00E729A9">
                            <w:pPr>
                              <w:rPr>
                                <w:b/>
                                <w:bCs/>
                              </w:rPr>
                            </w:pPr>
                            <w:r>
                              <w:object w:dxaOrig="9603"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0.15pt;height:269.5pt" o:ole="">
                                  <v:imagedata r:id="rId5" o:title=""/>
                                </v:shape>
                                <o:OLEObject Type="Embed" ProgID="PowerPoint.Slide.12" ShapeID="_x0000_i1026" DrawAspect="Content" ObjectID="_1689507112" r:id="rId6"/>
                              </w:object>
                            </w:r>
                          </w:p>
                          <w:p w:rsidR="00E729A9" w:rsidRPr="00987B74" w:rsidRDefault="00E729A9" w:rsidP="00E729A9">
                            <w:pPr>
                              <w:rPr>
                                <w:rFonts w:ascii="Arial" w:hAnsi="Arial" w:cs="Arial"/>
                              </w:rPr>
                            </w:pPr>
                            <w:r w:rsidRPr="00987B74">
                              <w:rPr>
                                <w:rFonts w:ascii="Arial" w:hAnsi="Arial" w:cs="Arial"/>
                                <w:b/>
                                <w:bCs/>
                              </w:rPr>
                              <w:t xml:space="preserve">Supplemental Figure 2. Myeloid and lymphoid immune cell population analysis from ascites of </w:t>
                            </w:r>
                            <w:proofErr w:type="spellStart"/>
                            <w:r w:rsidRPr="00987B74">
                              <w:rPr>
                                <w:rFonts w:ascii="Arial" w:hAnsi="Arial" w:cs="Arial"/>
                                <w:b/>
                                <w:bCs/>
                              </w:rPr>
                              <w:t>Bl</w:t>
                            </w:r>
                            <w:proofErr w:type="spellEnd"/>
                            <w:r w:rsidRPr="00987B74">
                              <w:rPr>
                                <w:rFonts w:ascii="Arial" w:hAnsi="Arial" w:cs="Arial"/>
                                <w:b/>
                                <w:bCs/>
                              </w:rPr>
                              <w:t xml:space="preserve">/6 and NSG ID8 VEGF tumor bearing mice at endpoint. </w:t>
                            </w:r>
                            <w:r w:rsidRPr="00987B74">
                              <w:rPr>
                                <w:rFonts w:ascii="Arial" w:hAnsi="Arial" w:cs="Arial"/>
                              </w:rPr>
                              <w:t>Following ABX therapy,</w:t>
                            </w:r>
                            <w:proofErr w:type="gramStart"/>
                            <w:r w:rsidRPr="00987B74">
                              <w:rPr>
                                <w:rFonts w:ascii="Arial" w:hAnsi="Arial" w:cs="Arial"/>
                              </w:rPr>
                              <w:t>  BL</w:t>
                            </w:r>
                            <w:proofErr w:type="gramEnd"/>
                            <w:r w:rsidRPr="00987B74">
                              <w:rPr>
                                <w:rFonts w:ascii="Arial" w:hAnsi="Arial" w:cs="Arial"/>
                              </w:rPr>
                              <w:t>/6 ID8 VEGF ascites did not exhibit significant alterations in myeloid (A) or lymphoid populations (B) by flow cytometry analysis. NSG ID8 VEGF ascites did not exhibit significant alterations in myeloid (C) populations. Values are represented as percent (%) among CD45+ staining.  BL/6 n=4 mice per group, NSG n=5 mice per group</w:t>
                            </w:r>
                          </w:p>
                          <w:p w:rsidR="00C04EFB" w:rsidRDefault="00C04E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86.8pt;margin-top:37.3pt;width:538pt;height:457.3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" stroked="f">
                <v:textbox>
                  <w:txbxContent>
                    <w:p w:rsidR="00E729A9" w:rsidRDefault="00E729A9" w:rsidP="00E729A9">
                      <w:pPr>
                        <w:rPr>
                          <w:b/>
                          <w:bCs/>
                        </w:rPr>
                      </w:pPr>
                    </w:p>
                    <w:p w:rsidR="00E729A9" w:rsidRDefault="00E729A9" w:rsidP="00E729A9">
                      <w:pPr>
                        <w:rPr>
                          <w:b/>
                          <w:bCs/>
                        </w:rPr>
                      </w:pPr>
                      <w:r>
                        <w:object w:dxaOrig="9603" w:dyaOrig="5390">
                          <v:shape id="_x0000_i1026" type="#_x0000_t75" style="width:480.15pt;height:269.5pt" o:ole="">
                            <v:imagedata r:id="rId7" o:title=""/>
                          </v:shape>
                          <o:OLEObject Type="Embed" ProgID="PowerPoint.Slide.12" ShapeID="_x0000_i1026" DrawAspect="Content" ObjectID="_1688897081" r:id="rId8"/>
                        </w:object>
                      </w:r>
                    </w:p>
                    <w:p w:rsidR="00E729A9" w:rsidRPr="00987B74" w:rsidRDefault="00E729A9" w:rsidP="00E729A9">
                      <w:pPr>
                        <w:rPr>
                          <w:rFonts w:ascii="Arial" w:hAnsi="Arial" w:cs="Arial"/>
                        </w:rPr>
                      </w:pPr>
                      <w:r w:rsidRPr="00987B74">
                        <w:rPr>
                          <w:rFonts w:ascii="Arial" w:hAnsi="Arial" w:cs="Arial"/>
                          <w:b/>
                          <w:bCs/>
                        </w:rPr>
                        <w:t xml:space="preserve">Supplemental Figure 2. Myeloid and lymphoid immune cell population analysis from ascites of </w:t>
                      </w:r>
                      <w:proofErr w:type="spellStart"/>
                      <w:r w:rsidRPr="00987B74">
                        <w:rPr>
                          <w:rFonts w:ascii="Arial" w:hAnsi="Arial" w:cs="Arial"/>
                          <w:b/>
                          <w:bCs/>
                        </w:rPr>
                        <w:t>Bl</w:t>
                      </w:r>
                      <w:proofErr w:type="spellEnd"/>
                      <w:r w:rsidRPr="00987B74">
                        <w:rPr>
                          <w:rFonts w:ascii="Arial" w:hAnsi="Arial" w:cs="Arial"/>
                          <w:b/>
                          <w:bCs/>
                        </w:rPr>
                        <w:t xml:space="preserve">/6 and NSG ID8 VEGF tumor bearing mice at endpoint. </w:t>
                      </w:r>
                      <w:r w:rsidRPr="00987B74">
                        <w:rPr>
                          <w:rFonts w:ascii="Arial" w:hAnsi="Arial" w:cs="Arial"/>
                        </w:rPr>
                        <w:t>Following ABX therapy,</w:t>
                      </w:r>
                      <w:proofErr w:type="gramStart"/>
                      <w:r w:rsidRPr="00987B74">
                        <w:rPr>
                          <w:rFonts w:ascii="Arial" w:hAnsi="Arial" w:cs="Arial"/>
                        </w:rPr>
                        <w:t>  BL</w:t>
                      </w:r>
                      <w:proofErr w:type="gramEnd"/>
                      <w:r w:rsidRPr="00987B74">
                        <w:rPr>
                          <w:rFonts w:ascii="Arial" w:hAnsi="Arial" w:cs="Arial"/>
                        </w:rPr>
                        <w:t>/6 ID8 VEGF ascites did not exhibit significant alterations in myeloid (A) or lymphoid populations (B) by flow cytometry analysis. NSG ID8 VEGF ascites did not exhibit significant alterations in myeloid (C) populations. Values are represented as percent (%) among CD45+ staining.  BL/6 n=4 mice per group, NSG n=5 mice per group</w:t>
                      </w:r>
                    </w:p>
                    <w:p w:rsidR="00C04EFB" w:rsidRDefault="00C04EFB"/>
                  </w:txbxContent>
                </v:textbox>
                <w10:wrap type="square" anchorx="margin"/>
              </v:shape>
            </w:pict>
          </mc:Fallback>
        </mc:AlternateContent>
      </w:r>
    </w:p>
    <w:p w:rsidR="00C04EFB" w:rsidRDefault="00C04EFB"/>
    <w:p w:rsidR="00910296" w:rsidRDefault="00910296"/>
    <w:p w:rsidR="00F42526" w:rsidRDefault="00F42526"/>
    <w:p w:rsidR="00F42526" w:rsidRDefault="00F42526"/>
    <w:p w:rsidR="00F42526" w:rsidRDefault="00F42526"/>
    <w:p w:rsidR="00F42526" w:rsidRDefault="00F42526"/>
    <w:p w:rsidR="00F42526" w:rsidRDefault="00F42526"/>
    <w:p w:rsidR="00F42526" w:rsidRDefault="00F42526"/>
    <w:p w:rsidR="00F42526" w:rsidRDefault="00F42526"/>
    <w:p w:rsidR="00F42526" w:rsidRDefault="00F42526"/>
    <w:p w:rsidR="00B13299" w:rsidRDefault="00F42526">
      <w:r>
        <w:rPr>
          <w:noProof/>
        </w:rPr>
        <w:lastRenderedPageBreak/>
        <mc:AlternateContent>
          <mc:Choice Requires="wps">
            <w:drawing>
              <wp:anchor distT="0" distB="0" distL="114300" distR="114300" simplePos="0" relativeHeight="251668480" behindDoc="0" locked="0" layoutInCell="1" allowOverlap="1">
                <wp:simplePos x="0" y="0"/>
                <wp:positionH relativeFrom="margin">
                  <wp:align>right</wp:align>
                </wp:positionH>
                <wp:positionV relativeFrom="paragraph">
                  <wp:posOffset>-101600</wp:posOffset>
                </wp:positionV>
                <wp:extent cx="6840855" cy="4826000"/>
                <wp:effectExtent l="0" t="0" r="0" b="0"/>
                <wp:wrapNone/>
                <wp:docPr id="231" name="Text Box 231"/>
                <wp:cNvGraphicFramePr/>
                <a:graphic xmlns:a="http://schemas.openxmlformats.org/drawingml/2006/main">
                  <a:graphicData uri="http://schemas.microsoft.com/office/word/2010/wordprocessingShape">
                    <wps:wsp>
                      <wps:cNvSpPr txBox="1"/>
                      <wps:spPr>
                        <a:xfrm>
                          <a:off x="0" y="0"/>
                          <a:ext cx="6840855" cy="4826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729A9" w:rsidRDefault="00E729A9" w:rsidP="00E729A9">
                            <w:pPr>
                              <w:jc w:val="both"/>
                              <w:rPr>
                                <w:rFonts w:ascii="Arial" w:hAnsi="Arial" w:cs="Arial"/>
                                <w:b/>
                                <w:bCs/>
                                <w:sz w:val="24"/>
                              </w:rPr>
                            </w:pPr>
                            <w:r>
                              <w:object w:dxaOrig="9603" w:dyaOrig="5390">
                                <v:shape id="_x0000_i1028" type="#_x0000_t75" style="width:511.85pt;height:287pt" o:ole="">
                                  <v:imagedata r:id="rId9" o:title=""/>
                                </v:shape>
                                <o:OLEObject Type="Embed" ProgID="PowerPoint.Slide.12" ShapeID="_x0000_i1028" DrawAspect="Content" ObjectID="_1689507113" r:id="rId10"/>
                              </w:object>
                            </w:r>
                          </w:p>
                          <w:p w:rsidR="00E729A9" w:rsidRPr="00987B74" w:rsidRDefault="00E729A9" w:rsidP="00E729A9">
                            <w:pPr>
                              <w:jc w:val="both"/>
                              <w:rPr>
                                <w:rFonts w:ascii="Arial" w:hAnsi="Arial" w:cs="Arial"/>
                                <w:b/>
                                <w:bCs/>
                              </w:rPr>
                            </w:pPr>
                            <w:r w:rsidRPr="00987B74">
                              <w:rPr>
                                <w:rFonts w:ascii="Arial" w:hAnsi="Arial" w:cs="Arial"/>
                                <w:b/>
                                <w:bCs/>
                              </w:rPr>
                              <w:t xml:space="preserve">Supplemental Figure 3. </w:t>
                            </w:r>
                            <w:r w:rsidRPr="00987B74">
                              <w:rPr>
                                <w:rFonts w:ascii="Arial" w:hAnsi="Arial" w:cs="Arial"/>
                                <w:bCs/>
                              </w:rPr>
                              <w:t xml:space="preserve">Myeloid and lymphoid immune cell population analysis from </w:t>
                            </w:r>
                            <w:proofErr w:type="spellStart"/>
                            <w:r w:rsidRPr="00987B74">
                              <w:rPr>
                                <w:rFonts w:ascii="Arial" w:hAnsi="Arial" w:cs="Arial"/>
                                <w:bCs/>
                              </w:rPr>
                              <w:t>Bl</w:t>
                            </w:r>
                            <w:proofErr w:type="spellEnd"/>
                            <w:r w:rsidRPr="00987B74">
                              <w:rPr>
                                <w:rFonts w:ascii="Arial" w:hAnsi="Arial" w:cs="Arial"/>
                                <w:bCs/>
                              </w:rPr>
                              <w:t xml:space="preserve">/6 ID8 tumor-bearing </w:t>
                            </w:r>
                            <w:proofErr w:type="spellStart"/>
                            <w:r w:rsidRPr="00987B74">
                              <w:rPr>
                                <w:rFonts w:ascii="Arial" w:hAnsi="Arial" w:cs="Arial"/>
                                <w:bCs/>
                              </w:rPr>
                              <w:t>splenocytes</w:t>
                            </w:r>
                            <w:proofErr w:type="spellEnd"/>
                            <w:r w:rsidRPr="00987B74">
                              <w:rPr>
                                <w:rFonts w:ascii="Arial" w:hAnsi="Arial" w:cs="Arial"/>
                                <w:bCs/>
                              </w:rPr>
                              <w:t xml:space="preserve"> and bone marrow. Following ABX therapy, BL/6 ID8 </w:t>
                            </w:r>
                            <w:proofErr w:type="spellStart"/>
                            <w:r w:rsidRPr="00987B74">
                              <w:rPr>
                                <w:rFonts w:ascii="Arial" w:hAnsi="Arial" w:cs="Arial"/>
                                <w:bCs/>
                              </w:rPr>
                              <w:t>splenocytes</w:t>
                            </w:r>
                            <w:proofErr w:type="spellEnd"/>
                            <w:r w:rsidRPr="00987B74">
                              <w:rPr>
                                <w:rFonts w:ascii="Arial" w:hAnsi="Arial" w:cs="Arial"/>
                                <w:bCs/>
                              </w:rPr>
                              <w:t xml:space="preserve"> (A and B) or bone marrow (C and D) did not exhibit significant alterations in myeloid or lymphoid cell populations by flow cytometry analysis. Values are represented as percent (%) among CD45+ staining.  n=3 mice per group, error bars represent SEM.</w:t>
                            </w:r>
                          </w:p>
                          <w:p w:rsidR="00AA6B37" w:rsidRDefault="00AA6B37" w:rsidP="00F42526">
                            <w:pPr>
                              <w:jc w:val="both"/>
                              <w:rPr>
                                <w:rFonts w:ascii="Arial" w:hAnsi="Arial" w:cs="Arial"/>
                                <w:b/>
                                <w:bCs/>
                                <w:sz w:val="24"/>
                              </w:rPr>
                            </w:pPr>
                          </w:p>
                          <w:p w:rsidR="00F42526" w:rsidRDefault="00F42526"/>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1" o:spid="_x0000_s1028" type="#_x0000_t202" style="position:absolute;margin-left:487.45pt;margin-top:-8pt;width:538.65pt;height:380pt;z-index:25166848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" fillcolor="white [3201]" stroked="f" strokeweight=".5pt">
                <v:textbox>
                  <w:txbxContent>
                    <w:p w:rsidR="00E729A9" w:rsidRDefault="00E729A9" w:rsidP="00E729A9">
                      <w:pPr>
                        <w:jc w:val="both"/>
                        <w:rPr>
                          <w:rFonts w:ascii="Arial" w:hAnsi="Arial" w:cs="Arial"/>
                          <w:b/>
                          <w:bCs/>
                          <w:sz w:val="24"/>
                        </w:rPr>
                      </w:pPr>
                      <w:r>
                        <w:object w:dxaOrig="9603" w:dyaOrig="5390">
                          <v:shape id="_x0000_i1028" type="#_x0000_t75" style="width:511.85pt;height:287pt" o:ole="">
                            <v:imagedata r:id="rId11" o:title=""/>
                          </v:shape>
                          <o:OLEObject Type="Embed" ProgID="PowerPoint.Slide.12" ShapeID="_x0000_i1028" DrawAspect="Content" ObjectID="_1688897082" r:id="rId12"/>
                        </w:object>
                      </w:r>
                    </w:p>
                    <w:p w:rsidR="00E729A9" w:rsidRPr="00987B74" w:rsidRDefault="00E729A9" w:rsidP="00E729A9">
                      <w:pPr>
                        <w:jc w:val="both"/>
                        <w:rPr>
                          <w:rFonts w:ascii="Arial" w:hAnsi="Arial" w:cs="Arial"/>
                          <w:b/>
                          <w:bCs/>
                        </w:rPr>
                      </w:pPr>
                      <w:r w:rsidRPr="00987B74">
                        <w:rPr>
                          <w:rFonts w:ascii="Arial" w:hAnsi="Arial" w:cs="Arial"/>
                          <w:b/>
                          <w:bCs/>
                        </w:rPr>
                        <w:t xml:space="preserve">Supplemental Figure 3. </w:t>
                      </w:r>
                      <w:r w:rsidRPr="00987B74">
                        <w:rPr>
                          <w:rFonts w:ascii="Arial" w:hAnsi="Arial" w:cs="Arial"/>
                          <w:bCs/>
                        </w:rPr>
                        <w:t xml:space="preserve">Myeloid and lymphoid immune cell population analysis from </w:t>
                      </w:r>
                      <w:proofErr w:type="spellStart"/>
                      <w:r w:rsidRPr="00987B74">
                        <w:rPr>
                          <w:rFonts w:ascii="Arial" w:hAnsi="Arial" w:cs="Arial"/>
                          <w:bCs/>
                        </w:rPr>
                        <w:t>Bl</w:t>
                      </w:r>
                      <w:proofErr w:type="spellEnd"/>
                      <w:r w:rsidRPr="00987B74">
                        <w:rPr>
                          <w:rFonts w:ascii="Arial" w:hAnsi="Arial" w:cs="Arial"/>
                          <w:bCs/>
                        </w:rPr>
                        <w:t xml:space="preserve">/6 ID8 tumor-bearing </w:t>
                      </w:r>
                      <w:proofErr w:type="spellStart"/>
                      <w:r w:rsidRPr="00987B74">
                        <w:rPr>
                          <w:rFonts w:ascii="Arial" w:hAnsi="Arial" w:cs="Arial"/>
                          <w:bCs/>
                        </w:rPr>
                        <w:t>splenocytes</w:t>
                      </w:r>
                      <w:proofErr w:type="spellEnd"/>
                      <w:r w:rsidRPr="00987B74">
                        <w:rPr>
                          <w:rFonts w:ascii="Arial" w:hAnsi="Arial" w:cs="Arial"/>
                          <w:bCs/>
                        </w:rPr>
                        <w:t xml:space="preserve"> and bone marrow. Following ABX therapy, BL/6 ID8 </w:t>
                      </w:r>
                      <w:proofErr w:type="spellStart"/>
                      <w:r w:rsidRPr="00987B74">
                        <w:rPr>
                          <w:rFonts w:ascii="Arial" w:hAnsi="Arial" w:cs="Arial"/>
                          <w:bCs/>
                        </w:rPr>
                        <w:t>splenocytes</w:t>
                      </w:r>
                      <w:proofErr w:type="spellEnd"/>
                      <w:r w:rsidRPr="00987B74">
                        <w:rPr>
                          <w:rFonts w:ascii="Arial" w:hAnsi="Arial" w:cs="Arial"/>
                          <w:bCs/>
                        </w:rPr>
                        <w:t xml:space="preserve"> (A and B) or bone marrow (C and D) did not exhibit significant alterations in myeloid or lymphoid cell populations by flow cytometry analysis. Values are represented as percent (%) among CD45+ staining.  n=3 mice per group, error bars represent SEM.</w:t>
                      </w:r>
                    </w:p>
                    <w:p w:rsidR="00AA6B37" w:rsidRDefault="00AA6B37" w:rsidP="00F42526">
                      <w:pPr>
                        <w:jc w:val="both"/>
                        <w:rPr>
                          <w:rFonts w:ascii="Arial" w:hAnsi="Arial" w:cs="Arial"/>
                          <w:b/>
                          <w:bCs/>
                          <w:sz w:val="24"/>
                        </w:rPr>
                      </w:pPr>
                    </w:p>
                    <w:p w:rsidR="00F42526" w:rsidRDefault="00F42526"/>
                  </w:txbxContent>
                </v:textbox>
                <w10:wrap anchorx="margin"/>
              </v:shape>
            </w:pict>
          </mc:Fallback>
        </mc:AlternateContent>
      </w:r>
    </w:p>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Pr="00B13299" w:rsidRDefault="00B13299" w:rsidP="00B13299"/>
    <w:p w:rsidR="00B13299" w:rsidRDefault="00B13299" w:rsidP="00B13299"/>
    <w:p w:rsidR="00F42526" w:rsidRDefault="00B13299" w:rsidP="00B13299">
      <w:pPr>
        <w:tabs>
          <w:tab w:val="left" w:pos="7640"/>
        </w:tabs>
      </w:pPr>
      <w:r>
        <w:tab/>
      </w:r>
    </w:p>
    <w:p w:rsidR="00B13299" w:rsidRDefault="00B13299" w:rsidP="00B13299">
      <w:pPr>
        <w:tabs>
          <w:tab w:val="left" w:pos="7640"/>
        </w:tabs>
      </w:pPr>
    </w:p>
    <w:p w:rsidR="00B13299" w:rsidRDefault="00B13299" w:rsidP="00B13299">
      <w:pPr>
        <w:tabs>
          <w:tab w:val="left" w:pos="7013"/>
        </w:tabs>
      </w:pPr>
      <w:r>
        <w:rPr>
          <w:noProof/>
        </w:rPr>
        <w:lastRenderedPageBreak/>
        <mc:AlternateContent>
          <mc:Choice Requires="wps">
            <w:drawing>
              <wp:anchor distT="45720" distB="45720" distL="114300" distR="114300" simplePos="0" relativeHeight="251670528" behindDoc="0" locked="0" layoutInCell="1" allowOverlap="1">
                <wp:simplePos x="0" y="0"/>
                <wp:positionH relativeFrom="margin">
                  <wp:posOffset>-19050</wp:posOffset>
                </wp:positionH>
                <wp:positionV relativeFrom="paragraph">
                  <wp:posOffset>0</wp:posOffset>
                </wp:positionV>
                <wp:extent cx="6840855" cy="8543925"/>
                <wp:effectExtent l="0" t="0" r="0" b="9525"/>
                <wp:wrapSquare wrapText="bothSides"/>
                <wp:docPr id="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855" cy="8543925"/>
                        </a:xfrm>
                        <a:prstGeom prst="rect">
                          <a:avLst/>
                        </a:prstGeom>
                        <a:solidFill>
                          <a:srgbClr val="FFFFFF"/>
                        </a:solidFill>
                        <a:ln w="9525">
                          <a:noFill/>
                          <a:miter lim="800000"/>
                          <a:headEnd/>
                          <a:tailEnd/>
                        </a:ln>
                      </wps:spPr>
                      <wps:txbx>
                        <w:txbxContent>
                          <w:p w:rsidR="006F1089" w:rsidRDefault="006F1089" w:rsidP="006F1089">
                            <w:pPr>
                              <w:jc w:val="both"/>
                              <w:rPr>
                                <w:rFonts w:ascii="Arial" w:hAnsi="Arial" w:cs="Arial"/>
                                <w:b/>
                                <w:bCs/>
                              </w:rPr>
                            </w:pPr>
                            <w:bookmarkStart w:id="0" w:name="_GoBack"/>
                            <w:r>
                              <w:pict>
                                <v:shape id="_x0000_i1047" type="#_x0000_t75" style="width:549.1pt;height:308.35pt">
                                  <v:imagedata r:id="rId13" o:title="Microbiome_Figures_Legends_073021"/>
                                </v:shape>
                              </w:pict>
                            </w:r>
                          </w:p>
                          <w:p w:rsidR="006F1089" w:rsidRDefault="006F1089" w:rsidP="006F1089">
                            <w:pPr>
                              <w:jc w:val="both"/>
                              <w:rPr>
                                <w:rFonts w:ascii="Arial" w:hAnsi="Arial" w:cs="Arial"/>
                                <w:b/>
                                <w:bCs/>
                              </w:rPr>
                            </w:pPr>
                            <w:r>
                              <w:rPr>
                                <w:rFonts w:ascii="Arial" w:hAnsi="Arial" w:cs="Arial"/>
                                <w:b/>
                                <w:bCs/>
                              </w:rPr>
                              <w:pict>
                                <v:shape id="_x0000_i1053" type="#_x0000_t75" style="width:519.35pt;height:205.75pt">
                                  <v:imagedata r:id="rId14" o:title="supfig4c" cropbottom="19374f"/>
                                </v:shape>
                              </w:pict>
                            </w:r>
                          </w:p>
                          <w:p w:rsidR="006F1089" w:rsidRPr="006F1089" w:rsidRDefault="006F1089" w:rsidP="006F1089">
                            <w:pPr>
                              <w:jc w:val="both"/>
                              <w:rPr>
                                <w:rFonts w:ascii="Arial" w:hAnsi="Arial" w:cs="Arial"/>
                                <w:b/>
                                <w:bCs/>
                              </w:rPr>
                            </w:pPr>
                            <w:r w:rsidRPr="006F1089">
                              <w:rPr>
                                <w:rFonts w:ascii="Arial" w:hAnsi="Arial" w:cs="Arial"/>
                                <w:b/>
                                <w:bCs/>
                              </w:rPr>
                              <w:t xml:space="preserve">Supplemental Figure 4. BL/6 16S Alpha and Beta Diversity.  </w:t>
                            </w:r>
                            <w:r w:rsidRPr="006F1089">
                              <w:rPr>
                                <w:rFonts w:ascii="Arial" w:hAnsi="Arial" w:cs="Arial"/>
                                <w:bCs/>
                              </w:rPr>
                              <w:t xml:space="preserve">A. Alpha diversity of </w:t>
                            </w:r>
                            <w:proofErr w:type="spellStart"/>
                            <w:r w:rsidRPr="006F1089">
                              <w:rPr>
                                <w:rFonts w:ascii="Arial" w:hAnsi="Arial" w:cs="Arial"/>
                                <w:bCs/>
                              </w:rPr>
                              <w:t>Bl</w:t>
                            </w:r>
                            <w:proofErr w:type="spellEnd"/>
                            <w:r w:rsidRPr="006F1089">
                              <w:rPr>
                                <w:rFonts w:ascii="Arial" w:hAnsi="Arial" w:cs="Arial"/>
                                <w:bCs/>
                              </w:rPr>
                              <w:t xml:space="preserve">/6 ID8 stool 16S over time. B. Alpha diversity of </w:t>
                            </w:r>
                            <w:proofErr w:type="spellStart"/>
                            <w:r w:rsidRPr="006F1089">
                              <w:rPr>
                                <w:rFonts w:ascii="Arial" w:hAnsi="Arial" w:cs="Arial"/>
                                <w:bCs/>
                              </w:rPr>
                              <w:t>Bl</w:t>
                            </w:r>
                            <w:proofErr w:type="spellEnd"/>
                            <w:r w:rsidRPr="006F1089">
                              <w:rPr>
                                <w:rFonts w:ascii="Arial" w:hAnsi="Arial" w:cs="Arial"/>
                                <w:bCs/>
                              </w:rPr>
                              <w:t xml:space="preserve">/6 ID8-VEGF stool 16S over time. C. Beta diversity of </w:t>
                            </w:r>
                            <w:proofErr w:type="spellStart"/>
                            <w:r w:rsidRPr="006F1089">
                              <w:rPr>
                                <w:rFonts w:ascii="Arial" w:hAnsi="Arial" w:cs="Arial"/>
                                <w:bCs/>
                              </w:rPr>
                              <w:t>Bl</w:t>
                            </w:r>
                            <w:proofErr w:type="spellEnd"/>
                            <w:r w:rsidRPr="006F1089">
                              <w:rPr>
                                <w:rFonts w:ascii="Arial" w:hAnsi="Arial" w:cs="Arial"/>
                                <w:bCs/>
                              </w:rPr>
                              <w:t>/6 ID8 and ID8-VEGF over time. n= 8 mice per group, PERMANOVA</w:t>
                            </w:r>
                          </w:p>
                          <w:p w:rsidR="00E729A9" w:rsidRPr="00987B74" w:rsidRDefault="00E729A9" w:rsidP="00E729A9">
                            <w:pPr>
                              <w:jc w:val="both"/>
                              <w:rPr>
                                <w:rFonts w:ascii="Arial" w:hAnsi="Arial" w:cs="Arial"/>
                                <w:b/>
                                <w:bCs/>
                              </w:rPr>
                            </w:pPr>
                          </w:p>
                          <w:p w:rsidR="00E729A9" w:rsidRPr="00E729A9" w:rsidRDefault="00E729A9" w:rsidP="00E729A9">
                            <w:pPr>
                              <w:jc w:val="both"/>
                              <w:rPr>
                                <w:rFonts w:ascii="Arial" w:hAnsi="Arial" w:cs="Arial"/>
                                <w:b/>
                                <w:bCs/>
                                <w:sz w:val="24"/>
                              </w:rPr>
                            </w:pPr>
                            <w:r w:rsidRPr="00E729A9">
                              <w:rPr>
                                <w:rFonts w:ascii="Arial" w:hAnsi="Arial" w:cs="Arial"/>
                                <w:b/>
                                <w:bCs/>
                                <w:sz w:val="24"/>
                              </w:rPr>
                              <w:t xml:space="preserve"> </w:t>
                            </w:r>
                          </w:p>
                          <w:p w:rsidR="00B13299" w:rsidRPr="00B13299" w:rsidRDefault="00B13299" w:rsidP="00B13299">
                            <w:pPr>
                              <w:jc w:val="both"/>
                            </w:pPr>
                            <w:r w:rsidRPr="00B13299">
                              <w:rPr>
                                <w:rFonts w:ascii="Arial" w:hAnsi="Arial" w:cs="Arial"/>
                                <w:b/>
                                <w:bCs/>
                                <w:sz w:val="24"/>
                              </w:rPr>
                              <w:t> </w:t>
                            </w:r>
                            <w:r w:rsidRPr="00B13299">
                              <w:rPr>
                                <w:rFonts w:ascii="Arial" w:hAnsi="Arial" w:cs="Arial"/>
                                <w:sz w:val="24"/>
                              </w:rPr>
                              <w:t xml:space="preserve"> </w:t>
                            </w:r>
                          </w:p>
                          <w:bookmarkEnd w:id="0"/>
                          <w:p w:rsidR="00B13299" w:rsidRDefault="00B132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margin-left:-1.5pt;margin-top:0;width:538.65pt;height:672.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" stroked="f">
                <v:textbox>
                  <w:txbxContent>
                    <w:p w:rsidR="006F1089" w:rsidRDefault="006F1089" w:rsidP="006F1089">
                      <w:pPr>
                        <w:jc w:val="both"/>
                        <w:rPr>
                          <w:rFonts w:ascii="Arial" w:hAnsi="Arial" w:cs="Arial"/>
                          <w:b/>
                          <w:bCs/>
                        </w:rPr>
                      </w:pPr>
                      <w:bookmarkStart w:id="1" w:name="_GoBack"/>
                      <w:r>
                        <w:pict>
                          <v:shape id="_x0000_i1047" type="#_x0000_t75" style="width:549.1pt;height:308.35pt">
                            <v:imagedata r:id="rId13" o:title="Microbiome_Figures_Legends_073021"/>
                          </v:shape>
                        </w:pict>
                      </w:r>
                    </w:p>
                    <w:p w:rsidR="006F1089" w:rsidRDefault="006F1089" w:rsidP="006F1089">
                      <w:pPr>
                        <w:jc w:val="both"/>
                        <w:rPr>
                          <w:rFonts w:ascii="Arial" w:hAnsi="Arial" w:cs="Arial"/>
                          <w:b/>
                          <w:bCs/>
                        </w:rPr>
                      </w:pPr>
                      <w:r>
                        <w:rPr>
                          <w:rFonts w:ascii="Arial" w:hAnsi="Arial" w:cs="Arial"/>
                          <w:b/>
                          <w:bCs/>
                        </w:rPr>
                        <w:pict>
                          <v:shape id="_x0000_i1053" type="#_x0000_t75" style="width:519.35pt;height:205.75pt">
                            <v:imagedata r:id="rId14" o:title="supfig4c" cropbottom="19374f"/>
                          </v:shape>
                        </w:pict>
                      </w:r>
                    </w:p>
                    <w:p w:rsidR="006F1089" w:rsidRPr="006F1089" w:rsidRDefault="006F1089" w:rsidP="006F1089">
                      <w:pPr>
                        <w:jc w:val="both"/>
                        <w:rPr>
                          <w:rFonts w:ascii="Arial" w:hAnsi="Arial" w:cs="Arial"/>
                          <w:b/>
                          <w:bCs/>
                        </w:rPr>
                      </w:pPr>
                      <w:r w:rsidRPr="006F1089">
                        <w:rPr>
                          <w:rFonts w:ascii="Arial" w:hAnsi="Arial" w:cs="Arial"/>
                          <w:b/>
                          <w:bCs/>
                        </w:rPr>
                        <w:t xml:space="preserve">Supplemental Figure 4. BL/6 16S Alpha and Beta Diversity.  </w:t>
                      </w:r>
                      <w:r w:rsidRPr="006F1089">
                        <w:rPr>
                          <w:rFonts w:ascii="Arial" w:hAnsi="Arial" w:cs="Arial"/>
                          <w:bCs/>
                        </w:rPr>
                        <w:t xml:space="preserve">A. Alpha diversity of </w:t>
                      </w:r>
                      <w:proofErr w:type="spellStart"/>
                      <w:r w:rsidRPr="006F1089">
                        <w:rPr>
                          <w:rFonts w:ascii="Arial" w:hAnsi="Arial" w:cs="Arial"/>
                          <w:bCs/>
                        </w:rPr>
                        <w:t>Bl</w:t>
                      </w:r>
                      <w:proofErr w:type="spellEnd"/>
                      <w:r w:rsidRPr="006F1089">
                        <w:rPr>
                          <w:rFonts w:ascii="Arial" w:hAnsi="Arial" w:cs="Arial"/>
                          <w:bCs/>
                        </w:rPr>
                        <w:t xml:space="preserve">/6 ID8 stool 16S over time. B. Alpha diversity of </w:t>
                      </w:r>
                      <w:proofErr w:type="spellStart"/>
                      <w:r w:rsidRPr="006F1089">
                        <w:rPr>
                          <w:rFonts w:ascii="Arial" w:hAnsi="Arial" w:cs="Arial"/>
                          <w:bCs/>
                        </w:rPr>
                        <w:t>Bl</w:t>
                      </w:r>
                      <w:proofErr w:type="spellEnd"/>
                      <w:r w:rsidRPr="006F1089">
                        <w:rPr>
                          <w:rFonts w:ascii="Arial" w:hAnsi="Arial" w:cs="Arial"/>
                          <w:bCs/>
                        </w:rPr>
                        <w:t xml:space="preserve">/6 ID8-VEGF stool 16S over time. C. Beta diversity of </w:t>
                      </w:r>
                      <w:proofErr w:type="spellStart"/>
                      <w:r w:rsidRPr="006F1089">
                        <w:rPr>
                          <w:rFonts w:ascii="Arial" w:hAnsi="Arial" w:cs="Arial"/>
                          <w:bCs/>
                        </w:rPr>
                        <w:t>Bl</w:t>
                      </w:r>
                      <w:proofErr w:type="spellEnd"/>
                      <w:r w:rsidRPr="006F1089">
                        <w:rPr>
                          <w:rFonts w:ascii="Arial" w:hAnsi="Arial" w:cs="Arial"/>
                          <w:bCs/>
                        </w:rPr>
                        <w:t>/6 ID8 and ID8-VEGF over time. n= 8 mice per group, PERMANOVA</w:t>
                      </w:r>
                    </w:p>
                    <w:p w:rsidR="00E729A9" w:rsidRPr="00987B74" w:rsidRDefault="00E729A9" w:rsidP="00E729A9">
                      <w:pPr>
                        <w:jc w:val="both"/>
                        <w:rPr>
                          <w:rFonts w:ascii="Arial" w:hAnsi="Arial" w:cs="Arial"/>
                          <w:b/>
                          <w:bCs/>
                        </w:rPr>
                      </w:pPr>
                    </w:p>
                    <w:p w:rsidR="00E729A9" w:rsidRPr="00E729A9" w:rsidRDefault="00E729A9" w:rsidP="00E729A9">
                      <w:pPr>
                        <w:jc w:val="both"/>
                        <w:rPr>
                          <w:rFonts w:ascii="Arial" w:hAnsi="Arial" w:cs="Arial"/>
                          <w:b/>
                          <w:bCs/>
                          <w:sz w:val="24"/>
                        </w:rPr>
                      </w:pPr>
                      <w:r w:rsidRPr="00E729A9">
                        <w:rPr>
                          <w:rFonts w:ascii="Arial" w:hAnsi="Arial" w:cs="Arial"/>
                          <w:b/>
                          <w:bCs/>
                          <w:sz w:val="24"/>
                        </w:rPr>
                        <w:t xml:space="preserve"> </w:t>
                      </w:r>
                    </w:p>
                    <w:p w:rsidR="00B13299" w:rsidRPr="00B13299" w:rsidRDefault="00B13299" w:rsidP="00B13299">
                      <w:pPr>
                        <w:jc w:val="both"/>
                      </w:pPr>
                      <w:r w:rsidRPr="00B13299">
                        <w:rPr>
                          <w:rFonts w:ascii="Arial" w:hAnsi="Arial" w:cs="Arial"/>
                          <w:b/>
                          <w:bCs/>
                          <w:sz w:val="24"/>
                        </w:rPr>
                        <w:t> </w:t>
                      </w:r>
                      <w:r w:rsidRPr="00B13299">
                        <w:rPr>
                          <w:rFonts w:ascii="Arial" w:hAnsi="Arial" w:cs="Arial"/>
                          <w:sz w:val="24"/>
                        </w:rPr>
                        <w:t xml:space="preserve"> </w:t>
                      </w:r>
                    </w:p>
                    <w:bookmarkEnd w:id="1"/>
                    <w:p w:rsidR="00B13299" w:rsidRDefault="00B13299"/>
                  </w:txbxContent>
                </v:textbox>
                <w10:wrap type="square" anchorx="margin"/>
              </v:shape>
            </w:pict>
          </mc:Fallback>
        </mc:AlternateContent>
      </w:r>
      <w:r>
        <w:tab/>
      </w:r>
    </w:p>
    <w:p w:rsidR="00B13299" w:rsidRDefault="00B13299" w:rsidP="00B13299">
      <w:pPr>
        <w:tabs>
          <w:tab w:val="left" w:pos="7013"/>
        </w:tabs>
      </w:pPr>
    </w:p>
    <w:p w:rsidR="001A41DD" w:rsidRDefault="001A41DD" w:rsidP="00B13299">
      <w:pPr>
        <w:tabs>
          <w:tab w:val="left" w:pos="7013"/>
        </w:tabs>
      </w:pPr>
      <w:r>
        <w:rPr>
          <w:noProof/>
        </w:rPr>
        <w:lastRenderedPageBreak/>
        <mc:AlternateContent>
          <mc:Choice Requires="wps">
            <w:drawing>
              <wp:anchor distT="45720" distB="45720" distL="114300" distR="114300" simplePos="0" relativeHeight="251672576" behindDoc="0" locked="0" layoutInCell="1" allowOverlap="1">
                <wp:simplePos x="0" y="0"/>
                <wp:positionH relativeFrom="margin">
                  <wp:align>right</wp:align>
                </wp:positionH>
                <wp:positionV relativeFrom="paragraph">
                  <wp:posOffset>132080</wp:posOffset>
                </wp:positionV>
                <wp:extent cx="6832600" cy="1404620"/>
                <wp:effectExtent l="0" t="0" r="0" b="635"/>
                <wp:wrapSquare wrapText="bothSides"/>
                <wp:docPr id="2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2600" cy="1404620"/>
                        </a:xfrm>
                        <a:prstGeom prst="rect">
                          <a:avLst/>
                        </a:prstGeom>
                        <a:solidFill>
                          <a:srgbClr val="FFFFFF"/>
                        </a:solidFill>
                        <a:ln w="9525">
                          <a:noFill/>
                          <a:miter lim="800000"/>
                          <a:headEnd/>
                          <a:tailEnd/>
                        </a:ln>
                      </wps:spPr>
                      <wps:txbx>
                        <w:txbxContent>
                          <w:p w:rsidR="00E729A9" w:rsidRDefault="006F1089" w:rsidP="00E729A9">
                            <w:pPr>
                              <w:jc w:val="both"/>
                              <w:rPr>
                                <w:rFonts w:ascii="Arial" w:hAnsi="Arial" w:cs="Arial"/>
                                <w:b/>
                                <w:bCs/>
                                <w:sz w:val="24"/>
                              </w:rPr>
                            </w:pPr>
                            <w:r>
                              <w:rPr>
                                <w:rFonts w:ascii="Arial" w:hAnsi="Arial" w:cs="Arial"/>
                                <w:b/>
                                <w:bCs/>
                                <w:sz w:val="24"/>
                              </w:rPr>
                              <w:pict>
                                <v:shape id="_x0000_i1064" type="#_x0000_t75" style="width:565.45pt;height:318.6pt">
                                  <v:imagedata r:id="rId15" o:title="sup5ab"/>
                                </v:shape>
                              </w:pict>
                            </w:r>
                          </w:p>
                          <w:p w:rsidR="006F1089" w:rsidRDefault="006F1089" w:rsidP="006F1089">
                            <w:pPr>
                              <w:jc w:val="both"/>
                              <w:rPr>
                                <w:rFonts w:ascii="Arial" w:hAnsi="Arial" w:cs="Arial"/>
                                <w:b/>
                                <w:bCs/>
                              </w:rPr>
                            </w:pPr>
                            <w:r>
                              <w:rPr>
                                <w:rFonts w:ascii="Arial" w:hAnsi="Arial" w:cs="Arial"/>
                                <w:b/>
                                <w:bCs/>
                              </w:rPr>
                              <w:pict>
                                <v:shape id="_x0000_i1065" type="#_x0000_t75" style="width:530.9pt;height:219.25pt">
                                  <v:imagedata r:id="rId16" o:title="sup5c" cropbottom="19201f"/>
                                </v:shape>
                              </w:pict>
                            </w:r>
                          </w:p>
                          <w:p w:rsidR="006F1089" w:rsidRPr="006F1089" w:rsidRDefault="006F1089" w:rsidP="006F1089">
                            <w:pPr>
                              <w:jc w:val="both"/>
                              <w:rPr>
                                <w:rFonts w:ascii="Arial" w:hAnsi="Arial" w:cs="Arial"/>
                                <w:b/>
                                <w:bCs/>
                              </w:rPr>
                            </w:pPr>
                            <w:r w:rsidRPr="006F1089">
                              <w:rPr>
                                <w:rFonts w:ascii="Arial" w:hAnsi="Arial" w:cs="Arial"/>
                                <w:b/>
                                <w:bCs/>
                              </w:rPr>
                              <w:t xml:space="preserve">Supplemental Figure 5. NSG 16S Alpha and Beta Diversity.  </w:t>
                            </w:r>
                            <w:r w:rsidRPr="006F1089">
                              <w:rPr>
                                <w:rFonts w:ascii="Arial" w:hAnsi="Arial" w:cs="Arial"/>
                                <w:bCs/>
                              </w:rPr>
                              <w:t>A. Alpha diversity of NSG ID8 stool 16S over time. B. Alpha diversity of NSG ID8-VEGF stool 16S over time. C. Beta diversity of NSG ID8 and ID8-VEGF over time. n= 8 mice per group, PERMANOVA</w:t>
                            </w:r>
                          </w:p>
                          <w:p w:rsidR="00E729A9" w:rsidRPr="00E729A9" w:rsidRDefault="00E729A9" w:rsidP="00E729A9">
                            <w:pPr>
                              <w:jc w:val="both"/>
                              <w:rPr>
                                <w:rFonts w:ascii="Arial" w:hAnsi="Arial" w:cs="Arial"/>
                                <w:b/>
                                <w:bCs/>
                                <w:sz w:val="24"/>
                              </w:rPr>
                            </w:pPr>
                            <w:r w:rsidRPr="00E729A9">
                              <w:rPr>
                                <w:rFonts w:ascii="Arial" w:hAnsi="Arial" w:cs="Arial"/>
                                <w:b/>
                                <w:bCs/>
                                <w:sz w:val="24"/>
                              </w:rPr>
                              <w:t xml:space="preserve"> </w:t>
                            </w:r>
                          </w:p>
                          <w:p w:rsidR="00635888" w:rsidRDefault="00635888" w:rsidP="001A41DD">
                            <w:pPr>
                              <w:jc w:val="both"/>
                              <w:rPr>
                                <w:rFonts w:ascii="Arial" w:hAnsi="Arial" w:cs="Arial"/>
                                <w:b/>
                                <w:bCs/>
                                <w:sz w:val="24"/>
                              </w:rPr>
                            </w:pPr>
                          </w:p>
                          <w:p w:rsidR="001A41DD" w:rsidRDefault="001A41DD"/>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486.8pt;margin-top:10.4pt;width:538pt;height:110.6pt;z-index:251672576;visibility:visible;mso-wrap-style:non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" stroked="f">
                <v:textbox style="mso-fit-shape-to-text:t">
                  <w:txbxContent>
                    <w:p w:rsidR="00E729A9" w:rsidRDefault="006F1089" w:rsidP="00E729A9">
                      <w:pPr>
                        <w:jc w:val="both"/>
                        <w:rPr>
                          <w:rFonts w:ascii="Arial" w:hAnsi="Arial" w:cs="Arial"/>
                          <w:b/>
                          <w:bCs/>
                          <w:sz w:val="24"/>
                        </w:rPr>
                      </w:pPr>
                      <w:r>
                        <w:rPr>
                          <w:rFonts w:ascii="Arial" w:hAnsi="Arial" w:cs="Arial"/>
                          <w:b/>
                          <w:bCs/>
                          <w:sz w:val="24"/>
                        </w:rPr>
                        <w:pict>
                          <v:shape id="_x0000_i1064" type="#_x0000_t75" style="width:565.45pt;height:318.6pt">
                            <v:imagedata r:id="rId15" o:title="sup5ab"/>
                          </v:shape>
                        </w:pict>
                      </w:r>
                    </w:p>
                    <w:p w:rsidR="006F1089" w:rsidRDefault="006F1089" w:rsidP="006F1089">
                      <w:pPr>
                        <w:jc w:val="both"/>
                        <w:rPr>
                          <w:rFonts w:ascii="Arial" w:hAnsi="Arial" w:cs="Arial"/>
                          <w:b/>
                          <w:bCs/>
                        </w:rPr>
                      </w:pPr>
                      <w:r>
                        <w:rPr>
                          <w:rFonts w:ascii="Arial" w:hAnsi="Arial" w:cs="Arial"/>
                          <w:b/>
                          <w:bCs/>
                        </w:rPr>
                        <w:pict>
                          <v:shape id="_x0000_i1065" type="#_x0000_t75" style="width:530.9pt;height:219.25pt">
                            <v:imagedata r:id="rId16" o:title="sup5c" cropbottom="19201f"/>
                          </v:shape>
                        </w:pict>
                      </w:r>
                    </w:p>
                    <w:p w:rsidR="006F1089" w:rsidRPr="006F1089" w:rsidRDefault="006F1089" w:rsidP="006F1089">
                      <w:pPr>
                        <w:jc w:val="both"/>
                        <w:rPr>
                          <w:rFonts w:ascii="Arial" w:hAnsi="Arial" w:cs="Arial"/>
                          <w:b/>
                          <w:bCs/>
                        </w:rPr>
                      </w:pPr>
                      <w:r w:rsidRPr="006F1089">
                        <w:rPr>
                          <w:rFonts w:ascii="Arial" w:hAnsi="Arial" w:cs="Arial"/>
                          <w:b/>
                          <w:bCs/>
                        </w:rPr>
                        <w:t xml:space="preserve">Supplemental Figure 5. NSG 16S Alpha and Beta Diversity.  </w:t>
                      </w:r>
                      <w:r w:rsidRPr="006F1089">
                        <w:rPr>
                          <w:rFonts w:ascii="Arial" w:hAnsi="Arial" w:cs="Arial"/>
                          <w:bCs/>
                        </w:rPr>
                        <w:t>A. Alpha diversity of NSG ID8 stool 16S over time. B. Alpha diversity of NSG ID8-VEGF stool 16S over time. C. Beta diversity of NSG ID8 and ID8-VEGF over time. n= 8 mice per group, PERMANOVA</w:t>
                      </w:r>
                    </w:p>
                    <w:p w:rsidR="00E729A9" w:rsidRPr="00E729A9" w:rsidRDefault="00E729A9" w:rsidP="00E729A9">
                      <w:pPr>
                        <w:jc w:val="both"/>
                        <w:rPr>
                          <w:rFonts w:ascii="Arial" w:hAnsi="Arial" w:cs="Arial"/>
                          <w:b/>
                          <w:bCs/>
                          <w:sz w:val="24"/>
                        </w:rPr>
                      </w:pPr>
                      <w:r w:rsidRPr="00E729A9">
                        <w:rPr>
                          <w:rFonts w:ascii="Arial" w:hAnsi="Arial" w:cs="Arial"/>
                          <w:b/>
                          <w:bCs/>
                          <w:sz w:val="24"/>
                        </w:rPr>
                        <w:t xml:space="preserve"> </w:t>
                      </w:r>
                    </w:p>
                    <w:p w:rsidR="00635888" w:rsidRDefault="00635888" w:rsidP="001A41DD">
                      <w:pPr>
                        <w:jc w:val="both"/>
                        <w:rPr>
                          <w:rFonts w:ascii="Arial" w:hAnsi="Arial" w:cs="Arial"/>
                          <w:b/>
                          <w:bCs/>
                          <w:sz w:val="24"/>
                        </w:rPr>
                      </w:pPr>
                    </w:p>
                    <w:p w:rsidR="001A41DD" w:rsidRDefault="001A41DD"/>
                  </w:txbxContent>
                </v:textbox>
                <w10:wrap type="square" anchorx="margin"/>
              </v:shape>
            </w:pict>
          </mc:Fallback>
        </mc:AlternateContent>
      </w:r>
    </w:p>
    <w:p w:rsidR="00B13299" w:rsidRDefault="00B13299" w:rsidP="001A41DD">
      <w:pPr>
        <w:tabs>
          <w:tab w:val="left" w:pos="2240"/>
        </w:tabs>
      </w:pPr>
    </w:p>
    <w:p w:rsidR="001A41DD" w:rsidRDefault="001A41DD" w:rsidP="001A41DD">
      <w:pPr>
        <w:tabs>
          <w:tab w:val="left" w:pos="2240"/>
        </w:tabs>
      </w:pPr>
    </w:p>
    <w:p w:rsidR="002824EE" w:rsidRDefault="00635888" w:rsidP="001A41DD">
      <w:pPr>
        <w:tabs>
          <w:tab w:val="left" w:pos="2240"/>
        </w:tabs>
      </w:pPr>
      <w:r>
        <w:rPr>
          <w:noProof/>
        </w:rPr>
        <mc:AlternateContent>
          <mc:Choice Requires="wps">
            <w:drawing>
              <wp:anchor distT="45720" distB="45720" distL="114300" distR="114300" simplePos="0" relativeHeight="251663360" behindDoc="0" locked="0" layoutInCell="1" allowOverlap="1" wp14:anchorId="6CF11884" wp14:editId="784670B8">
                <wp:simplePos x="0" y="0"/>
                <wp:positionH relativeFrom="margin">
                  <wp:posOffset>-846</wp:posOffset>
                </wp:positionH>
                <wp:positionV relativeFrom="paragraph">
                  <wp:posOffset>3802591</wp:posOffset>
                </wp:positionV>
                <wp:extent cx="3513455" cy="5274310"/>
                <wp:effectExtent l="0" t="0" r="0" b="508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3455" cy="5274310"/>
                        </a:xfrm>
                        <a:prstGeom prst="rect">
                          <a:avLst/>
                        </a:prstGeom>
                        <a:solidFill>
                          <a:srgbClr val="FFFFFF"/>
                        </a:solidFill>
                        <a:ln w="9525">
                          <a:noFill/>
                          <a:miter lim="800000"/>
                          <a:headEnd/>
                          <a:tailEnd/>
                        </a:ln>
                      </wps:spPr>
                      <wps:txbx>
                        <w:txbxContent>
                          <w:p w:rsidR="00910296" w:rsidRPr="00910296" w:rsidRDefault="00910296" w:rsidP="00910296">
                            <w:r w:rsidRPr="00910296">
                              <w:rPr>
                                <w:rFonts w:ascii="Arial" w:hAnsi="Arial" w:cs="Arial"/>
                                <w:b/>
                                <w:bCs/>
                                <w:sz w:val="24"/>
                                <w:szCs w:val="24"/>
                              </w:rPr>
                              <w:t>Supplemental Table 1. Myeloid and lymphoid antibody lists utilized for ascites</w:t>
                            </w:r>
                            <w:r w:rsidR="00E729A9">
                              <w:rPr>
                                <w:rFonts w:ascii="Arial" w:hAnsi="Arial" w:cs="Arial"/>
                                <w:b/>
                                <w:bCs/>
                                <w:sz w:val="24"/>
                                <w:szCs w:val="24"/>
                              </w:rPr>
                              <w:t xml:space="preserve">, </w:t>
                            </w:r>
                            <w:proofErr w:type="spellStart"/>
                            <w:r w:rsidR="00E729A9">
                              <w:rPr>
                                <w:rFonts w:ascii="Arial" w:hAnsi="Arial" w:cs="Arial"/>
                                <w:b/>
                                <w:bCs/>
                                <w:sz w:val="24"/>
                                <w:szCs w:val="24"/>
                              </w:rPr>
                              <w:t>splenocyte</w:t>
                            </w:r>
                            <w:proofErr w:type="spellEnd"/>
                            <w:r w:rsidR="00E729A9">
                              <w:rPr>
                                <w:rFonts w:ascii="Arial" w:hAnsi="Arial" w:cs="Arial"/>
                                <w:b/>
                                <w:bCs/>
                                <w:sz w:val="24"/>
                                <w:szCs w:val="24"/>
                              </w:rPr>
                              <w:t>, and bone marrow</w:t>
                            </w:r>
                            <w:r w:rsidRPr="00910296">
                              <w:rPr>
                                <w:rFonts w:ascii="Arial" w:hAnsi="Arial" w:cs="Arial"/>
                                <w:b/>
                                <w:bCs/>
                                <w:sz w:val="24"/>
                                <w:szCs w:val="24"/>
                              </w:rPr>
                              <w:t xml:space="preserve"> analysis.</w:t>
                            </w:r>
                          </w:p>
                          <w:p w:rsidR="00910296" w:rsidRDefault="00910296" w:rsidP="0091029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CF11884" id="_x0000_s1031" type="#_x0000_t202" style="position:absolute;margin-left:-.05pt;margin-top:299.4pt;width:276.65pt;height:415.3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" stroked="f">
                <v:textbox style="mso-fit-shape-to-text:t">
                  <w:txbxContent>
                    <w:p w:rsidR="00910296" w:rsidRPr="00910296" w:rsidRDefault="00910296" w:rsidP="00910296">
                      <w:r w:rsidRPr="00910296">
                        <w:rPr>
                          <w:rFonts w:ascii="Arial" w:hAnsi="Arial" w:cs="Arial"/>
                          <w:b/>
                          <w:bCs/>
                          <w:sz w:val="24"/>
                          <w:szCs w:val="24"/>
                        </w:rPr>
                        <w:t>Supplemental Table 1. Myeloid and lymphoid antibody lists utilized for ascites</w:t>
                      </w:r>
                      <w:r w:rsidR="00E729A9">
                        <w:rPr>
                          <w:rFonts w:ascii="Arial" w:hAnsi="Arial" w:cs="Arial"/>
                          <w:b/>
                          <w:bCs/>
                          <w:sz w:val="24"/>
                          <w:szCs w:val="24"/>
                        </w:rPr>
                        <w:t xml:space="preserve">, </w:t>
                      </w:r>
                      <w:proofErr w:type="spellStart"/>
                      <w:r w:rsidR="00E729A9">
                        <w:rPr>
                          <w:rFonts w:ascii="Arial" w:hAnsi="Arial" w:cs="Arial"/>
                          <w:b/>
                          <w:bCs/>
                          <w:sz w:val="24"/>
                          <w:szCs w:val="24"/>
                        </w:rPr>
                        <w:t>splenocyte</w:t>
                      </w:r>
                      <w:proofErr w:type="spellEnd"/>
                      <w:r w:rsidR="00E729A9">
                        <w:rPr>
                          <w:rFonts w:ascii="Arial" w:hAnsi="Arial" w:cs="Arial"/>
                          <w:b/>
                          <w:bCs/>
                          <w:sz w:val="24"/>
                          <w:szCs w:val="24"/>
                        </w:rPr>
                        <w:t>, and bone marrow</w:t>
                      </w:r>
                      <w:r w:rsidRPr="00910296">
                        <w:rPr>
                          <w:rFonts w:ascii="Arial" w:hAnsi="Arial" w:cs="Arial"/>
                          <w:b/>
                          <w:bCs/>
                          <w:sz w:val="24"/>
                          <w:szCs w:val="24"/>
                        </w:rPr>
                        <w:t xml:space="preserve"> analysis.</w:t>
                      </w:r>
                    </w:p>
                    <w:p w:rsidR="00910296" w:rsidRDefault="00910296" w:rsidP="00910296"/>
                  </w:txbxContent>
                </v:textbox>
                <w10:wrap type="square" anchorx="margin"/>
              </v:shape>
            </w:pict>
          </mc:Fallback>
        </mc:AlternateContent>
      </w:r>
      <w:r w:rsidR="001A41DD">
        <w:rPr>
          <w:noProof/>
        </w:rPr>
        <mc:AlternateContent>
          <mc:Choice Requires="wps">
            <w:drawing>
              <wp:anchor distT="45720" distB="45720" distL="114300" distR="114300" simplePos="0" relativeHeight="251674624" behindDoc="0" locked="0" layoutInCell="1" allowOverlap="1">
                <wp:simplePos x="0" y="0"/>
                <wp:positionH relativeFrom="margin">
                  <wp:align>right</wp:align>
                </wp:positionH>
                <wp:positionV relativeFrom="paragraph">
                  <wp:posOffset>186055</wp:posOffset>
                </wp:positionV>
                <wp:extent cx="6840855" cy="4597400"/>
                <wp:effectExtent l="0" t="0" r="0" b="0"/>
                <wp:wrapSquare wrapText="bothSides"/>
                <wp:docPr id="2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855" cy="4597400"/>
                        </a:xfrm>
                        <a:prstGeom prst="rect">
                          <a:avLst/>
                        </a:prstGeom>
                        <a:solidFill>
                          <a:srgbClr val="FFFFFF"/>
                        </a:solidFill>
                        <a:ln w="9525">
                          <a:noFill/>
                          <a:miter lim="800000"/>
                          <a:headEnd/>
                          <a:tailEnd/>
                        </a:ln>
                      </wps:spPr>
                      <wps:txbx>
                        <w:txbxContent>
                          <w:p w:rsidR="00E729A9" w:rsidRDefault="00E729A9" w:rsidP="00E729A9">
                            <w:pPr>
                              <w:pStyle w:val="NormalWeb"/>
                              <w:jc w:val="both"/>
                              <w:rPr>
                                <w:rFonts w:ascii="Arial" w:eastAsiaTheme="minorEastAsia" w:hAnsi="Arial" w:cs="Arial"/>
                                <w:b/>
                                <w:bCs/>
                                <w:color w:val="000000" w:themeColor="text1"/>
                                <w:kern w:val="24"/>
                              </w:rPr>
                            </w:pPr>
                            <w:r>
                              <w:object w:dxaOrig="9603" w:dyaOrig="5390">
                                <v:shape id="_x0000_i1034" type="#_x0000_t75" style="width:549.75pt;height:308.3pt" o:ole="">
                                  <v:imagedata r:id="rId17" o:title=""/>
                                </v:shape>
                                <o:OLEObject Type="Embed" ProgID="PowerPoint.Slide.12" ShapeID="_x0000_i1034" DrawAspect="Content" ObjectID="_1689507114" r:id="rId18"/>
                              </w:object>
                            </w:r>
                          </w:p>
                          <w:p w:rsidR="00E729A9" w:rsidRPr="00987B74" w:rsidRDefault="00E729A9" w:rsidP="00E729A9">
                            <w:pPr>
                              <w:pStyle w:val="NormalWeb"/>
                              <w:jc w:val="both"/>
                              <w:rPr>
                                <w:rFonts w:ascii="Arial" w:eastAsiaTheme="minorEastAsia" w:hAnsi="Arial" w:cs="Arial"/>
                                <w:b/>
                                <w:bCs/>
                                <w:color w:val="000000" w:themeColor="text1"/>
                                <w:kern w:val="24"/>
                                <w:sz w:val="22"/>
                              </w:rPr>
                            </w:pPr>
                            <w:r w:rsidRPr="00987B74">
                              <w:rPr>
                                <w:rFonts w:ascii="Arial" w:eastAsiaTheme="minorEastAsia" w:hAnsi="Arial" w:cs="Arial"/>
                                <w:b/>
                                <w:bCs/>
                                <w:color w:val="000000" w:themeColor="text1"/>
                                <w:kern w:val="24"/>
                                <w:sz w:val="22"/>
                              </w:rPr>
                              <w:t xml:space="preserve">Supplemental Figure 6. </w:t>
                            </w:r>
                            <w:r w:rsidRPr="00987B74">
                              <w:rPr>
                                <w:rFonts w:ascii="Arial" w:eastAsiaTheme="minorEastAsia" w:hAnsi="Arial" w:cs="Arial"/>
                                <w:bCs/>
                                <w:color w:val="000000" w:themeColor="text1"/>
                                <w:kern w:val="24"/>
                                <w:sz w:val="22"/>
                              </w:rPr>
                              <w:t xml:space="preserve">ABX treatment does not significantly alter tumor cell proliferation or cisplatin sensitivity </w:t>
                            </w:r>
                            <w:r w:rsidRPr="00987B74">
                              <w:rPr>
                                <w:rFonts w:ascii="Arial" w:eastAsiaTheme="minorEastAsia" w:hAnsi="Arial" w:cs="Arial"/>
                                <w:bCs/>
                                <w:i/>
                                <w:iCs/>
                                <w:color w:val="000000" w:themeColor="text1"/>
                                <w:kern w:val="24"/>
                                <w:sz w:val="22"/>
                              </w:rPr>
                              <w:t xml:space="preserve">in vitro. </w:t>
                            </w:r>
                            <w:r w:rsidRPr="00987B74">
                              <w:rPr>
                                <w:rFonts w:ascii="Arial" w:eastAsiaTheme="minorEastAsia" w:hAnsi="Arial" w:cs="Arial"/>
                                <w:bCs/>
                                <w:color w:val="000000" w:themeColor="text1"/>
                                <w:kern w:val="24"/>
                                <w:sz w:val="22"/>
                              </w:rPr>
                              <w:t>Following 4 days co-culture of ID8 (A) and ID8 VEGF (B) with ABX at vary concentrations, no significant change in proliferation was observed compared to cells cultured with media alone. The IC50 of Cisplatin was not significantly altered when co cultured with ABX compared to control media in ID8 (C) or ID8 VEGF (D) cells in vitro. n= 3 replicates per data point, representative of 3 biological replicates.</w:t>
                            </w:r>
                          </w:p>
                          <w:p w:rsidR="00635888" w:rsidRDefault="00635888" w:rsidP="004C35D8">
                            <w:pPr>
                              <w:pStyle w:val="NormalWeb"/>
                              <w:spacing w:before="0" w:beforeAutospacing="0" w:after="0" w:afterAutospacing="0"/>
                              <w:jc w:val="both"/>
                              <w:rPr>
                                <w:rFonts w:ascii="Arial" w:eastAsiaTheme="minorEastAsia" w:hAnsi="Arial" w:cs="Arial"/>
                                <w:b/>
                                <w:bCs/>
                                <w:color w:val="000000" w:themeColor="text1"/>
                                <w:kern w:val="24"/>
                              </w:rPr>
                            </w:pPr>
                          </w:p>
                          <w:p w:rsidR="001A41DD" w:rsidRDefault="001A41DD"/>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487.45pt;margin-top:14.65pt;width:538.65pt;height:362pt;z-index:251674624;visibility:visible;mso-wrap-style:non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" stroked="f">
                <v:textbox style="mso-fit-shape-to-text:t">
                  <w:txbxContent>
                    <w:p w:rsidR="00E729A9" w:rsidRDefault="00E729A9" w:rsidP="00E729A9">
                      <w:pPr>
                        <w:pStyle w:val="NormalWeb"/>
                        <w:jc w:val="both"/>
                        <w:rPr>
                          <w:rFonts w:ascii="Arial" w:eastAsiaTheme="minorEastAsia" w:hAnsi="Arial" w:cs="Arial"/>
                          <w:b/>
                          <w:bCs/>
                          <w:color w:val="000000" w:themeColor="text1"/>
                          <w:kern w:val="24"/>
                        </w:rPr>
                      </w:pPr>
                      <w:r>
                        <w:object w:dxaOrig="9603" w:dyaOrig="5390">
                          <v:shape id="_x0000_i1211" type="#_x0000_t75" style="width:549.75pt;height:308.3pt" o:ole="">
                            <v:imagedata r:id="rId23" o:title=""/>
                          </v:shape>
                          <o:OLEObject Type="Embed" ProgID="PowerPoint.Slide.12" ShapeID="_x0000_i1211" DrawAspect="Content" ObjectID="_1688897085" r:id="rId24"/>
                        </w:object>
                      </w:r>
                    </w:p>
                    <w:p w:rsidR="00E729A9" w:rsidRPr="00987B74" w:rsidRDefault="00E729A9" w:rsidP="00E729A9">
                      <w:pPr>
                        <w:pStyle w:val="NormalWeb"/>
                        <w:jc w:val="both"/>
                        <w:rPr>
                          <w:rFonts w:ascii="Arial" w:eastAsiaTheme="minorEastAsia" w:hAnsi="Arial" w:cs="Arial"/>
                          <w:b/>
                          <w:bCs/>
                          <w:color w:val="000000" w:themeColor="text1"/>
                          <w:kern w:val="24"/>
                          <w:sz w:val="22"/>
                        </w:rPr>
                      </w:pPr>
                      <w:r w:rsidRPr="00987B74">
                        <w:rPr>
                          <w:rFonts w:ascii="Arial" w:eastAsiaTheme="minorEastAsia" w:hAnsi="Arial" w:cs="Arial"/>
                          <w:b/>
                          <w:bCs/>
                          <w:color w:val="000000" w:themeColor="text1"/>
                          <w:kern w:val="24"/>
                          <w:sz w:val="22"/>
                        </w:rPr>
                        <w:t xml:space="preserve">Supplemental Figure 6. </w:t>
                      </w:r>
                      <w:r w:rsidRPr="00987B74">
                        <w:rPr>
                          <w:rFonts w:ascii="Arial" w:eastAsiaTheme="minorEastAsia" w:hAnsi="Arial" w:cs="Arial"/>
                          <w:bCs/>
                          <w:color w:val="000000" w:themeColor="text1"/>
                          <w:kern w:val="24"/>
                          <w:sz w:val="22"/>
                        </w:rPr>
                        <w:t xml:space="preserve">ABX treatment does not significantly alter tumor cell proliferation or cisplatin sensitivity </w:t>
                      </w:r>
                      <w:r w:rsidRPr="00987B74">
                        <w:rPr>
                          <w:rFonts w:ascii="Arial" w:eastAsiaTheme="minorEastAsia" w:hAnsi="Arial" w:cs="Arial"/>
                          <w:bCs/>
                          <w:i/>
                          <w:iCs/>
                          <w:color w:val="000000" w:themeColor="text1"/>
                          <w:kern w:val="24"/>
                          <w:sz w:val="22"/>
                        </w:rPr>
                        <w:t xml:space="preserve">in vitro. </w:t>
                      </w:r>
                      <w:r w:rsidRPr="00987B74">
                        <w:rPr>
                          <w:rFonts w:ascii="Arial" w:eastAsiaTheme="minorEastAsia" w:hAnsi="Arial" w:cs="Arial"/>
                          <w:bCs/>
                          <w:color w:val="000000" w:themeColor="text1"/>
                          <w:kern w:val="24"/>
                          <w:sz w:val="22"/>
                        </w:rPr>
                        <w:t>Following 4 days co-culture of ID8 (A) and ID8 VEGF (B) with ABX at vary concentrations, no significant change in proliferation was observed compared to cells cultured with media alone. The IC50 of Cisplatin was not significantly altered when co cultured with ABX compared to control media in ID8 (C) or ID8 VEGF (D) cells in vitro. n= 3 replicates per data point, representative of 3 biological replicates.</w:t>
                      </w:r>
                    </w:p>
                    <w:p w:rsidR="00635888" w:rsidRDefault="00635888" w:rsidP="004C35D8">
                      <w:pPr>
                        <w:pStyle w:val="NormalWeb"/>
                        <w:spacing w:before="0" w:beforeAutospacing="0" w:after="0" w:afterAutospacing="0"/>
                        <w:jc w:val="both"/>
                        <w:rPr>
                          <w:rFonts w:ascii="Arial" w:eastAsiaTheme="minorEastAsia" w:hAnsi="Arial" w:cs="Arial"/>
                          <w:b/>
                          <w:bCs/>
                          <w:color w:val="000000" w:themeColor="text1"/>
                          <w:kern w:val="24"/>
                        </w:rPr>
                      </w:pPr>
                    </w:p>
                    <w:p w:rsidR="001A41DD" w:rsidRDefault="001A41DD"/>
                  </w:txbxContent>
                </v:textbox>
                <w10:wrap type="square" anchorx="margin"/>
              </v:shape>
            </w:pict>
          </mc:Fallback>
        </mc:AlternateContent>
      </w:r>
    </w:p>
    <w:p w:rsidR="00E729A9" w:rsidRDefault="00E729A9" w:rsidP="00E729A9">
      <w:pPr>
        <w:rPr>
          <w:rFonts w:ascii="Arial" w:hAnsi="Arial" w:cs="Arial"/>
          <w:b/>
          <w:bCs/>
          <w:sz w:val="24"/>
        </w:rPr>
      </w:pPr>
    </w:p>
    <w:p w:rsidR="002824EE" w:rsidRDefault="002824EE" w:rsidP="002824EE"/>
    <w:p w:rsidR="001A41DD" w:rsidRDefault="001A41DD"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987B74" w:rsidP="002824EE">
      <w:pPr>
        <w:jc w:val="center"/>
      </w:pPr>
      <w:r>
        <w:rPr>
          <w:rFonts w:ascii="Arial" w:hAnsi="Arial" w:cs="Arial"/>
          <w:b/>
          <w:bCs/>
          <w:noProof/>
          <w:sz w:val="24"/>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-170180</wp:posOffset>
                </wp:positionV>
                <wp:extent cx="6649655" cy="4977113"/>
                <wp:effectExtent l="0" t="0" r="0" b="0"/>
                <wp:wrapNone/>
                <wp:docPr id="8" name="Text Box 8"/>
                <wp:cNvGraphicFramePr/>
                <a:graphic xmlns:a="http://schemas.openxmlformats.org/drawingml/2006/main">
                  <a:graphicData uri="http://schemas.microsoft.com/office/word/2010/wordprocessingShape">
                    <wps:wsp>
                      <wps:cNvSpPr txBox="1"/>
                      <wps:spPr>
                        <a:xfrm>
                          <a:off x="0" y="0"/>
                          <a:ext cx="6649655" cy="497711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729A9" w:rsidRDefault="006F1089" w:rsidP="00E729A9">
                            <w:pPr>
                              <w:rPr>
                                <w:rFonts w:ascii="Arial" w:hAnsi="Arial" w:cs="Arial"/>
                                <w:b/>
                                <w:bCs/>
                                <w:sz w:val="24"/>
                              </w:rPr>
                            </w:pPr>
                            <w:r>
                              <w:object w:dxaOrig="9603" w:dyaOrig="5390">
                                <v:shape id="_x0000_i1036" type="#_x0000_t75" style="width:390.85pt;height:207.8pt" o:ole="">
                                  <v:imagedata r:id="rId25" o:title="" cropbottom="17889f" cropright="15176f"/>
                                </v:shape>
                                <o:OLEObject Type="Embed" ProgID="PowerPoint.Slide.12" ShapeID="_x0000_i1036" DrawAspect="Content" ObjectID="_1689507115" r:id="rId26"/>
                              </w:object>
                            </w:r>
                          </w:p>
                          <w:p w:rsidR="00E729A9" w:rsidRPr="00197BB7" w:rsidRDefault="00E729A9" w:rsidP="00E729A9">
                            <w:pPr>
                              <w:rPr>
                                <w:rFonts w:ascii="Arial" w:hAnsi="Arial" w:cs="Arial"/>
                              </w:rPr>
                            </w:pPr>
                            <w:r w:rsidRPr="00197BB7">
                              <w:rPr>
                                <w:rFonts w:ascii="Arial" w:hAnsi="Arial" w:cs="Arial"/>
                                <w:b/>
                                <w:bCs/>
                              </w:rPr>
                              <w:t xml:space="preserve">Supplemental Figure 7. ABX treatment decreases sensitivity of OV81 cells to cisplatin therapy, resulting in increased tumor growth. </w:t>
                            </w:r>
                            <w:r w:rsidRPr="00197BB7">
                              <w:rPr>
                                <w:rFonts w:ascii="Arial" w:hAnsi="Arial" w:cs="Arial"/>
                              </w:rPr>
                              <w:t>Mice treated with antibiotics exhibited increased overall OV81 tumor growth in both the presence and absence of cisplatin therapy compared to the H2O treated control. ***p&lt;0.001, student’s t test.</w:t>
                            </w:r>
                          </w:p>
                          <w:p w:rsidR="00E729A9" w:rsidRDefault="00E729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3" type="#_x0000_t202" style="position:absolute;left:0;text-align:left;margin-left:0;margin-top:-13.4pt;width:523.6pt;height:391.9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" fillcolor="white [3201]" stroked="f" strokeweight=".5pt">
                <v:textbox>
                  <w:txbxContent>
                    <w:p w:rsidR="00E729A9" w:rsidRDefault="006F1089" w:rsidP="00E729A9">
                      <w:pPr>
                        <w:rPr>
                          <w:rFonts w:ascii="Arial" w:hAnsi="Arial" w:cs="Arial"/>
                          <w:b/>
                          <w:bCs/>
                          <w:sz w:val="24"/>
                        </w:rPr>
                      </w:pPr>
                      <w:r>
                        <w:object w:dxaOrig="9603" w:dyaOrig="5390">
                          <v:shape id="_x0000_i1036" type="#_x0000_t75" style="width:390.85pt;height:207.8pt" o:ole="">
                            <v:imagedata r:id="rId25" o:title="" cropbottom="17889f" cropright="15176f"/>
                          </v:shape>
                          <o:OLEObject Type="Embed" ProgID="PowerPoint.Slide.12" ShapeID="_x0000_i1036" DrawAspect="Content" ObjectID="_1689507115" r:id="rId27"/>
                        </w:object>
                      </w:r>
                    </w:p>
                    <w:p w:rsidR="00E729A9" w:rsidRPr="00197BB7" w:rsidRDefault="00E729A9" w:rsidP="00E729A9">
                      <w:pPr>
                        <w:rPr>
                          <w:rFonts w:ascii="Arial" w:hAnsi="Arial" w:cs="Arial"/>
                        </w:rPr>
                      </w:pPr>
                      <w:r w:rsidRPr="00197BB7">
                        <w:rPr>
                          <w:rFonts w:ascii="Arial" w:hAnsi="Arial" w:cs="Arial"/>
                          <w:b/>
                          <w:bCs/>
                        </w:rPr>
                        <w:t xml:space="preserve">Supplemental Figure 7. ABX treatment decreases sensitivity of OV81 cells to cisplatin therapy, resulting in increased tumor growth. </w:t>
                      </w:r>
                      <w:r w:rsidRPr="00197BB7">
                        <w:rPr>
                          <w:rFonts w:ascii="Arial" w:hAnsi="Arial" w:cs="Arial"/>
                        </w:rPr>
                        <w:t>Mice treated with antibiotics exhibited increased overall OV81 tumor growth in both the presence and absence of cisplatin therapy compared to the H2O treated control. ***p&lt;0.001, student’s t test.</w:t>
                      </w:r>
                    </w:p>
                    <w:p w:rsidR="00E729A9" w:rsidRDefault="00E729A9"/>
                  </w:txbxContent>
                </v:textbox>
                <w10:wrap anchorx="margin"/>
              </v:shape>
            </w:pict>
          </mc:Fallback>
        </mc:AlternateContent>
      </w: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jc w:val="center"/>
      </w:pPr>
    </w:p>
    <w:p w:rsidR="002824EE" w:rsidRDefault="002824EE" w:rsidP="002824EE">
      <w:pPr>
        <w:tabs>
          <w:tab w:val="left" w:pos="347"/>
        </w:tabs>
      </w:pPr>
      <w:r>
        <w:tab/>
      </w:r>
    </w:p>
    <w:p w:rsidR="00F47913" w:rsidRDefault="00F47913" w:rsidP="002824EE">
      <w:pPr>
        <w:tabs>
          <w:tab w:val="left" w:pos="347"/>
        </w:tabs>
      </w:pPr>
    </w:p>
    <w:p w:rsidR="00F47913" w:rsidRDefault="00F47913" w:rsidP="002824EE">
      <w:pPr>
        <w:tabs>
          <w:tab w:val="left" w:pos="347"/>
        </w:tabs>
      </w:pPr>
    </w:p>
    <w:p w:rsidR="00F47913" w:rsidRDefault="00F47913" w:rsidP="002824EE">
      <w:pPr>
        <w:tabs>
          <w:tab w:val="left" w:pos="347"/>
        </w:tabs>
      </w:pPr>
    </w:p>
    <w:p w:rsidR="00F47913" w:rsidRDefault="00F47913" w:rsidP="002824EE">
      <w:pPr>
        <w:tabs>
          <w:tab w:val="left" w:pos="347"/>
        </w:tabs>
      </w:pPr>
    </w:p>
    <w:p w:rsidR="00F47913" w:rsidRDefault="00F47913" w:rsidP="002824EE">
      <w:pPr>
        <w:tabs>
          <w:tab w:val="left" w:pos="347"/>
        </w:tabs>
      </w:pPr>
    </w:p>
    <w:p w:rsidR="00F47913" w:rsidRDefault="00F47913" w:rsidP="002824EE">
      <w:pPr>
        <w:tabs>
          <w:tab w:val="left" w:pos="347"/>
        </w:tabs>
      </w:pPr>
    </w:p>
    <w:p w:rsidR="00F47913" w:rsidRDefault="00F47913" w:rsidP="002824EE">
      <w:pPr>
        <w:tabs>
          <w:tab w:val="left" w:pos="347"/>
        </w:tabs>
      </w:pPr>
    </w:p>
    <w:p w:rsidR="00F47913" w:rsidRDefault="00F47913" w:rsidP="002824EE">
      <w:pPr>
        <w:tabs>
          <w:tab w:val="left" w:pos="347"/>
        </w:tabs>
      </w:pPr>
    </w:p>
    <w:p w:rsidR="00F47913" w:rsidRDefault="00F47913" w:rsidP="002824EE">
      <w:pPr>
        <w:tabs>
          <w:tab w:val="left" w:pos="347"/>
        </w:tabs>
      </w:pPr>
      <w:r>
        <w:rPr>
          <w:rFonts w:ascii="Arial" w:hAnsi="Arial" w:cs="Arial"/>
          <w:b/>
          <w:bCs/>
          <w:noProof/>
          <w:sz w:val="24"/>
        </w:rPr>
        <mc:AlternateContent>
          <mc:Choice Requires="wps">
            <w:drawing>
              <wp:anchor distT="0" distB="0" distL="114300" distR="114300" simplePos="0" relativeHeight="251679744" behindDoc="0" locked="0" layoutInCell="1" allowOverlap="1" wp14:anchorId="514B4BDA" wp14:editId="50A9DCE9">
                <wp:simplePos x="0" y="0"/>
                <wp:positionH relativeFrom="margin">
                  <wp:posOffset>75565</wp:posOffset>
                </wp:positionH>
                <wp:positionV relativeFrom="paragraph">
                  <wp:posOffset>125730</wp:posOffset>
                </wp:positionV>
                <wp:extent cx="6649655" cy="4977113"/>
                <wp:effectExtent l="0" t="0" r="0" b="0"/>
                <wp:wrapNone/>
                <wp:docPr id="1" name="Text Box 1"/>
                <wp:cNvGraphicFramePr/>
                <a:graphic xmlns:a="http://schemas.openxmlformats.org/drawingml/2006/main">
                  <a:graphicData uri="http://schemas.microsoft.com/office/word/2010/wordprocessingShape">
                    <wps:wsp>
                      <wps:cNvSpPr txBox="1"/>
                      <wps:spPr>
                        <a:xfrm>
                          <a:off x="0" y="0"/>
                          <a:ext cx="6649655" cy="497711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47913" w:rsidRPr="006F1089" w:rsidRDefault="006F1089" w:rsidP="006F1089">
                            <w:pPr>
                              <w:rPr>
                                <w:rFonts w:ascii="Arial" w:hAnsi="Arial" w:cs="Arial"/>
                                <w:b/>
                                <w:bCs/>
                                <w:sz w:val="24"/>
                              </w:rPr>
                            </w:pPr>
                            <w:r>
                              <w:object w:dxaOrig="9578" w:dyaOrig="5399">
                                <v:shape id="_x0000_i1072" type="#_x0000_t75" style="width:508.6pt;height:195.7pt" o:ole="">
                                  <v:imagedata r:id="rId28" o:title="" cropbottom="20759f"/>
                                </v:shape>
                                <o:OLEObject Type="Embed" ProgID="PowerPoint.Slide.12" ShapeID="_x0000_i1072" DrawAspect="Content" ObjectID="_1689507116" r:id="rId29"/>
                              </w:object>
                            </w:r>
                            <w:r w:rsidR="00F47913" w:rsidRPr="00F47913">
                              <w:rPr>
                                <w:rFonts w:ascii="Arial" w:hAnsi="Arial" w:cs="Arial"/>
                                <w:b/>
                                <w:bCs/>
                              </w:rPr>
                              <w:t>Supplemental Figure 8. Survival was enhanced with cisplatin treatment in H</w:t>
                            </w:r>
                            <w:r w:rsidR="00F47913" w:rsidRPr="00F47913">
                              <w:rPr>
                                <w:rFonts w:ascii="Arial" w:hAnsi="Arial" w:cs="Arial"/>
                                <w:b/>
                                <w:bCs/>
                                <w:vertAlign w:val="subscript"/>
                              </w:rPr>
                              <w:t>2</w:t>
                            </w:r>
                            <w:r w:rsidR="00F47913" w:rsidRPr="00F47913">
                              <w:rPr>
                                <w:rFonts w:ascii="Arial" w:hAnsi="Arial" w:cs="Arial"/>
                                <w:b/>
                                <w:bCs/>
                              </w:rPr>
                              <w:t>O and H</w:t>
                            </w:r>
                            <w:r w:rsidR="00F47913" w:rsidRPr="00F47913">
                              <w:rPr>
                                <w:rFonts w:ascii="Arial" w:hAnsi="Arial" w:cs="Arial"/>
                                <w:b/>
                                <w:bCs/>
                                <w:vertAlign w:val="subscript"/>
                              </w:rPr>
                              <w:t>2</w:t>
                            </w:r>
                            <w:r w:rsidR="00F47913" w:rsidRPr="00F47913">
                              <w:rPr>
                                <w:rFonts w:ascii="Arial" w:hAnsi="Arial" w:cs="Arial"/>
                                <w:b/>
                                <w:bCs/>
                              </w:rPr>
                              <w:t xml:space="preserve">O-CMT but not in ABX and ABX-CMT treated groups. </w:t>
                            </w:r>
                            <w:r w:rsidR="00F47913" w:rsidRPr="00F47913">
                              <w:rPr>
                                <w:rFonts w:ascii="Arial" w:hAnsi="Arial" w:cs="Arial"/>
                              </w:rPr>
                              <w:t>A. Survival plots of H</w:t>
                            </w:r>
                            <w:r w:rsidR="00F47913" w:rsidRPr="00F47913">
                              <w:rPr>
                                <w:rFonts w:ascii="Arial" w:hAnsi="Arial" w:cs="Arial"/>
                                <w:vertAlign w:val="subscript"/>
                              </w:rPr>
                              <w:t>2</w:t>
                            </w:r>
                            <w:r w:rsidR="00F47913" w:rsidRPr="00F47913">
                              <w:rPr>
                                <w:rFonts w:ascii="Arial" w:hAnsi="Arial" w:cs="Arial"/>
                              </w:rPr>
                              <w:t>O treated groups demonstrating the similarity in survival between H</w:t>
                            </w:r>
                            <w:r w:rsidR="00F47913" w:rsidRPr="00F47913">
                              <w:rPr>
                                <w:rFonts w:ascii="Arial" w:hAnsi="Arial" w:cs="Arial"/>
                                <w:vertAlign w:val="subscript"/>
                              </w:rPr>
                              <w:t>2</w:t>
                            </w:r>
                            <w:r w:rsidR="00F47913" w:rsidRPr="00F47913">
                              <w:rPr>
                                <w:rFonts w:ascii="Arial" w:hAnsi="Arial" w:cs="Arial"/>
                              </w:rPr>
                              <w:t>O CMT (blue) and H</w:t>
                            </w:r>
                            <w:r w:rsidR="00F47913" w:rsidRPr="00F47913">
                              <w:rPr>
                                <w:rFonts w:ascii="Arial" w:hAnsi="Arial" w:cs="Arial"/>
                                <w:vertAlign w:val="subscript"/>
                              </w:rPr>
                              <w:t>2</w:t>
                            </w:r>
                            <w:r w:rsidR="00F47913" w:rsidRPr="00F47913">
                              <w:rPr>
                                <w:rFonts w:ascii="Arial" w:hAnsi="Arial" w:cs="Arial"/>
                              </w:rPr>
                              <w:t>O (black) vehicle (solid lines) and H</w:t>
                            </w:r>
                            <w:r w:rsidR="00F47913" w:rsidRPr="00F47913">
                              <w:rPr>
                                <w:rFonts w:ascii="Arial" w:hAnsi="Arial" w:cs="Arial"/>
                                <w:vertAlign w:val="subscript"/>
                              </w:rPr>
                              <w:t>2</w:t>
                            </w:r>
                            <w:r w:rsidR="00F47913" w:rsidRPr="00F47913">
                              <w:rPr>
                                <w:rFonts w:ascii="Arial" w:hAnsi="Arial" w:cs="Arial"/>
                              </w:rPr>
                              <w:t>O CMT (blue) and H</w:t>
                            </w:r>
                            <w:r w:rsidR="00F47913" w:rsidRPr="00F47913">
                              <w:rPr>
                                <w:rFonts w:ascii="Arial" w:hAnsi="Arial" w:cs="Arial"/>
                                <w:vertAlign w:val="subscript"/>
                              </w:rPr>
                              <w:t>2</w:t>
                            </w:r>
                            <w:r w:rsidR="00F47913" w:rsidRPr="00F47913">
                              <w:rPr>
                                <w:rFonts w:ascii="Arial" w:hAnsi="Arial" w:cs="Arial"/>
                              </w:rPr>
                              <w:t>O (black) cisplatin (dashed lines) groups. B. Survival plots of ABX treated groups demonstrating no significant advantage of cisplatin therapy in ABX-CMT (green) or ABX (red) groups, and a significant decrease in survival in ABX-CMT (green) compared to ABX (red) cisplatin treated groups (dashed lines).</w:t>
                            </w:r>
                          </w:p>
                          <w:p w:rsidR="00F47913" w:rsidRDefault="00F47913" w:rsidP="00F47913">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4B4BDA" id="Text Box 1" o:spid="_x0000_s1034" type="#_x0000_t202" style="position:absolute;margin-left:5.95pt;margin-top:9.9pt;width:523.6pt;height:391.9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" fillcolor="white [3201]" stroked="f" strokeweight=".5pt">
                <v:textbox>
                  <w:txbxContent>
                    <w:p w:rsidR="00F47913" w:rsidRPr="006F1089" w:rsidRDefault="006F1089" w:rsidP="006F1089">
                      <w:pPr>
                        <w:rPr>
                          <w:rFonts w:ascii="Arial" w:hAnsi="Arial" w:cs="Arial"/>
                          <w:b/>
                          <w:bCs/>
                          <w:sz w:val="24"/>
                        </w:rPr>
                      </w:pPr>
                      <w:r>
                        <w:object w:dxaOrig="9578" w:dyaOrig="5399">
                          <v:shape id="_x0000_i1072" type="#_x0000_t75" style="width:508.6pt;height:195.7pt" o:ole="">
                            <v:imagedata r:id="rId28" o:title="" cropbottom="20759f"/>
                          </v:shape>
                          <o:OLEObject Type="Embed" ProgID="PowerPoint.Slide.12" ShapeID="_x0000_i1072" DrawAspect="Content" ObjectID="_1689507116" r:id="rId30"/>
                        </w:object>
                      </w:r>
                      <w:r w:rsidR="00F47913" w:rsidRPr="00F47913">
                        <w:rPr>
                          <w:rFonts w:ascii="Arial" w:hAnsi="Arial" w:cs="Arial"/>
                          <w:b/>
                          <w:bCs/>
                        </w:rPr>
                        <w:t>Supplemental Figure 8. Survival was enhanced with cisplatin treatment in H</w:t>
                      </w:r>
                      <w:r w:rsidR="00F47913" w:rsidRPr="00F47913">
                        <w:rPr>
                          <w:rFonts w:ascii="Arial" w:hAnsi="Arial" w:cs="Arial"/>
                          <w:b/>
                          <w:bCs/>
                          <w:vertAlign w:val="subscript"/>
                        </w:rPr>
                        <w:t>2</w:t>
                      </w:r>
                      <w:r w:rsidR="00F47913" w:rsidRPr="00F47913">
                        <w:rPr>
                          <w:rFonts w:ascii="Arial" w:hAnsi="Arial" w:cs="Arial"/>
                          <w:b/>
                          <w:bCs/>
                        </w:rPr>
                        <w:t>O and H</w:t>
                      </w:r>
                      <w:r w:rsidR="00F47913" w:rsidRPr="00F47913">
                        <w:rPr>
                          <w:rFonts w:ascii="Arial" w:hAnsi="Arial" w:cs="Arial"/>
                          <w:b/>
                          <w:bCs/>
                          <w:vertAlign w:val="subscript"/>
                        </w:rPr>
                        <w:t>2</w:t>
                      </w:r>
                      <w:r w:rsidR="00F47913" w:rsidRPr="00F47913">
                        <w:rPr>
                          <w:rFonts w:ascii="Arial" w:hAnsi="Arial" w:cs="Arial"/>
                          <w:b/>
                          <w:bCs/>
                        </w:rPr>
                        <w:t xml:space="preserve">O-CMT but not in ABX and ABX-CMT treated groups. </w:t>
                      </w:r>
                      <w:r w:rsidR="00F47913" w:rsidRPr="00F47913">
                        <w:rPr>
                          <w:rFonts w:ascii="Arial" w:hAnsi="Arial" w:cs="Arial"/>
                        </w:rPr>
                        <w:t>A. Survival plots of H</w:t>
                      </w:r>
                      <w:r w:rsidR="00F47913" w:rsidRPr="00F47913">
                        <w:rPr>
                          <w:rFonts w:ascii="Arial" w:hAnsi="Arial" w:cs="Arial"/>
                          <w:vertAlign w:val="subscript"/>
                        </w:rPr>
                        <w:t>2</w:t>
                      </w:r>
                      <w:r w:rsidR="00F47913" w:rsidRPr="00F47913">
                        <w:rPr>
                          <w:rFonts w:ascii="Arial" w:hAnsi="Arial" w:cs="Arial"/>
                        </w:rPr>
                        <w:t>O treated groups demonstrating the similarity in survival between H</w:t>
                      </w:r>
                      <w:r w:rsidR="00F47913" w:rsidRPr="00F47913">
                        <w:rPr>
                          <w:rFonts w:ascii="Arial" w:hAnsi="Arial" w:cs="Arial"/>
                          <w:vertAlign w:val="subscript"/>
                        </w:rPr>
                        <w:t>2</w:t>
                      </w:r>
                      <w:r w:rsidR="00F47913" w:rsidRPr="00F47913">
                        <w:rPr>
                          <w:rFonts w:ascii="Arial" w:hAnsi="Arial" w:cs="Arial"/>
                        </w:rPr>
                        <w:t>O CMT (blue) and H</w:t>
                      </w:r>
                      <w:r w:rsidR="00F47913" w:rsidRPr="00F47913">
                        <w:rPr>
                          <w:rFonts w:ascii="Arial" w:hAnsi="Arial" w:cs="Arial"/>
                          <w:vertAlign w:val="subscript"/>
                        </w:rPr>
                        <w:t>2</w:t>
                      </w:r>
                      <w:r w:rsidR="00F47913" w:rsidRPr="00F47913">
                        <w:rPr>
                          <w:rFonts w:ascii="Arial" w:hAnsi="Arial" w:cs="Arial"/>
                        </w:rPr>
                        <w:t>O (black) vehicle (solid lines) and H</w:t>
                      </w:r>
                      <w:r w:rsidR="00F47913" w:rsidRPr="00F47913">
                        <w:rPr>
                          <w:rFonts w:ascii="Arial" w:hAnsi="Arial" w:cs="Arial"/>
                          <w:vertAlign w:val="subscript"/>
                        </w:rPr>
                        <w:t>2</w:t>
                      </w:r>
                      <w:r w:rsidR="00F47913" w:rsidRPr="00F47913">
                        <w:rPr>
                          <w:rFonts w:ascii="Arial" w:hAnsi="Arial" w:cs="Arial"/>
                        </w:rPr>
                        <w:t>O CMT (blue) and H</w:t>
                      </w:r>
                      <w:r w:rsidR="00F47913" w:rsidRPr="00F47913">
                        <w:rPr>
                          <w:rFonts w:ascii="Arial" w:hAnsi="Arial" w:cs="Arial"/>
                          <w:vertAlign w:val="subscript"/>
                        </w:rPr>
                        <w:t>2</w:t>
                      </w:r>
                      <w:r w:rsidR="00F47913" w:rsidRPr="00F47913">
                        <w:rPr>
                          <w:rFonts w:ascii="Arial" w:hAnsi="Arial" w:cs="Arial"/>
                        </w:rPr>
                        <w:t>O (black) cisplatin (dashed lines) groups. B. Survival plots of ABX treated groups demonstrating no significant advantage of cisplatin therapy in ABX-CMT (green) or ABX (red) groups, and a significant decrease in survival in ABX-CMT (green) compared to ABX (red) cisplatin treated groups (dashed lines).</w:t>
                      </w:r>
                    </w:p>
                    <w:p w:rsidR="00F47913" w:rsidRDefault="00F47913" w:rsidP="00F47913">
                      <w:pPr>
                        <w:jc w:val="both"/>
                      </w:pPr>
                    </w:p>
                  </w:txbxContent>
                </v:textbox>
                <w10:wrap anchorx="margin"/>
              </v:shape>
            </w:pict>
          </mc:Fallback>
        </mc:AlternateContent>
      </w:r>
    </w:p>
    <w:p w:rsidR="00F47913" w:rsidRDefault="00F47913" w:rsidP="002824EE">
      <w:pPr>
        <w:tabs>
          <w:tab w:val="left" w:pos="347"/>
        </w:tabs>
      </w:pPr>
    </w:p>
    <w:p w:rsidR="00F47913" w:rsidRDefault="00F47913" w:rsidP="002824EE">
      <w:pPr>
        <w:tabs>
          <w:tab w:val="left" w:pos="347"/>
        </w:tabs>
      </w:pPr>
    </w:p>
    <w:p w:rsidR="00F47913" w:rsidRDefault="00F47913" w:rsidP="002824EE">
      <w:pPr>
        <w:tabs>
          <w:tab w:val="left" w:pos="347"/>
        </w:tabs>
      </w:pPr>
    </w:p>
    <w:p w:rsidR="00F47913" w:rsidRDefault="00F47913" w:rsidP="002824EE">
      <w:pPr>
        <w:tabs>
          <w:tab w:val="left" w:pos="347"/>
        </w:tabs>
      </w:pPr>
    </w:p>
    <w:p w:rsidR="002824EE" w:rsidRPr="002824EE" w:rsidRDefault="00987B74" w:rsidP="002824EE">
      <w:pPr>
        <w:tabs>
          <w:tab w:val="left" w:pos="347"/>
        </w:tabs>
      </w:pPr>
      <w:r>
        <w:rPr>
          <w:noProof/>
        </w:rPr>
        <w:lastRenderedPageBreak/>
        <mc:AlternateContent>
          <mc:Choice Requires="wps">
            <w:drawing>
              <wp:anchor distT="45720" distB="45720" distL="114300" distR="114300" simplePos="0" relativeHeight="251676672" behindDoc="0" locked="0" layoutInCell="1" allowOverlap="1">
                <wp:simplePos x="0" y="0"/>
                <wp:positionH relativeFrom="margin">
                  <wp:align>center</wp:align>
                </wp:positionH>
                <wp:positionV relativeFrom="paragraph">
                  <wp:posOffset>2740660</wp:posOffset>
                </wp:positionV>
                <wp:extent cx="6248400" cy="4264660"/>
                <wp:effectExtent l="0" t="0" r="0" b="254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0" cy="4264660"/>
                        </a:xfrm>
                        <a:prstGeom prst="rect">
                          <a:avLst/>
                        </a:prstGeom>
                        <a:solidFill>
                          <a:srgbClr val="FFFFFF"/>
                        </a:solidFill>
                        <a:ln w="9525">
                          <a:noFill/>
                          <a:miter lim="800000"/>
                          <a:headEnd/>
                          <a:tailEnd/>
                        </a:ln>
                      </wps:spPr>
                      <wps:txbx>
                        <w:txbxContent>
                          <w:p w:rsidR="00E729A9" w:rsidRDefault="00E729A9" w:rsidP="002824EE">
                            <w:pPr>
                              <w:rPr>
                                <w:rFonts w:ascii="Arial" w:hAnsi="Arial" w:cs="Arial"/>
                                <w:b/>
                                <w:bCs/>
                                <w:sz w:val="24"/>
                              </w:rPr>
                            </w:pPr>
                            <w:r>
                              <w:rPr>
                                <w:noProof/>
                              </w:rPr>
                              <w:drawing>
                                <wp:inline distT="0" distB="0" distL="0" distR="0" wp14:anchorId="38D2B2FF" wp14:editId="0629BED3">
                                  <wp:extent cx="2843054" cy="3657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54309" cy="3672079"/>
                                          </a:xfrm>
                                          <a:prstGeom prst="rect">
                                            <a:avLst/>
                                          </a:prstGeom>
                                          <a:noFill/>
                                        </pic:spPr>
                                      </pic:pic>
                                    </a:graphicData>
                                  </a:graphic>
                                </wp:inline>
                              </w:drawing>
                            </w:r>
                          </w:p>
                          <w:p w:rsidR="002824EE" w:rsidRPr="00987B74" w:rsidRDefault="002824EE" w:rsidP="002824EE">
                            <w:pPr>
                              <w:rPr>
                                <w:rFonts w:ascii="Arial" w:hAnsi="Arial" w:cs="Arial"/>
                              </w:rPr>
                            </w:pPr>
                            <w:r w:rsidRPr="00987B74">
                              <w:rPr>
                                <w:rFonts w:ascii="Arial" w:hAnsi="Arial" w:cs="Arial"/>
                                <w:b/>
                                <w:bCs/>
                              </w:rPr>
                              <w:t>Supplemental Table 1. Myeloid and lymphoid anti</w:t>
                            </w:r>
                            <w:r w:rsidR="00E729A9" w:rsidRPr="00987B74">
                              <w:rPr>
                                <w:rFonts w:ascii="Arial" w:hAnsi="Arial" w:cs="Arial"/>
                                <w:b/>
                                <w:bCs/>
                              </w:rPr>
                              <w:t xml:space="preserve">body lists utilized for ascites, </w:t>
                            </w:r>
                            <w:proofErr w:type="spellStart"/>
                            <w:r w:rsidR="00E729A9" w:rsidRPr="00987B74">
                              <w:rPr>
                                <w:rFonts w:ascii="Arial" w:hAnsi="Arial" w:cs="Arial"/>
                                <w:b/>
                                <w:bCs/>
                              </w:rPr>
                              <w:t>splenocyte</w:t>
                            </w:r>
                            <w:proofErr w:type="spellEnd"/>
                            <w:r w:rsidR="00E729A9" w:rsidRPr="00987B74">
                              <w:rPr>
                                <w:rFonts w:ascii="Arial" w:hAnsi="Arial" w:cs="Arial"/>
                                <w:b/>
                                <w:bCs/>
                              </w:rPr>
                              <w:t xml:space="preserve"> and bone marrow </w:t>
                            </w:r>
                            <w:r w:rsidRPr="00987B74">
                              <w:rPr>
                                <w:rFonts w:ascii="Arial" w:hAnsi="Arial" w:cs="Arial"/>
                                <w:b/>
                                <w:bCs/>
                              </w:rPr>
                              <w:t>analysis.</w:t>
                            </w:r>
                          </w:p>
                          <w:p w:rsidR="002824EE" w:rsidRDefault="002824E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0;margin-top:215.8pt;width:492pt;height:335.8pt;z-index:2516766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" stroked="f">
                <v:textbox>
                  <w:txbxContent>
                    <w:p w:rsidR="00E729A9" w:rsidRDefault="00E729A9" w:rsidP="002824EE">
                      <w:pPr>
                        <w:rPr>
                          <w:rFonts w:ascii="Arial" w:hAnsi="Arial" w:cs="Arial"/>
                          <w:b/>
                          <w:bCs/>
                          <w:sz w:val="24"/>
                        </w:rPr>
                      </w:pPr>
                      <w:r>
                        <w:rPr>
                          <w:noProof/>
                        </w:rPr>
                        <w:drawing>
                          <wp:inline distT="0" distB="0" distL="0" distR="0" wp14:anchorId="38D2B2FF" wp14:editId="0629BED3">
                            <wp:extent cx="2843054" cy="3657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54309" cy="3672079"/>
                                    </a:xfrm>
                                    <a:prstGeom prst="rect">
                                      <a:avLst/>
                                    </a:prstGeom>
                                    <a:noFill/>
                                  </pic:spPr>
                                </pic:pic>
                              </a:graphicData>
                            </a:graphic>
                          </wp:inline>
                        </w:drawing>
                      </w:r>
                    </w:p>
                    <w:p w:rsidR="002824EE" w:rsidRPr="00987B74" w:rsidRDefault="002824EE" w:rsidP="002824EE">
                      <w:pPr>
                        <w:rPr>
                          <w:rFonts w:ascii="Arial" w:hAnsi="Arial" w:cs="Arial"/>
                        </w:rPr>
                      </w:pPr>
                      <w:r w:rsidRPr="00987B74">
                        <w:rPr>
                          <w:rFonts w:ascii="Arial" w:hAnsi="Arial" w:cs="Arial"/>
                          <w:b/>
                          <w:bCs/>
                        </w:rPr>
                        <w:t>Supplemental Table 1. Myeloid and lymphoid anti</w:t>
                      </w:r>
                      <w:r w:rsidR="00E729A9" w:rsidRPr="00987B74">
                        <w:rPr>
                          <w:rFonts w:ascii="Arial" w:hAnsi="Arial" w:cs="Arial"/>
                          <w:b/>
                          <w:bCs/>
                        </w:rPr>
                        <w:t xml:space="preserve">body lists utilized for ascites, </w:t>
                      </w:r>
                      <w:proofErr w:type="spellStart"/>
                      <w:r w:rsidR="00E729A9" w:rsidRPr="00987B74">
                        <w:rPr>
                          <w:rFonts w:ascii="Arial" w:hAnsi="Arial" w:cs="Arial"/>
                          <w:b/>
                          <w:bCs/>
                        </w:rPr>
                        <w:t>splenocyte</w:t>
                      </w:r>
                      <w:proofErr w:type="spellEnd"/>
                      <w:r w:rsidR="00E729A9" w:rsidRPr="00987B74">
                        <w:rPr>
                          <w:rFonts w:ascii="Arial" w:hAnsi="Arial" w:cs="Arial"/>
                          <w:b/>
                          <w:bCs/>
                        </w:rPr>
                        <w:t xml:space="preserve"> and bone marrow </w:t>
                      </w:r>
                      <w:r w:rsidRPr="00987B74">
                        <w:rPr>
                          <w:rFonts w:ascii="Arial" w:hAnsi="Arial" w:cs="Arial"/>
                          <w:b/>
                          <w:bCs/>
                        </w:rPr>
                        <w:t>analysis.</w:t>
                      </w:r>
                    </w:p>
                    <w:p w:rsidR="002824EE" w:rsidRDefault="002824EE"/>
                  </w:txbxContent>
                </v:textbox>
                <w10:wrap type="square" anchorx="margin"/>
              </v:shape>
            </w:pict>
          </mc:Fallback>
        </mc:AlternateContent>
      </w:r>
    </w:p>
    <w:sectPr w:rsidR="002824EE" w:rsidRPr="002824EE" w:rsidSect="0091029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296"/>
    <w:rsid w:val="000E6818"/>
    <w:rsid w:val="00197BB7"/>
    <w:rsid w:val="001A41DD"/>
    <w:rsid w:val="002824EE"/>
    <w:rsid w:val="002A4031"/>
    <w:rsid w:val="002E657D"/>
    <w:rsid w:val="004C35D8"/>
    <w:rsid w:val="00635888"/>
    <w:rsid w:val="006F1089"/>
    <w:rsid w:val="00905568"/>
    <w:rsid w:val="00910296"/>
    <w:rsid w:val="00987B74"/>
    <w:rsid w:val="00AA6B37"/>
    <w:rsid w:val="00B13299"/>
    <w:rsid w:val="00C04EFB"/>
    <w:rsid w:val="00D13FE1"/>
    <w:rsid w:val="00DC524C"/>
    <w:rsid w:val="00E729A9"/>
    <w:rsid w:val="00F42526"/>
    <w:rsid w:val="00F479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5:chartTrackingRefBased/>
  <w15:docId w15:val="{765EA3C8-0484-4D8D-837D-F598DD144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029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C52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52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15187">
      <w:bodyDiv w:val="1"/>
      <w:marLeft w:val="0"/>
      <w:marRight w:val="0"/>
      <w:marTop w:val="0"/>
      <w:marBottom w:val="0"/>
      <w:divBdr>
        <w:top w:val="none" w:sz="0" w:space="0" w:color="auto"/>
        <w:left w:val="none" w:sz="0" w:space="0" w:color="auto"/>
        <w:bottom w:val="none" w:sz="0" w:space="0" w:color="auto"/>
        <w:right w:val="none" w:sz="0" w:space="0" w:color="auto"/>
      </w:divBdr>
    </w:div>
    <w:div w:id="60521810">
      <w:bodyDiv w:val="1"/>
      <w:marLeft w:val="0"/>
      <w:marRight w:val="0"/>
      <w:marTop w:val="0"/>
      <w:marBottom w:val="0"/>
      <w:divBdr>
        <w:top w:val="none" w:sz="0" w:space="0" w:color="auto"/>
        <w:left w:val="none" w:sz="0" w:space="0" w:color="auto"/>
        <w:bottom w:val="none" w:sz="0" w:space="0" w:color="auto"/>
        <w:right w:val="none" w:sz="0" w:space="0" w:color="auto"/>
      </w:divBdr>
    </w:div>
    <w:div w:id="137187734">
      <w:bodyDiv w:val="1"/>
      <w:marLeft w:val="0"/>
      <w:marRight w:val="0"/>
      <w:marTop w:val="0"/>
      <w:marBottom w:val="0"/>
      <w:divBdr>
        <w:top w:val="none" w:sz="0" w:space="0" w:color="auto"/>
        <w:left w:val="none" w:sz="0" w:space="0" w:color="auto"/>
        <w:bottom w:val="none" w:sz="0" w:space="0" w:color="auto"/>
        <w:right w:val="none" w:sz="0" w:space="0" w:color="auto"/>
      </w:divBdr>
    </w:div>
    <w:div w:id="182980575">
      <w:bodyDiv w:val="1"/>
      <w:marLeft w:val="0"/>
      <w:marRight w:val="0"/>
      <w:marTop w:val="0"/>
      <w:marBottom w:val="0"/>
      <w:divBdr>
        <w:top w:val="none" w:sz="0" w:space="0" w:color="auto"/>
        <w:left w:val="none" w:sz="0" w:space="0" w:color="auto"/>
        <w:bottom w:val="none" w:sz="0" w:space="0" w:color="auto"/>
        <w:right w:val="none" w:sz="0" w:space="0" w:color="auto"/>
      </w:divBdr>
    </w:div>
    <w:div w:id="189614345">
      <w:bodyDiv w:val="1"/>
      <w:marLeft w:val="0"/>
      <w:marRight w:val="0"/>
      <w:marTop w:val="0"/>
      <w:marBottom w:val="0"/>
      <w:divBdr>
        <w:top w:val="none" w:sz="0" w:space="0" w:color="auto"/>
        <w:left w:val="none" w:sz="0" w:space="0" w:color="auto"/>
        <w:bottom w:val="none" w:sz="0" w:space="0" w:color="auto"/>
        <w:right w:val="none" w:sz="0" w:space="0" w:color="auto"/>
      </w:divBdr>
    </w:div>
    <w:div w:id="555900677">
      <w:bodyDiv w:val="1"/>
      <w:marLeft w:val="0"/>
      <w:marRight w:val="0"/>
      <w:marTop w:val="0"/>
      <w:marBottom w:val="0"/>
      <w:divBdr>
        <w:top w:val="none" w:sz="0" w:space="0" w:color="auto"/>
        <w:left w:val="none" w:sz="0" w:space="0" w:color="auto"/>
        <w:bottom w:val="none" w:sz="0" w:space="0" w:color="auto"/>
        <w:right w:val="none" w:sz="0" w:space="0" w:color="auto"/>
      </w:divBdr>
    </w:div>
    <w:div w:id="718826688">
      <w:bodyDiv w:val="1"/>
      <w:marLeft w:val="0"/>
      <w:marRight w:val="0"/>
      <w:marTop w:val="0"/>
      <w:marBottom w:val="0"/>
      <w:divBdr>
        <w:top w:val="none" w:sz="0" w:space="0" w:color="auto"/>
        <w:left w:val="none" w:sz="0" w:space="0" w:color="auto"/>
        <w:bottom w:val="none" w:sz="0" w:space="0" w:color="auto"/>
        <w:right w:val="none" w:sz="0" w:space="0" w:color="auto"/>
      </w:divBdr>
    </w:div>
    <w:div w:id="835148394">
      <w:bodyDiv w:val="1"/>
      <w:marLeft w:val="0"/>
      <w:marRight w:val="0"/>
      <w:marTop w:val="0"/>
      <w:marBottom w:val="0"/>
      <w:divBdr>
        <w:top w:val="none" w:sz="0" w:space="0" w:color="auto"/>
        <w:left w:val="none" w:sz="0" w:space="0" w:color="auto"/>
        <w:bottom w:val="none" w:sz="0" w:space="0" w:color="auto"/>
        <w:right w:val="none" w:sz="0" w:space="0" w:color="auto"/>
      </w:divBdr>
    </w:div>
    <w:div w:id="913512231">
      <w:bodyDiv w:val="1"/>
      <w:marLeft w:val="0"/>
      <w:marRight w:val="0"/>
      <w:marTop w:val="0"/>
      <w:marBottom w:val="0"/>
      <w:divBdr>
        <w:top w:val="none" w:sz="0" w:space="0" w:color="auto"/>
        <w:left w:val="none" w:sz="0" w:space="0" w:color="auto"/>
        <w:bottom w:val="none" w:sz="0" w:space="0" w:color="auto"/>
        <w:right w:val="none" w:sz="0" w:space="0" w:color="auto"/>
      </w:divBdr>
    </w:div>
    <w:div w:id="1002976574">
      <w:bodyDiv w:val="1"/>
      <w:marLeft w:val="0"/>
      <w:marRight w:val="0"/>
      <w:marTop w:val="0"/>
      <w:marBottom w:val="0"/>
      <w:divBdr>
        <w:top w:val="none" w:sz="0" w:space="0" w:color="auto"/>
        <w:left w:val="none" w:sz="0" w:space="0" w:color="auto"/>
        <w:bottom w:val="none" w:sz="0" w:space="0" w:color="auto"/>
        <w:right w:val="none" w:sz="0" w:space="0" w:color="auto"/>
      </w:divBdr>
    </w:div>
    <w:div w:id="1023094410">
      <w:bodyDiv w:val="1"/>
      <w:marLeft w:val="0"/>
      <w:marRight w:val="0"/>
      <w:marTop w:val="0"/>
      <w:marBottom w:val="0"/>
      <w:divBdr>
        <w:top w:val="none" w:sz="0" w:space="0" w:color="auto"/>
        <w:left w:val="none" w:sz="0" w:space="0" w:color="auto"/>
        <w:bottom w:val="none" w:sz="0" w:space="0" w:color="auto"/>
        <w:right w:val="none" w:sz="0" w:space="0" w:color="auto"/>
      </w:divBdr>
    </w:div>
    <w:div w:id="1209683841">
      <w:bodyDiv w:val="1"/>
      <w:marLeft w:val="0"/>
      <w:marRight w:val="0"/>
      <w:marTop w:val="0"/>
      <w:marBottom w:val="0"/>
      <w:divBdr>
        <w:top w:val="none" w:sz="0" w:space="0" w:color="auto"/>
        <w:left w:val="none" w:sz="0" w:space="0" w:color="auto"/>
        <w:bottom w:val="none" w:sz="0" w:space="0" w:color="auto"/>
        <w:right w:val="none" w:sz="0" w:space="0" w:color="auto"/>
      </w:divBdr>
    </w:div>
    <w:div w:id="1339887804">
      <w:bodyDiv w:val="1"/>
      <w:marLeft w:val="0"/>
      <w:marRight w:val="0"/>
      <w:marTop w:val="0"/>
      <w:marBottom w:val="0"/>
      <w:divBdr>
        <w:top w:val="none" w:sz="0" w:space="0" w:color="auto"/>
        <w:left w:val="none" w:sz="0" w:space="0" w:color="auto"/>
        <w:bottom w:val="none" w:sz="0" w:space="0" w:color="auto"/>
        <w:right w:val="none" w:sz="0" w:space="0" w:color="auto"/>
      </w:divBdr>
    </w:div>
    <w:div w:id="1414426609">
      <w:bodyDiv w:val="1"/>
      <w:marLeft w:val="0"/>
      <w:marRight w:val="0"/>
      <w:marTop w:val="0"/>
      <w:marBottom w:val="0"/>
      <w:divBdr>
        <w:top w:val="none" w:sz="0" w:space="0" w:color="auto"/>
        <w:left w:val="none" w:sz="0" w:space="0" w:color="auto"/>
        <w:bottom w:val="none" w:sz="0" w:space="0" w:color="auto"/>
        <w:right w:val="none" w:sz="0" w:space="0" w:color="auto"/>
      </w:divBdr>
    </w:div>
    <w:div w:id="1447188636">
      <w:bodyDiv w:val="1"/>
      <w:marLeft w:val="0"/>
      <w:marRight w:val="0"/>
      <w:marTop w:val="0"/>
      <w:marBottom w:val="0"/>
      <w:divBdr>
        <w:top w:val="none" w:sz="0" w:space="0" w:color="auto"/>
        <w:left w:val="none" w:sz="0" w:space="0" w:color="auto"/>
        <w:bottom w:val="none" w:sz="0" w:space="0" w:color="auto"/>
        <w:right w:val="none" w:sz="0" w:space="0" w:color="auto"/>
      </w:divBdr>
    </w:div>
    <w:div w:id="1520780076">
      <w:bodyDiv w:val="1"/>
      <w:marLeft w:val="0"/>
      <w:marRight w:val="0"/>
      <w:marTop w:val="0"/>
      <w:marBottom w:val="0"/>
      <w:divBdr>
        <w:top w:val="none" w:sz="0" w:space="0" w:color="auto"/>
        <w:left w:val="none" w:sz="0" w:space="0" w:color="auto"/>
        <w:bottom w:val="none" w:sz="0" w:space="0" w:color="auto"/>
        <w:right w:val="none" w:sz="0" w:space="0" w:color="auto"/>
      </w:divBdr>
    </w:div>
    <w:div w:id="1731268958">
      <w:bodyDiv w:val="1"/>
      <w:marLeft w:val="0"/>
      <w:marRight w:val="0"/>
      <w:marTop w:val="0"/>
      <w:marBottom w:val="0"/>
      <w:divBdr>
        <w:top w:val="none" w:sz="0" w:space="0" w:color="auto"/>
        <w:left w:val="none" w:sz="0" w:space="0" w:color="auto"/>
        <w:bottom w:val="none" w:sz="0" w:space="0" w:color="auto"/>
        <w:right w:val="none" w:sz="0" w:space="0" w:color="auto"/>
      </w:divBdr>
    </w:div>
    <w:div w:id="1782987651">
      <w:bodyDiv w:val="1"/>
      <w:marLeft w:val="0"/>
      <w:marRight w:val="0"/>
      <w:marTop w:val="0"/>
      <w:marBottom w:val="0"/>
      <w:divBdr>
        <w:top w:val="none" w:sz="0" w:space="0" w:color="auto"/>
        <w:left w:val="none" w:sz="0" w:space="0" w:color="auto"/>
        <w:bottom w:val="none" w:sz="0" w:space="0" w:color="auto"/>
        <w:right w:val="none" w:sz="0" w:space="0" w:color="auto"/>
      </w:divBdr>
    </w:div>
    <w:div w:id="1917937842">
      <w:bodyDiv w:val="1"/>
      <w:marLeft w:val="0"/>
      <w:marRight w:val="0"/>
      <w:marTop w:val="0"/>
      <w:marBottom w:val="0"/>
      <w:divBdr>
        <w:top w:val="none" w:sz="0" w:space="0" w:color="auto"/>
        <w:left w:val="none" w:sz="0" w:space="0" w:color="auto"/>
        <w:bottom w:val="none" w:sz="0" w:space="0" w:color="auto"/>
        <w:right w:val="none" w:sz="0" w:space="0" w:color="auto"/>
      </w:divBdr>
    </w:div>
    <w:div w:id="1952278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PowerPoint_Slide2.sldx"/><Relationship Id="rId13" Type="http://schemas.openxmlformats.org/officeDocument/2006/relationships/image" Target="media/image4.png"/><Relationship Id="rId18" Type="http://schemas.openxmlformats.org/officeDocument/2006/relationships/package" Target="embeddings/Microsoft_PowerPoint_Slide5.sldx"/><Relationship Id="rId26" Type="http://schemas.openxmlformats.org/officeDocument/2006/relationships/package" Target="embeddings/Microsoft_PowerPoint_Slide6.sldx"/><Relationship Id="rId3" Type="http://schemas.openxmlformats.org/officeDocument/2006/relationships/webSettings" Target="webSettings.xml"/><Relationship Id="rId34" Type="http://schemas.openxmlformats.org/officeDocument/2006/relationships/theme" Target="theme/theme1.xml"/><Relationship Id="rId7" Type="http://schemas.openxmlformats.org/officeDocument/2006/relationships/image" Target="media/image20.emf"/><Relationship Id="rId12" Type="http://schemas.openxmlformats.org/officeDocument/2006/relationships/package" Target="embeddings/Microsoft_PowerPoint_Slide4.sldx"/><Relationship Id="rId17" Type="http://schemas.openxmlformats.org/officeDocument/2006/relationships/image" Target="media/image8.emf"/><Relationship Id="rId25" Type="http://schemas.openxmlformats.org/officeDocument/2006/relationships/image" Target="media/image9.emf"/><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png"/><Relationship Id="rId29" Type="http://schemas.openxmlformats.org/officeDocument/2006/relationships/package" Target="embeddings/Microsoft_PowerPoint_Slide8.sldx"/><Relationship Id="rId1" Type="http://schemas.openxmlformats.org/officeDocument/2006/relationships/styles" Target="styles.xml"/><Relationship Id="rId6" Type="http://schemas.openxmlformats.org/officeDocument/2006/relationships/package" Target="embeddings/Microsoft_PowerPoint_Slide1.sldx"/><Relationship Id="rId11" Type="http://schemas.openxmlformats.org/officeDocument/2006/relationships/image" Target="media/image30.emf"/><Relationship Id="rId24" Type="http://schemas.openxmlformats.org/officeDocument/2006/relationships/package" Target="embeddings/Microsoft_PowerPoint_Slide10.sldx"/><Relationship Id="rId32" Type="http://schemas.openxmlformats.org/officeDocument/2006/relationships/image" Target="media/image9.png"/><Relationship Id="rId5" Type="http://schemas.openxmlformats.org/officeDocument/2006/relationships/image" Target="media/image2.emf"/><Relationship Id="rId15" Type="http://schemas.openxmlformats.org/officeDocument/2006/relationships/image" Target="media/image6.png"/><Relationship Id="rId23" Type="http://schemas.openxmlformats.org/officeDocument/2006/relationships/image" Target="media/image60.emf"/><Relationship Id="rId28" Type="http://schemas.openxmlformats.org/officeDocument/2006/relationships/image" Target="media/image10.emf"/><Relationship Id="rId10" Type="http://schemas.openxmlformats.org/officeDocument/2006/relationships/package" Target="embeddings/Microsoft_PowerPoint_Slide3.sldx"/><Relationship Id="rId31" Type="http://schemas.openxmlformats.org/officeDocument/2006/relationships/image" Target="media/image11.png"/><Relationship Id="rId4" Type="http://schemas.openxmlformats.org/officeDocument/2006/relationships/image" Target="media/image1.png"/><Relationship Id="rId9" Type="http://schemas.openxmlformats.org/officeDocument/2006/relationships/image" Target="media/image3.emf"/><Relationship Id="rId14" Type="http://schemas.openxmlformats.org/officeDocument/2006/relationships/image" Target="media/image5.png"/><Relationship Id="rId27" Type="http://schemas.openxmlformats.org/officeDocument/2006/relationships/package" Target="embeddings/Microsoft_PowerPoint_Slide7.sldx"/><Relationship Id="rId30" Type="http://schemas.openxmlformats.org/officeDocument/2006/relationships/package" Target="embeddings/Microsoft_PowerPoint_Slide9.sld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14</Words>
  <Characters>83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Esakov, Emily</dc:creator>
  <cp:keywords/>
  <dc:description/>
  <cp:lastModifiedBy>Esakov, Emily</cp:lastModifiedBy>
  <cp:revision>3</cp:revision>
  <cp:lastPrinted>2020-06-15T19:38:00Z</cp:lastPrinted>
  <dcterms:created xsi:type="dcterms:W3CDTF">2021-08-03T18:39:00Z</dcterms:created>
  <dcterms:modified xsi:type="dcterms:W3CDTF">2021-08-03T18:45:00Z</dcterms:modified>
</cp:coreProperties>
</file>