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0296" w:rsidRDefault="00910296">
      <w:r>
        <w:rPr>
          <w:noProof/>
        </w:rPr>
        <mc:AlternateContent>
          <mc:Choice Requires="wps">
            <w:drawing>
              <wp:anchor distT="45720" distB="45720" distL="114300" distR="114300" simplePos="0" relativeHeight="251659264" behindDoc="0" locked="0" layoutInCell="1" allowOverlap="1">
                <wp:simplePos x="0" y="0"/>
                <wp:positionH relativeFrom="margin">
                  <wp:posOffset>-203200</wp:posOffset>
                </wp:positionH>
                <wp:positionV relativeFrom="paragraph">
                  <wp:posOffset>0</wp:posOffset>
                </wp:positionV>
                <wp:extent cx="6019800" cy="64008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6400800"/>
                        </a:xfrm>
                        <a:prstGeom prst="rect">
                          <a:avLst/>
                        </a:prstGeom>
                        <a:solidFill>
                          <a:srgbClr val="FFFFFF"/>
                        </a:solidFill>
                        <a:ln w="9525">
                          <a:noFill/>
                          <a:miter lim="800000"/>
                          <a:headEnd/>
                          <a:tailEnd/>
                        </a:ln>
                      </wps:spPr>
                      <wps:txbx>
                        <w:txbxContent>
                          <w:p w:rsidR="00910296" w:rsidRDefault="00910296">
                            <w:r w:rsidRPr="00910296">
                              <w:rPr>
                                <w:noProof/>
                              </w:rPr>
                              <w:drawing>
                                <wp:inline distT="0" distB="0" distL="0" distR="0" wp14:anchorId="2032BC4F" wp14:editId="556EE935">
                                  <wp:extent cx="5417576" cy="3046704"/>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458811" cy="3069894"/>
                                          </a:xfrm>
                                          <a:prstGeom prst="rect">
                                            <a:avLst/>
                                          </a:prstGeom>
                                        </pic:spPr>
                                      </pic:pic>
                                    </a:graphicData>
                                  </a:graphic>
                                </wp:inline>
                              </w:drawing>
                            </w:r>
                          </w:p>
                          <w:p w:rsidR="00910296" w:rsidRPr="00910296" w:rsidRDefault="00910296" w:rsidP="00910296">
                            <w:pPr>
                              <w:jc w:val="both"/>
                              <w:rPr>
                                <w:rFonts w:ascii="Arial" w:hAnsi="Arial" w:cs="Arial"/>
                                <w:sz w:val="24"/>
                                <w:szCs w:val="24"/>
                              </w:rPr>
                            </w:pPr>
                            <w:r w:rsidRPr="00910296">
                              <w:rPr>
                                <w:rFonts w:ascii="Arial" w:hAnsi="Arial" w:cs="Arial"/>
                                <w:b/>
                                <w:bCs/>
                                <w:sz w:val="24"/>
                                <w:szCs w:val="24"/>
                              </w:rPr>
                              <w:t xml:space="preserve">Supplemental Figure 1. Representative image of confirmed EOC through H&amp;E staining of omental tumor tissue and survival curve comparison between groups. </w:t>
                            </w:r>
                            <w:r w:rsidRPr="00910296">
                              <w:rPr>
                                <w:rFonts w:ascii="Arial" w:hAnsi="Arial" w:cs="Arial"/>
                                <w:sz w:val="24"/>
                                <w:szCs w:val="24"/>
                              </w:rPr>
                              <w:t xml:space="preserve">(A) BL/6 EOC tumor, (B) BL/6 benign adjacent </w:t>
                            </w:r>
                            <w:proofErr w:type="spellStart"/>
                            <w:r w:rsidRPr="00910296">
                              <w:rPr>
                                <w:rFonts w:ascii="Arial" w:hAnsi="Arial" w:cs="Arial"/>
                                <w:sz w:val="24"/>
                                <w:szCs w:val="24"/>
                              </w:rPr>
                              <w:t>omentum</w:t>
                            </w:r>
                            <w:proofErr w:type="spellEnd"/>
                            <w:r w:rsidRPr="00910296">
                              <w:rPr>
                                <w:rFonts w:ascii="Arial" w:hAnsi="Arial" w:cs="Arial"/>
                                <w:sz w:val="24"/>
                                <w:szCs w:val="24"/>
                              </w:rPr>
                              <w:t xml:space="preserve">, (C) NSG EOC tumor, (D) NSG benign adjacent </w:t>
                            </w:r>
                            <w:proofErr w:type="spellStart"/>
                            <w:r w:rsidRPr="00910296">
                              <w:rPr>
                                <w:rFonts w:ascii="Arial" w:hAnsi="Arial" w:cs="Arial"/>
                                <w:sz w:val="24"/>
                                <w:szCs w:val="24"/>
                              </w:rPr>
                              <w:t>omentum</w:t>
                            </w:r>
                            <w:proofErr w:type="spellEnd"/>
                            <w:r w:rsidRPr="00910296">
                              <w:rPr>
                                <w:rFonts w:ascii="Arial" w:hAnsi="Arial" w:cs="Arial"/>
                                <w:sz w:val="24"/>
                                <w:szCs w:val="24"/>
                              </w:rPr>
                              <w:t>, (E) BL/6 cohorts, (F) NSG cohorts.</w:t>
                            </w:r>
                          </w:p>
                          <w:p w:rsidR="00910296" w:rsidRDefault="009102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6pt;margin-top:0;width:474pt;height:7in;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uI4IAIAAB4EAAAOAAAAZHJzL2Uyb0RvYy54bWysU9tuGyEQfa/Uf0C813uR7cQrr6PUqatK&#10;aVop6QewLOtFBYYC9m769R1Yx3Hbt6o8IIaZOZw5M6xvRq3IUTgvwdS0mOWUCMOhlWZf029Pu3fX&#10;lPjATMsUGFHTZ+Hpzebtm/VgK1FCD6oVjiCI8dVga9qHYKss87wXmvkZWGHQ2YHTLKDp9lnr2IDo&#10;WmVlni+zAVxrHXDhPd7eTU66SfhdJ3j40nVeBKJqitxC2l3am7hnmzWr9o7ZXvITDfYPLDSTBh89&#10;Q92xwMjByb+gtOQOPHRhxkFn0HWSi1QDVlPkf1Tz2DMrUi0ojrdnmfz/g+UPx6+OyLamZXFFiWEa&#10;m/QkxkDew0jKqM9gfYVhjxYDw4jX2OdUq7f3wL97YmDbM7MXt87B0AvWIr8iZmYXqROOjyDN8Bla&#10;fIYdAiSgsXM6iodyEETHPj2fexOpcLxc5sXqOkcXR99ynufRiG+w6iXdOh8+CtAkHmrqsPkJnh3v&#10;fZhCX0Liax6UbHdSqWS4fbNVjhwZDsourRP6b2HKkKGmq0W5SMgGYj5Cs0rLgIOspK4pMsMV01kV&#10;5fhg2nQOTKrpjKSVOekTJZnECWMzYmAUrYH2GZVyMA0sfjA89OB+UjLgsNbU/zgwJyhRnwyqvSrm&#10;8zjdyZgvrko03KWnufQwwxGqpoGS6bgN6UdEvgZusSudTHq9MjlxxSFMip8+TJzySztFvX7rzS8A&#10;AAD//wMAUEsDBBQABgAIAAAAIQB3/0oJ3gAAAAkBAAAPAAAAZHJzL2Rvd25yZXYueG1sTI/BTsNA&#10;DETvSPzDykhcULvbAmkbsqkACcS1pR/gJG4SkfVG2W2T/j3mRC+WrRmN32TbyXXqTENoPVtYzA0o&#10;4tJXLdcWDt8fszWoEJEr7DyThQsF2Oa3NxmmlR95R+d9rJWEcEjRQhNjn2odyoYchrnviUU7+sFh&#10;lHOodTXgKOGu00tjEu2wZfnQYE/vDZU/+5OzcPwaH543Y/EZD6vdU/KG7arwF2vv76bXF1CRpvhv&#10;hj98QYdcmAp/4iqozsLscSldogWZIm8WiSyF+IxZG9B5pq8b5L8AAAD//wMAUEsBAi0AFAAGAAgA&#10;AAAhALaDOJL+AAAA4QEAABMAAAAAAAAAAAAAAAAAAAAAAFtDb250ZW50X1R5cGVzXS54bWxQSwEC&#10;LQAUAAYACAAAACEAOP0h/9YAAACUAQAACwAAAAAAAAAAAAAAAAAvAQAAX3JlbHMvLnJlbHNQSwEC&#10;LQAUAAYACAAAACEAlYLiOCACAAAeBAAADgAAAAAAAAAAAAAAAAAuAgAAZHJzL2Uyb0RvYy54bWxQ&#10;SwECLQAUAAYACAAAACEAd/9KCd4AAAAJAQAADwAAAAAAAAAAAAAAAAB6BAAAZHJzL2Rvd25yZXYu&#10;eG1sUEsFBgAAAAAEAAQA8wAAAIUFAAAAAA==&#10;" stroked="f">
                <v:textbox>
                  <w:txbxContent>
                    <w:p w:rsidR="00910296" w:rsidRDefault="00910296">
                      <w:r w:rsidRPr="00910296">
                        <w:rPr>
                          <w:noProof/>
                        </w:rPr>
                        <w:drawing>
                          <wp:inline distT="0" distB="0" distL="0" distR="0" wp14:anchorId="2032BC4F" wp14:editId="556EE935">
                            <wp:extent cx="5417576" cy="3046704"/>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458811" cy="3069894"/>
                                    </a:xfrm>
                                    <a:prstGeom prst="rect">
                                      <a:avLst/>
                                    </a:prstGeom>
                                  </pic:spPr>
                                </pic:pic>
                              </a:graphicData>
                            </a:graphic>
                          </wp:inline>
                        </w:drawing>
                      </w:r>
                    </w:p>
                    <w:p w:rsidR="00910296" w:rsidRPr="00910296" w:rsidRDefault="00910296" w:rsidP="00910296">
                      <w:pPr>
                        <w:jc w:val="both"/>
                        <w:rPr>
                          <w:rFonts w:ascii="Arial" w:hAnsi="Arial" w:cs="Arial"/>
                          <w:sz w:val="24"/>
                          <w:szCs w:val="24"/>
                        </w:rPr>
                      </w:pPr>
                      <w:r w:rsidRPr="00910296">
                        <w:rPr>
                          <w:rFonts w:ascii="Arial" w:hAnsi="Arial" w:cs="Arial"/>
                          <w:b/>
                          <w:bCs/>
                          <w:sz w:val="24"/>
                          <w:szCs w:val="24"/>
                        </w:rPr>
                        <w:t xml:space="preserve">Supplemental Figure 1. Representative image of confirmed EOC through H&amp;E staining of omental tumor tissue and survival curve comparison between groups. </w:t>
                      </w:r>
                      <w:r w:rsidRPr="00910296">
                        <w:rPr>
                          <w:rFonts w:ascii="Arial" w:hAnsi="Arial" w:cs="Arial"/>
                          <w:sz w:val="24"/>
                          <w:szCs w:val="24"/>
                        </w:rPr>
                        <w:t xml:space="preserve">(A) BL/6 EOC tumor, (B) BL/6 benign adjacent </w:t>
                      </w:r>
                      <w:proofErr w:type="spellStart"/>
                      <w:r w:rsidRPr="00910296">
                        <w:rPr>
                          <w:rFonts w:ascii="Arial" w:hAnsi="Arial" w:cs="Arial"/>
                          <w:sz w:val="24"/>
                          <w:szCs w:val="24"/>
                        </w:rPr>
                        <w:t>omentum</w:t>
                      </w:r>
                      <w:proofErr w:type="spellEnd"/>
                      <w:r w:rsidRPr="00910296">
                        <w:rPr>
                          <w:rFonts w:ascii="Arial" w:hAnsi="Arial" w:cs="Arial"/>
                          <w:sz w:val="24"/>
                          <w:szCs w:val="24"/>
                        </w:rPr>
                        <w:t xml:space="preserve">, (C) NSG EOC tumor, (D) NSG benign adjacent </w:t>
                      </w:r>
                      <w:proofErr w:type="spellStart"/>
                      <w:r w:rsidRPr="00910296">
                        <w:rPr>
                          <w:rFonts w:ascii="Arial" w:hAnsi="Arial" w:cs="Arial"/>
                          <w:sz w:val="24"/>
                          <w:szCs w:val="24"/>
                        </w:rPr>
                        <w:t>omentum</w:t>
                      </w:r>
                      <w:proofErr w:type="spellEnd"/>
                      <w:r w:rsidRPr="00910296">
                        <w:rPr>
                          <w:rFonts w:ascii="Arial" w:hAnsi="Arial" w:cs="Arial"/>
                          <w:sz w:val="24"/>
                          <w:szCs w:val="24"/>
                        </w:rPr>
                        <w:t>, (E) BL/6 cohorts, (F) NSG cohorts.</w:t>
                      </w:r>
                    </w:p>
                    <w:p w:rsidR="00910296" w:rsidRDefault="00910296"/>
                  </w:txbxContent>
                </v:textbox>
                <w10:wrap type="square" anchorx="margin"/>
              </v:shape>
            </w:pict>
          </mc:Fallback>
        </mc:AlternateContent>
      </w:r>
    </w:p>
    <w:p w:rsidR="00910296" w:rsidRDefault="00910296"/>
    <w:p w:rsidR="00D13FE1" w:rsidRDefault="00D13FE1"/>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910296"/>
    <w:p w:rsidR="00910296" w:rsidRDefault="00635888">
      <w:r>
        <w:rPr>
          <w:noProof/>
        </w:rPr>
        <w:lastRenderedPageBreak/>
        <w:drawing>
          <wp:inline distT="0" distB="0" distL="0" distR="0" wp14:anchorId="4A1405B5">
            <wp:extent cx="6589607" cy="395732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23859" cy="3977890"/>
                    </a:xfrm>
                    <a:prstGeom prst="rect">
                      <a:avLst/>
                    </a:prstGeom>
                    <a:noFill/>
                  </pic:spPr>
                </pic:pic>
              </a:graphicData>
            </a:graphic>
          </wp:inline>
        </w:drawing>
      </w:r>
    </w:p>
    <w:p w:rsidR="00C04EFB" w:rsidRDefault="00C04EFB">
      <w:r>
        <w:rPr>
          <w:noProof/>
        </w:rPr>
        <mc:AlternateContent>
          <mc:Choice Requires="wps">
            <w:drawing>
              <wp:anchor distT="45720" distB="45720" distL="114300" distR="114300" simplePos="0" relativeHeight="251665408" behindDoc="0" locked="0" layoutInCell="1" allowOverlap="1">
                <wp:simplePos x="0" y="0"/>
                <wp:positionH relativeFrom="margin">
                  <wp:posOffset>-635</wp:posOffset>
                </wp:positionH>
                <wp:positionV relativeFrom="paragraph">
                  <wp:posOffset>0</wp:posOffset>
                </wp:positionV>
                <wp:extent cx="6553200" cy="5824855"/>
                <wp:effectExtent l="0" t="0" r="0" b="889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5824855"/>
                        </a:xfrm>
                        <a:prstGeom prst="rect">
                          <a:avLst/>
                        </a:prstGeom>
                        <a:solidFill>
                          <a:srgbClr val="FFFFFF"/>
                        </a:solidFill>
                        <a:ln w="9525">
                          <a:noFill/>
                          <a:miter lim="800000"/>
                          <a:headEnd/>
                          <a:tailEnd/>
                        </a:ln>
                      </wps:spPr>
                      <wps:txbx>
                        <w:txbxContent>
                          <w:p w:rsidR="00C04EFB" w:rsidRPr="00C04EFB" w:rsidRDefault="00C04EFB">
                            <w:pPr>
                              <w:rPr>
                                <w:rFonts w:ascii="Arial" w:hAnsi="Arial" w:cs="Arial"/>
                                <w:sz w:val="24"/>
                              </w:rPr>
                            </w:pPr>
                            <w:r w:rsidRPr="00C04EFB">
                              <w:rPr>
                                <w:rFonts w:ascii="Arial" w:hAnsi="Arial" w:cs="Arial"/>
                                <w:b/>
                                <w:bCs/>
                                <w:sz w:val="24"/>
                              </w:rPr>
                              <w:t xml:space="preserve">Supplemental Figure 2.  </w:t>
                            </w:r>
                            <w:r w:rsidR="00635888">
                              <w:rPr>
                                <w:rFonts w:ascii="Arial" w:hAnsi="Arial" w:cs="Arial"/>
                                <w:b/>
                                <w:bCs/>
                                <w:sz w:val="24"/>
                              </w:rPr>
                              <w:t xml:space="preserve">Representative </w:t>
                            </w:r>
                            <w:proofErr w:type="gramStart"/>
                            <w:r w:rsidR="00635888">
                              <w:rPr>
                                <w:rFonts w:ascii="Arial" w:hAnsi="Arial" w:cs="Arial"/>
                                <w:b/>
                                <w:bCs/>
                                <w:sz w:val="24"/>
                              </w:rPr>
                              <w:t>m</w:t>
                            </w:r>
                            <w:r w:rsidRPr="00C04EFB">
                              <w:rPr>
                                <w:rFonts w:ascii="Arial" w:hAnsi="Arial" w:cs="Arial"/>
                                <w:b/>
                                <w:bCs/>
                                <w:sz w:val="24"/>
                              </w:rPr>
                              <w:t>ulti</w:t>
                            </w:r>
                            <w:proofErr w:type="gramEnd"/>
                            <w:r w:rsidRPr="00C04EFB">
                              <w:rPr>
                                <w:rFonts w:ascii="Arial" w:hAnsi="Arial" w:cs="Arial"/>
                                <w:b/>
                                <w:bCs/>
                                <w:sz w:val="24"/>
                              </w:rPr>
                              <w:t xml:space="preserve"> –parameter gating strategy for myeloid and lymphoid cell populations.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5pt;margin-top:0;width:516pt;height:458.6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p4oIgIAACMEAAAOAAAAZHJzL2Uyb0RvYy54bWysU1+P0zAMf0fiO0R5Z93GOnbVutOxYwjp&#10;+CPd8QHcNF0j0jgk2drx6XHS3RjwhshDZMf2L/bP9vp26DQ7SucVmpLPJlPOpBFYK7Mv+den3asV&#10;Zz6AqUGjkSU/Sc9vNy9frHtbyDm2qGvpGIEYX/S25G0ItsgyL1rZgZ+glYaMDboOAqlun9UOekLv&#10;dDafTpdZj662DoX0nl7vRyPfJPymkSJ8bhovA9Mlp9xCul26q3hnmzUUewe2VeKcBvxDFh0oQ59e&#10;oO4hADs49RdUp4RDj02YCOwybBolZKqBqplN/6jmsQUrUy1EjrcXmvz/gxWfjl8cU3XJl5wZ6KhF&#10;T3II7C0ObB7Z6a0vyOnRklsY6Jm6nCr19gHFN88Mblswe3nnHPathJqym8XI7Cp0xPERpOo/Yk3f&#10;wCFgAhoa10XqiAxG6NSl06UzMRVBj8s8f03t5kyQLV/NF6s8T39A8RxunQ/vJXYsCiV31PoED8cH&#10;H2I6UDy7xN88alXvlNZJcftqqx07Ao3JLp0z+m9u2rC+5Df5PE/IBmN8mqBOBRpjrbqSr6bxxHAo&#10;Ih3vTJ3kAEqPMmWizZmfSMlIThiqITXiQnuF9YkIczhOLW0ZCS26H5z1NLEl998P4CRn+oMh0m9m&#10;i0Uc8aQs8jdzUty1pbq2gBEEVfLA2ShuQ1qLRIe9o+bsVKItdnHM5JwyTWJi87w1cdSv9eT1a7c3&#10;PwEAAP//AwBQSwMEFAAGAAgAAAAhANNXVZ7cAAAABwEAAA8AAABkcnMvZG93bnJldi54bWxMjzFP&#10;wzAUhHck/oP1kNhax1QUmsapEBIL6kALA6Mbv8Yh8XOInTb8e14nGE93uvuu2Ey+EyccYhNIg5pn&#10;IJCqYBuqNXy8v8weQcRkyJouEGr4wQib8vqqMLkNZ9rhaZ9qwSUUc6PBpdTnUsbKoTdxHnok9o5h&#10;8CaxHGppB3Pmct/JuyxbSm8a4gVnenx2WLX70fPINlbjLnx/qW0rP127NPdv7lXr25vpaQ0i4ZT+&#10;wnDBZ3QomekQRrJRdBpmioMa+M/FzBZqBeKgYaUeFiDLQv7nL38BAAD//wMAUEsBAi0AFAAGAAgA&#10;AAAhALaDOJL+AAAA4QEAABMAAAAAAAAAAAAAAAAAAAAAAFtDb250ZW50X1R5cGVzXS54bWxQSwEC&#10;LQAUAAYACAAAACEAOP0h/9YAAACUAQAACwAAAAAAAAAAAAAAAAAvAQAAX3JlbHMvLnJlbHNQSwEC&#10;LQAUAAYACAAAACEAw86eKCICAAAjBAAADgAAAAAAAAAAAAAAAAAuAgAAZHJzL2Uyb0RvYy54bWxQ&#10;SwECLQAUAAYACAAAACEA01dVntwAAAAHAQAADwAAAAAAAAAAAAAAAAB8BAAAZHJzL2Rvd25yZXYu&#10;eG1sUEsFBgAAAAAEAAQA8wAAAIUFAAAAAA==&#10;" stroked="f">
                <v:textbox style="mso-fit-shape-to-text:t">
                  <w:txbxContent>
                    <w:p w:rsidR="00C04EFB" w:rsidRPr="00C04EFB" w:rsidRDefault="00C04EFB">
                      <w:pPr>
                        <w:rPr>
                          <w:rFonts w:ascii="Arial" w:hAnsi="Arial" w:cs="Arial"/>
                          <w:sz w:val="24"/>
                        </w:rPr>
                      </w:pPr>
                      <w:r w:rsidRPr="00C04EFB">
                        <w:rPr>
                          <w:rFonts w:ascii="Arial" w:hAnsi="Arial" w:cs="Arial"/>
                          <w:b/>
                          <w:bCs/>
                          <w:sz w:val="24"/>
                        </w:rPr>
                        <w:t xml:space="preserve">Supplemental Figure 2.  </w:t>
                      </w:r>
                      <w:r w:rsidR="00635888">
                        <w:rPr>
                          <w:rFonts w:ascii="Arial" w:hAnsi="Arial" w:cs="Arial"/>
                          <w:b/>
                          <w:bCs/>
                          <w:sz w:val="24"/>
                        </w:rPr>
                        <w:t xml:space="preserve">Representative </w:t>
                      </w:r>
                      <w:proofErr w:type="gramStart"/>
                      <w:r w:rsidR="00635888">
                        <w:rPr>
                          <w:rFonts w:ascii="Arial" w:hAnsi="Arial" w:cs="Arial"/>
                          <w:b/>
                          <w:bCs/>
                          <w:sz w:val="24"/>
                        </w:rPr>
                        <w:t>m</w:t>
                      </w:r>
                      <w:r w:rsidRPr="00C04EFB">
                        <w:rPr>
                          <w:rFonts w:ascii="Arial" w:hAnsi="Arial" w:cs="Arial"/>
                          <w:b/>
                          <w:bCs/>
                          <w:sz w:val="24"/>
                        </w:rPr>
                        <w:t>ulti</w:t>
                      </w:r>
                      <w:proofErr w:type="gramEnd"/>
                      <w:r w:rsidRPr="00C04EFB">
                        <w:rPr>
                          <w:rFonts w:ascii="Arial" w:hAnsi="Arial" w:cs="Arial"/>
                          <w:b/>
                          <w:bCs/>
                          <w:sz w:val="24"/>
                        </w:rPr>
                        <w:t xml:space="preserve"> –parameter gating strategy for myeloid and lymphoid cell populations. </w:t>
                      </w:r>
                    </w:p>
                  </w:txbxContent>
                </v:textbox>
                <w10:wrap type="square" anchorx="margin"/>
              </v:shape>
            </w:pict>
          </mc:Fallback>
        </mc:AlternateContent>
      </w:r>
    </w:p>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r>
        <w:rPr>
          <w:noProof/>
        </w:rPr>
        <w:lastRenderedPageBreak/>
        <mc:AlternateContent>
          <mc:Choice Requires="wps">
            <w:drawing>
              <wp:anchor distT="45720" distB="45720" distL="114300" distR="114300" simplePos="0" relativeHeight="251667456" behindDoc="0" locked="0" layoutInCell="1" allowOverlap="1">
                <wp:simplePos x="0" y="0"/>
                <wp:positionH relativeFrom="margin">
                  <wp:align>right</wp:align>
                </wp:positionH>
                <wp:positionV relativeFrom="paragraph">
                  <wp:posOffset>473710</wp:posOffset>
                </wp:positionV>
                <wp:extent cx="6832600" cy="5807710"/>
                <wp:effectExtent l="0" t="0" r="6350" b="2540"/>
                <wp:wrapSquare wrapText="bothSides"/>
                <wp:docPr id="2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2600" cy="5808134"/>
                        </a:xfrm>
                        <a:prstGeom prst="rect">
                          <a:avLst/>
                        </a:prstGeom>
                        <a:solidFill>
                          <a:srgbClr val="FFFFFF"/>
                        </a:solidFill>
                        <a:ln w="9525">
                          <a:noFill/>
                          <a:miter lim="800000"/>
                          <a:headEnd/>
                          <a:tailEnd/>
                        </a:ln>
                      </wps:spPr>
                      <wps:txbx>
                        <w:txbxContent>
                          <w:p w:rsidR="00C04EFB" w:rsidRPr="00C04EFB" w:rsidRDefault="00635888" w:rsidP="00C04EFB">
                            <w:pPr>
                              <w:jc w:val="both"/>
                              <w:rPr>
                                <w:rFonts w:ascii="Arial" w:hAnsi="Arial" w:cs="Arial"/>
                                <w:sz w:val="24"/>
                              </w:rPr>
                            </w:pPr>
                            <w:r w:rsidRPr="00635888">
                              <w:rPr>
                                <w:noProof/>
                              </w:rPr>
                              <w:drawing>
                                <wp:inline distT="0" distB="0" distL="0" distR="0">
                                  <wp:extent cx="6640830" cy="412337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40830" cy="4123379"/>
                                          </a:xfrm>
                                          <a:prstGeom prst="rect">
                                            <a:avLst/>
                                          </a:prstGeom>
                                          <a:noFill/>
                                          <a:ln>
                                            <a:noFill/>
                                          </a:ln>
                                        </pic:spPr>
                                      </pic:pic>
                                    </a:graphicData>
                                  </a:graphic>
                                </wp:inline>
                              </w:drawing>
                            </w:r>
                            <w:r w:rsidR="00C04EFB" w:rsidRPr="00C04EFB">
                              <w:rPr>
                                <w:rFonts w:ascii="Arial" w:hAnsi="Arial" w:cs="Arial"/>
                                <w:b/>
                                <w:bCs/>
                                <w:sz w:val="24"/>
                              </w:rPr>
                              <w:t>Supplemental Figure 3. Myeloid and lymphoid immune cell popula</w:t>
                            </w:r>
                            <w:r w:rsidR="00C04EFB">
                              <w:rPr>
                                <w:rFonts w:ascii="Arial" w:hAnsi="Arial" w:cs="Arial"/>
                                <w:b/>
                                <w:bCs/>
                                <w:sz w:val="24"/>
                              </w:rPr>
                              <w:t>tion analysis from ascites of BL/</w:t>
                            </w:r>
                            <w:r w:rsidR="00C04EFB" w:rsidRPr="00C04EFB">
                              <w:rPr>
                                <w:rFonts w:ascii="Arial" w:hAnsi="Arial" w:cs="Arial"/>
                                <w:b/>
                                <w:bCs/>
                                <w:sz w:val="24"/>
                              </w:rPr>
                              <w:t xml:space="preserve">6 and NSG ID8 VEGF tumor bearing mice at endpoint. </w:t>
                            </w:r>
                            <w:r w:rsidR="00C04EFB">
                              <w:rPr>
                                <w:rFonts w:ascii="Arial" w:hAnsi="Arial" w:cs="Arial"/>
                                <w:sz w:val="24"/>
                              </w:rPr>
                              <w:t>Following ABX therapy, </w:t>
                            </w:r>
                            <w:r w:rsidR="00C04EFB" w:rsidRPr="00C04EFB">
                              <w:rPr>
                                <w:rFonts w:ascii="Arial" w:hAnsi="Arial" w:cs="Arial"/>
                                <w:sz w:val="24"/>
                              </w:rPr>
                              <w:t>BL/6 ID8 VEGF ascites did not exhibit significant alterations in myeloid (A) or lymphoid populations (B) by flow cytometry analysis. NSG ID8 VEGF ascites did not exhibit significant alterations in myeloid (C) populations. Values are represented as percent (%) among CD45+ staining.  BL/6 n=4 mice per group, NSG n=5 mice per group</w:t>
                            </w:r>
                            <w:r>
                              <w:rPr>
                                <w:rFonts w:ascii="Arial" w:hAnsi="Arial" w:cs="Arial"/>
                                <w:sz w:val="24"/>
                              </w:rPr>
                              <w:t xml:space="preserve"> Statistical analysis: non-linear multiple t tests.</w:t>
                            </w:r>
                          </w:p>
                          <w:p w:rsidR="00C04EFB" w:rsidRDefault="00C04E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486.8pt;margin-top:37.3pt;width:538pt;height:457.3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HbJAIAACUEAAAOAAAAZHJzL2Uyb0RvYy54bWysU9uO2yAQfa/Uf0C8N3acS7NWnNU221SV&#10;thdptx+AMY5RgaFAYqdf3wFns2n7VpUHxDAzhzNnhvXtoBU5CuclmIpOJzklwnBopNlX9NvT7s2K&#10;Eh+YaZgCIyp6Ep7ebl6/Wve2FAV0oBrhCIIYX/a2ol0ItswyzzuhmZ+AFQadLTjNAppunzWO9Yiu&#10;VVbk+TLrwTXWARfe4+396KSbhN+2gocvbetFIKqiyC2k3aW9jnu2WbNy75jtJD/TYP/AQjNp8NEL&#10;1D0LjByc/AtKS+7AQxsmHHQGbSu5SDVgNdP8j2oeO2ZFqgXF8fYik/9/sPzz8asjsqloMUN9DNPY&#10;pCcxBPIOBlJEfXrrSwx7tBgYBrzGPqdavX0A/t0TA9uOmb24cw76TrAG+U1jZnaVOuL4CFL3n6DB&#10;Z9ghQAIaWqejeCgHQXTkcbr0JlLheLlczYplji6OvsUqX01n8/QGK5/TrfPhgwBN4qGiDpuf4Nnx&#10;wYdIh5XPIfE1D0o2O6lUMty+3ipHjgwHZZfWGf23MGVIX9GbRbFIyAZifpohLQMOspK6oqs8rpjO&#10;yijHe9Okc2BSjWdkosxZnyjJKE4Y6iG1YhZzo3Y1NCcUzME4t/jP8NCB+0lJjzNbUf/jwJygRH00&#10;KPrNdD6PQ56M+eJtgYa79tTXHmY4QlU0UDIetyF9jEjbwB02p5VJthcmZ8o4i0nN87+Jw35tp6iX&#10;3735BQAA//8DAFBLAwQUAAYACAAAACEABr+Hm9wAAAAIAQAADwAAAGRycy9kb3ducmV2LnhtbEyP&#10;QU+DQBCF7yb+h82YeDF2salQkKHRJhqvrf0BA0yByM4Sdlvov+/2pMc3b/Le9/LNbHp15tF1VhBe&#10;FhEolsrWnTQIh5/P5zUo50lq6q0wwoUdbIr7u5yy2k6y4/PeNyqEiMsIofV+yLR2VcuG3MIOLME7&#10;2tGQD3JsdD3SFMJNr5dRFGtDnYSGlgbetlz97k8G4fg9Pb2mU/nlD8luFX9Ql5T2gvj4ML+/gfI8&#10;+79nuOEHdCgCU2lPUjvVI4QhHiFZxaBubpTE4VIipOt0CbrI9f8BxRUAAP//AwBQSwECLQAUAAYA&#10;CAAAACEAtoM4kv4AAADhAQAAEwAAAAAAAAAAAAAAAAAAAAAAW0NvbnRlbnRfVHlwZXNdLnhtbFBL&#10;AQItABQABgAIAAAAIQA4/SH/1gAAAJQBAAALAAAAAAAAAAAAAAAAAC8BAABfcmVscy8ucmVsc1BL&#10;AQItABQABgAIAAAAIQAlo/HbJAIAACUEAAAOAAAAAAAAAAAAAAAAAC4CAABkcnMvZTJvRG9jLnht&#10;bFBLAQItABQABgAIAAAAIQAGv4eb3AAAAAgBAAAPAAAAAAAAAAAAAAAAAH4EAABkcnMvZG93bnJl&#10;di54bWxQSwUGAAAAAAQABADzAAAAhwUAAAAA&#10;" stroked="f">
                <v:textbox>
                  <w:txbxContent>
                    <w:p w:rsidR="00C04EFB" w:rsidRPr="00C04EFB" w:rsidRDefault="00635888" w:rsidP="00C04EFB">
                      <w:pPr>
                        <w:jc w:val="both"/>
                        <w:rPr>
                          <w:rFonts w:ascii="Arial" w:hAnsi="Arial" w:cs="Arial"/>
                          <w:sz w:val="24"/>
                        </w:rPr>
                      </w:pPr>
                      <w:r w:rsidRPr="00635888">
                        <w:drawing>
                          <wp:inline distT="0" distB="0" distL="0" distR="0">
                            <wp:extent cx="6640830" cy="412337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0830" cy="4123379"/>
                                    </a:xfrm>
                                    <a:prstGeom prst="rect">
                                      <a:avLst/>
                                    </a:prstGeom>
                                    <a:noFill/>
                                    <a:ln>
                                      <a:noFill/>
                                    </a:ln>
                                  </pic:spPr>
                                </pic:pic>
                              </a:graphicData>
                            </a:graphic>
                          </wp:inline>
                        </w:drawing>
                      </w:r>
                      <w:r w:rsidR="00C04EFB" w:rsidRPr="00C04EFB">
                        <w:rPr>
                          <w:rFonts w:ascii="Arial" w:hAnsi="Arial" w:cs="Arial"/>
                          <w:b/>
                          <w:bCs/>
                          <w:sz w:val="24"/>
                        </w:rPr>
                        <w:t>Supplemental Figure 3. Myeloid and lymphoid immune cell popula</w:t>
                      </w:r>
                      <w:r w:rsidR="00C04EFB">
                        <w:rPr>
                          <w:rFonts w:ascii="Arial" w:hAnsi="Arial" w:cs="Arial"/>
                          <w:b/>
                          <w:bCs/>
                          <w:sz w:val="24"/>
                        </w:rPr>
                        <w:t>tion analysis from ascites of BL/</w:t>
                      </w:r>
                      <w:r w:rsidR="00C04EFB" w:rsidRPr="00C04EFB">
                        <w:rPr>
                          <w:rFonts w:ascii="Arial" w:hAnsi="Arial" w:cs="Arial"/>
                          <w:b/>
                          <w:bCs/>
                          <w:sz w:val="24"/>
                        </w:rPr>
                        <w:t xml:space="preserve">6 and NSG ID8 VEGF tumor bearing mice at endpoint. </w:t>
                      </w:r>
                      <w:r w:rsidR="00C04EFB">
                        <w:rPr>
                          <w:rFonts w:ascii="Arial" w:hAnsi="Arial" w:cs="Arial"/>
                          <w:sz w:val="24"/>
                        </w:rPr>
                        <w:t>Following ABX therapy, </w:t>
                      </w:r>
                      <w:r w:rsidR="00C04EFB" w:rsidRPr="00C04EFB">
                        <w:rPr>
                          <w:rFonts w:ascii="Arial" w:hAnsi="Arial" w:cs="Arial"/>
                          <w:sz w:val="24"/>
                        </w:rPr>
                        <w:t>BL/6 ID8 VEGF ascites did not exhibit significant alterations in myeloid (A) or lymphoid populations (B) by flow cytometry analysis. NSG ID8 VEGF ascites did not exhibit significant alterations in myeloid (C) populations. Values are represented as percent (%) among CD45+ staining.  BL/6 n=4 mice per group, NSG n=5 mice per group</w:t>
                      </w:r>
                      <w:r>
                        <w:rPr>
                          <w:rFonts w:ascii="Arial" w:hAnsi="Arial" w:cs="Arial"/>
                          <w:sz w:val="24"/>
                        </w:rPr>
                        <w:t xml:space="preserve"> Statistical analysis: non-linear multiple t tests.</w:t>
                      </w:r>
                    </w:p>
                    <w:p w:rsidR="00C04EFB" w:rsidRDefault="00C04EFB"/>
                  </w:txbxContent>
                </v:textbox>
                <w10:wrap type="square" anchorx="margin"/>
              </v:shape>
            </w:pict>
          </mc:Fallback>
        </mc:AlternateContent>
      </w:r>
    </w:p>
    <w:p w:rsidR="00C04EFB" w:rsidRDefault="00C04EFB"/>
    <w:p w:rsidR="00910296" w:rsidRDefault="00910296"/>
    <w:p w:rsidR="00F42526" w:rsidRDefault="00F42526"/>
    <w:p w:rsidR="00F42526" w:rsidRDefault="00F42526"/>
    <w:p w:rsidR="00F42526" w:rsidRDefault="00F42526"/>
    <w:p w:rsidR="00F42526" w:rsidRDefault="00F42526"/>
    <w:p w:rsidR="00F42526" w:rsidRDefault="00F42526"/>
    <w:p w:rsidR="00F42526" w:rsidRDefault="00F42526"/>
    <w:p w:rsidR="00F42526" w:rsidRDefault="00F42526"/>
    <w:p w:rsidR="00F42526" w:rsidRDefault="00F42526"/>
    <w:p w:rsidR="00F42526" w:rsidRDefault="00F42526"/>
    <w:p w:rsidR="00F42526" w:rsidRDefault="00635888">
      <w:r>
        <w:rPr>
          <w:noProof/>
        </w:rPr>
        <w:drawing>
          <wp:inline distT="0" distB="0" distL="0" distR="0" wp14:anchorId="461255B3">
            <wp:extent cx="6987117" cy="3638878"/>
            <wp:effectExtent l="0" t="0" r="444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013366" cy="3652548"/>
                    </a:xfrm>
                    <a:prstGeom prst="rect">
                      <a:avLst/>
                    </a:prstGeom>
                    <a:noFill/>
                  </pic:spPr>
                </pic:pic>
              </a:graphicData>
            </a:graphic>
          </wp:inline>
        </w:drawing>
      </w:r>
    </w:p>
    <w:p w:rsidR="00B13299" w:rsidRDefault="00F42526">
      <w:r>
        <w:rPr>
          <w:noProof/>
        </w:rPr>
        <mc:AlternateContent>
          <mc:Choice Requires="wps">
            <w:drawing>
              <wp:anchor distT="0" distB="0" distL="114300" distR="114300" simplePos="0" relativeHeight="251668480" behindDoc="0" locked="0" layoutInCell="1" allowOverlap="1">
                <wp:simplePos x="0" y="0"/>
                <wp:positionH relativeFrom="margin">
                  <wp:align>right</wp:align>
                </wp:positionH>
                <wp:positionV relativeFrom="paragraph">
                  <wp:posOffset>-101600</wp:posOffset>
                </wp:positionV>
                <wp:extent cx="6840855" cy="4826000"/>
                <wp:effectExtent l="0" t="0" r="0" b="0"/>
                <wp:wrapNone/>
                <wp:docPr id="231" name="Text Box 231"/>
                <wp:cNvGraphicFramePr/>
                <a:graphic xmlns:a="http://schemas.openxmlformats.org/drawingml/2006/main">
                  <a:graphicData uri="http://schemas.microsoft.com/office/word/2010/wordprocessingShape">
                    <wps:wsp>
                      <wps:cNvSpPr txBox="1"/>
                      <wps:spPr>
                        <a:xfrm>
                          <a:off x="0" y="0"/>
                          <a:ext cx="6840855" cy="4826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42526" w:rsidRPr="00F42526" w:rsidRDefault="00F42526" w:rsidP="00F42526">
                            <w:pPr>
                              <w:jc w:val="both"/>
                              <w:rPr>
                                <w:rFonts w:ascii="Arial" w:hAnsi="Arial" w:cs="Arial"/>
                                <w:sz w:val="24"/>
                              </w:rPr>
                            </w:pPr>
                            <w:r w:rsidRPr="00F42526">
                              <w:rPr>
                                <w:rFonts w:ascii="Arial" w:hAnsi="Arial" w:cs="Arial"/>
                                <w:b/>
                                <w:bCs/>
                                <w:sz w:val="24"/>
                              </w:rPr>
                              <w:t>Supplemental Figure 4. BL/6 16S Alpha and Beta Diversity. </w:t>
                            </w:r>
                            <w:r w:rsidRPr="00F42526">
                              <w:rPr>
                                <w:rFonts w:ascii="Arial" w:hAnsi="Arial" w:cs="Arial"/>
                                <w:sz w:val="24"/>
                              </w:rPr>
                              <w:t xml:space="preserve"> A. BL/6 ID8 VEGF alpha diversity, B. BL/6 ID8 alpha diversity, C. BL/6 ID8 VEGF beta diversity, D. BL/6 ID8 beta diversity. </w:t>
                            </w:r>
                            <w:r w:rsidR="002A4031">
                              <w:rPr>
                                <w:rFonts w:ascii="Arial" w:hAnsi="Arial" w:cs="Arial"/>
                                <w:sz w:val="24"/>
                              </w:rPr>
                              <w:t>Two</w:t>
                            </w:r>
                            <w:r w:rsidR="00635888">
                              <w:rPr>
                                <w:rFonts w:ascii="Arial" w:hAnsi="Arial" w:cs="Arial"/>
                                <w:sz w:val="24"/>
                              </w:rPr>
                              <w:t xml:space="preserve">-way ANOVA </w:t>
                            </w:r>
                            <w:r w:rsidRPr="00F42526">
                              <w:rPr>
                                <w:rFonts w:ascii="Arial" w:hAnsi="Arial" w:cs="Arial"/>
                                <w:sz w:val="24"/>
                              </w:rPr>
                              <w:t>*p&lt;0.05, **p&lt;0.01, ***p&lt;0.001 n= 8 mice per group</w:t>
                            </w:r>
                          </w:p>
                          <w:p w:rsidR="00F42526" w:rsidRDefault="00F42526"/>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1" o:spid="_x0000_s1029" type="#_x0000_t202" style="position:absolute;margin-left:487.45pt;margin-top:-8pt;width:538.65pt;height:380pt;z-index:25166848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s70jQIAAJQFAAAOAAAAZHJzL2Uyb0RvYy54bWysVE1PGzEQvVfqf7B8L7sJCU0jNigFUVVC&#10;gAoVZ8drk1W9Hss2yaa/vs/efJX2QtXL7tjz/fxmzi+61rCV8qEhW/HBScmZspLqxj5X/Pvj9YcJ&#10;ZyEKWwtDVlV8owK/mL1/d752UzWkJZlaeYYgNkzXruLLGN20KIJcqlaEE3LKQqnJtyLi6J+L2os1&#10;oremGJblWbEmXztPUoWA26teyWc5vtZKxjutg4rMVBy1xfz1+btI32J2LqbPXrhlI7dliH+oohWN&#10;RdJ9qCsRBXvxzR+h2kZ6CqTjiaS2IK0bqXIP6GZQvurmYSmcyr0AnOD2MIX/F1beru49a+qKD08H&#10;nFnR4pEeVRfZZ+pYugNCaxemMHxwMI0dFHjp3X3AZWq8075Nf7TEoAfWmz2+KZzE5dlkVE7GY84k&#10;dKPJ8Kws8wsUB3fnQ/yiqGVJqLjHA2ZcxeomRJQC051JyhbINPV1Y0w+JNKoS+PZSuC5TcxFwuM3&#10;K2PZGqWcjssc2FJy7yMbm8KoTJttutR632KW4saoZGPsN6UBW+70L7mFlMru82frZKWR6i2OW/tD&#10;VW9x7vuAR85MNu6d28aSz93nOTtAVv/YQaZ7ewB+1HcSY7foMl9GOwYsqN6AGJ764QpOXjd4vBsR&#10;4r3wmCZwARsi3uGjDQF82kqcLcn//Nt9sgfJoeVsjemsuMX64Mx8tSD/p8FolIY5H0bjj0Mc/LFm&#10;cayxL+0lgQ+gN2rLYrKPZidqT+0T1sg85YRKWInMFY878TL2GwNrSKr5PBthfJ2IN/bByRQ6YZyI&#10;+dg9Ce+27I0g/i3tplhMX5G4t02eluYvkXSTGZ5Q7jHdoo/Rz8Tfrqm0W47P2eqwTGe/AAAA//8D&#10;AFBLAwQUAAYACAAAACEAJUOR3OAAAAAJAQAADwAAAGRycy9kb3ducmV2LnhtbEyPwW7CMBBE75X6&#10;D9ZW6g3sACIhZIMqJCQO7aFpq15NvCRRYzu1DYS/rzmV26xmNfOm2Iy6Z2dyvrMGIZkKYGRqqzrT&#10;IHx+7CYZMB+kUbK3hhCu5GFTPj4UMlf2Yt7pXIWGxRDjc4nQhjDknPu6JS391A5kone0TssQT9dw&#10;5eQlhuuez4RYci07ExtaOdC2pfqnOmmEt+2qyvazq/tezfe7KvtN7Gv2hfj8NL6sgQUaw/8z3PAj&#10;OpSR6WBPRnnWI8QhAWGSLKO42SJN58AOCOliIYCXBb9fUP4BAAD//wMAUEsBAi0AFAAGAAgAAAAh&#10;ALaDOJL+AAAA4QEAABMAAAAAAAAAAAAAAAAAAAAAAFtDb250ZW50X1R5cGVzXS54bWxQSwECLQAU&#10;AAYACAAAACEAOP0h/9YAAACUAQAACwAAAAAAAAAAAAAAAAAvAQAAX3JlbHMvLnJlbHNQSwECLQAU&#10;AAYACAAAACEAe37O9I0CAACUBQAADgAAAAAAAAAAAAAAAAAuAgAAZHJzL2Uyb0RvYy54bWxQSwEC&#10;LQAUAAYACAAAACEAJUOR3OAAAAAJAQAADwAAAAAAAAAAAAAAAADnBAAAZHJzL2Rvd25yZXYueG1s&#10;UEsFBgAAAAAEAAQA8wAAAPQFAAAAAA==&#10;" fillcolor="white [3201]" stroked="f" strokeweight=".5pt">
                <v:textbox>
                  <w:txbxContent>
                    <w:p w:rsidR="00F42526" w:rsidRPr="00F42526" w:rsidRDefault="00F42526" w:rsidP="00F42526">
                      <w:pPr>
                        <w:jc w:val="both"/>
                        <w:rPr>
                          <w:rFonts w:ascii="Arial" w:hAnsi="Arial" w:cs="Arial"/>
                          <w:sz w:val="24"/>
                        </w:rPr>
                      </w:pPr>
                      <w:r w:rsidRPr="00F42526">
                        <w:rPr>
                          <w:rFonts w:ascii="Arial" w:hAnsi="Arial" w:cs="Arial"/>
                          <w:b/>
                          <w:bCs/>
                          <w:sz w:val="24"/>
                        </w:rPr>
                        <w:t>Supplemental Figure 4. BL/6 16S Alpha and Beta Diversity. </w:t>
                      </w:r>
                      <w:r w:rsidRPr="00F42526">
                        <w:rPr>
                          <w:rFonts w:ascii="Arial" w:hAnsi="Arial" w:cs="Arial"/>
                          <w:sz w:val="24"/>
                        </w:rPr>
                        <w:t xml:space="preserve"> A. BL/6 ID8 VEGF alpha diversity, B. BL/6 ID8 alpha diversity, C. BL/6 ID8 VEGF beta diversity, D. BL/6 ID8 beta diversity. </w:t>
                      </w:r>
                      <w:r w:rsidR="002A4031">
                        <w:rPr>
                          <w:rFonts w:ascii="Arial" w:hAnsi="Arial" w:cs="Arial"/>
                          <w:sz w:val="24"/>
                        </w:rPr>
                        <w:t>Two</w:t>
                      </w:r>
                      <w:r w:rsidR="00635888">
                        <w:rPr>
                          <w:rFonts w:ascii="Arial" w:hAnsi="Arial" w:cs="Arial"/>
                          <w:sz w:val="24"/>
                        </w:rPr>
                        <w:t xml:space="preserve">-way ANOVA </w:t>
                      </w:r>
                      <w:r w:rsidRPr="00F42526">
                        <w:rPr>
                          <w:rFonts w:ascii="Arial" w:hAnsi="Arial" w:cs="Arial"/>
                          <w:sz w:val="24"/>
                        </w:rPr>
                        <w:t>*p&lt;0.05, **p&lt;0.01, ***p&lt;0.001 n= 8 mice per group</w:t>
                      </w:r>
                    </w:p>
                    <w:p w:rsidR="00F42526" w:rsidRDefault="00F42526"/>
                  </w:txbxContent>
                </v:textbox>
                <w10:wrap anchorx="margin"/>
              </v:shape>
            </w:pict>
          </mc:Fallback>
        </mc:AlternateContent>
      </w:r>
    </w:p>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Default="00B13299" w:rsidP="00B13299"/>
    <w:p w:rsidR="00F42526" w:rsidRDefault="00B13299" w:rsidP="00B13299">
      <w:pPr>
        <w:tabs>
          <w:tab w:val="left" w:pos="7640"/>
        </w:tabs>
      </w:pPr>
      <w:r>
        <w:tab/>
      </w:r>
    </w:p>
    <w:p w:rsidR="00B13299" w:rsidRDefault="00635888" w:rsidP="00B13299">
      <w:pPr>
        <w:tabs>
          <w:tab w:val="left" w:pos="7640"/>
        </w:tabs>
      </w:pPr>
      <w:r>
        <w:rPr>
          <w:noProof/>
        </w:rPr>
        <w:lastRenderedPageBreak/>
        <w:drawing>
          <wp:inline distT="0" distB="0" distL="0" distR="0" wp14:anchorId="5A703E96">
            <wp:extent cx="6734810" cy="3714863"/>
            <wp:effectExtent l="0" t="0" r="889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755099" cy="3726054"/>
                    </a:xfrm>
                    <a:prstGeom prst="rect">
                      <a:avLst/>
                    </a:prstGeom>
                    <a:noFill/>
                  </pic:spPr>
                </pic:pic>
              </a:graphicData>
            </a:graphic>
          </wp:inline>
        </w:drawing>
      </w:r>
    </w:p>
    <w:p w:rsidR="00B13299" w:rsidRDefault="00B13299" w:rsidP="00B13299">
      <w:pPr>
        <w:tabs>
          <w:tab w:val="left" w:pos="7013"/>
        </w:tabs>
      </w:pPr>
      <w:r>
        <w:rPr>
          <w:noProof/>
        </w:rPr>
        <mc:AlternateContent>
          <mc:Choice Requires="wps">
            <w:drawing>
              <wp:anchor distT="45720" distB="45720" distL="114300" distR="114300" simplePos="0" relativeHeight="251670528" behindDoc="0" locked="0" layoutInCell="1" allowOverlap="1">
                <wp:simplePos x="0" y="0"/>
                <wp:positionH relativeFrom="margin">
                  <wp:posOffset>-25400</wp:posOffset>
                </wp:positionH>
                <wp:positionV relativeFrom="paragraph">
                  <wp:posOffset>0</wp:posOffset>
                </wp:positionV>
                <wp:extent cx="6840855" cy="4791710"/>
                <wp:effectExtent l="0" t="0" r="0" b="8890"/>
                <wp:wrapSquare wrapText="bothSides"/>
                <wp:docPr id="2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0855" cy="4791710"/>
                        </a:xfrm>
                        <a:prstGeom prst="rect">
                          <a:avLst/>
                        </a:prstGeom>
                        <a:solidFill>
                          <a:srgbClr val="FFFFFF"/>
                        </a:solidFill>
                        <a:ln w="9525">
                          <a:noFill/>
                          <a:miter lim="800000"/>
                          <a:headEnd/>
                          <a:tailEnd/>
                        </a:ln>
                      </wps:spPr>
                      <wps:txbx>
                        <w:txbxContent>
                          <w:p w:rsidR="00B13299" w:rsidRPr="00B13299" w:rsidRDefault="00B13299" w:rsidP="00B13299">
                            <w:pPr>
                              <w:jc w:val="both"/>
                            </w:pPr>
                            <w:r w:rsidRPr="00B13299">
                              <w:rPr>
                                <w:rFonts w:ascii="Arial" w:hAnsi="Arial" w:cs="Arial"/>
                                <w:b/>
                                <w:bCs/>
                                <w:sz w:val="24"/>
                              </w:rPr>
                              <w:t>Supplemental Figure 5. NSG 16S Alpha and Beta Diversity. </w:t>
                            </w:r>
                            <w:r w:rsidRPr="00B13299">
                              <w:rPr>
                                <w:rFonts w:ascii="Arial" w:hAnsi="Arial" w:cs="Arial"/>
                                <w:sz w:val="24"/>
                              </w:rPr>
                              <w:t xml:space="preserve"> A. NSG ID8 VEGF alpha diversity, B. NSG ID8 alpha diversity, C. NSG ID8 VEGF beta diversity, D. NSG ID8 beta diversity. </w:t>
                            </w:r>
                            <w:r w:rsidR="002A4031">
                              <w:rPr>
                                <w:rFonts w:ascii="Arial" w:hAnsi="Arial" w:cs="Arial"/>
                                <w:sz w:val="24"/>
                              </w:rPr>
                              <w:t>Two</w:t>
                            </w:r>
                            <w:r w:rsidR="00635888">
                              <w:rPr>
                                <w:rFonts w:ascii="Arial" w:hAnsi="Arial" w:cs="Arial"/>
                                <w:sz w:val="24"/>
                              </w:rPr>
                              <w:t xml:space="preserve">-way ANOVA </w:t>
                            </w:r>
                            <w:r w:rsidRPr="00B13299">
                              <w:rPr>
                                <w:rFonts w:ascii="Arial" w:hAnsi="Arial" w:cs="Arial"/>
                                <w:sz w:val="24"/>
                              </w:rPr>
                              <w:t>*p&lt;0.05, **p&lt;0.01, ***p&lt;0.001 n= 8 mice per group</w:t>
                            </w:r>
                          </w:p>
                          <w:p w:rsidR="00B13299" w:rsidRDefault="00B132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2pt;margin-top:0;width:538.65pt;height:377.3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zocJgIAACUEAAAOAAAAZHJzL2Uyb0RvYy54bWysU9uO2yAQfa/Uf0C8N7403k2sOKtttqkq&#10;bS/Sbj8AYxyjAuMCiZ1+/Q44SaPtW1UeEMMMh5kzZ1Z3o1bkIKyTYCqazVJKhOHQSLOr6I/n7bsF&#10;Jc4z0zAFRlT0KBy9W799sxr6UuTQgWqEJQhiXDn0Fe2878skcbwTmrkZ9MKgswWrmUfT7pLGsgHR&#10;tUryNL1JBrBNb4EL5/D2YXLSdcRvW8H9t7Z1whNVUczNx93GvQ57sl6xcmdZ30l+SoP9QxaaSYOf&#10;XqAemGdkb+VfUFpyCw5aP+OgE2hbyUWsAavJ0lfVPHWsF7EWJMf1F5rc/4PlXw/fLZFNRfP3OSWG&#10;aWzSsxg9+QAjyQM/Q+9KDHvqMdCPeI19jrW6/hH4T0cMbDpmduLeWhg6wRrMLwsvk6unE44LIPXw&#10;BRr8hu09RKCxtTqQh3QQRMc+HS+9CalwvLxZzNNFUVDC0Te/XWa3Wexewsrz8946/0mAJuFQUYvN&#10;j/Ds8Oh8SIeV55DwmwMlm61UKhp2V2+UJQeGQtnGFSt4FaYMGSq6LPIiIhsI76OGtPQoZCV1RRdp&#10;WJO0Ah0fTRNDPJNqOmMmypz4CZRM5PixHmMrijPtNTRHJMzCpFucMzx0YH9TMqBmK+p+7ZkVlKjP&#10;BklfZvN5EHk05sVtjoa99tTXHmY4QlXUUzIdNz4ORqDDwD02p5WRttDFKZNTyqjFyOZpboLYr+0Y&#10;9We61y8AAAD//wMAUEsDBBQABgAIAAAAIQAmR1Yy3QAAAAgBAAAPAAAAZHJzL2Rvd25yZXYueG1s&#10;TI9BT4NAEIXvJv6HzZh4Me2ipaDI0KiJxmtrf8AAUyCys4TdFvrv3Z7s5SWTN3nve/lmNr068eg6&#10;KwiPywgUS2XrThqE/c/n4hmU8yQ19VYY4cwONsXtTU5ZbSfZ8mnnGxVCxGWE0Ho/ZFq7qmVDbmkH&#10;luAd7GjIh3NsdD3SFMJNr5+iKNGGOgkNLQ380XL1uzsahMP39LB+mcovv0+3cfJOXVraM+L93fz2&#10;Csrz7P+f4YIf0KEITKU9Su1Uj7CIwxSPEPTiRulqBapESNdxArrI9fWA4g8AAP//AwBQSwECLQAU&#10;AAYACAAAACEAtoM4kv4AAADhAQAAEwAAAAAAAAAAAAAAAAAAAAAAW0NvbnRlbnRfVHlwZXNdLnht&#10;bFBLAQItABQABgAIAAAAIQA4/SH/1gAAAJQBAAALAAAAAAAAAAAAAAAAAC8BAABfcmVscy8ucmVs&#10;c1BLAQItABQABgAIAAAAIQDVLzocJgIAACUEAAAOAAAAAAAAAAAAAAAAAC4CAABkcnMvZTJvRG9j&#10;LnhtbFBLAQItABQABgAIAAAAIQAmR1Yy3QAAAAgBAAAPAAAAAAAAAAAAAAAAAIAEAABkcnMvZG93&#10;bnJldi54bWxQSwUGAAAAAAQABADzAAAAigUAAAAA&#10;" stroked="f">
                <v:textbox>
                  <w:txbxContent>
                    <w:p w:rsidR="00B13299" w:rsidRPr="00B13299" w:rsidRDefault="00B13299" w:rsidP="00B13299">
                      <w:pPr>
                        <w:jc w:val="both"/>
                      </w:pPr>
                      <w:r w:rsidRPr="00B13299">
                        <w:rPr>
                          <w:rFonts w:ascii="Arial" w:hAnsi="Arial" w:cs="Arial"/>
                          <w:b/>
                          <w:bCs/>
                          <w:sz w:val="24"/>
                        </w:rPr>
                        <w:t>Supplemental Figure 5. NSG 16S Alpha and Beta Diversity. </w:t>
                      </w:r>
                      <w:r w:rsidRPr="00B13299">
                        <w:rPr>
                          <w:rFonts w:ascii="Arial" w:hAnsi="Arial" w:cs="Arial"/>
                          <w:sz w:val="24"/>
                        </w:rPr>
                        <w:t xml:space="preserve"> A. NSG ID8 VEGF alpha diversity, B. NSG ID8 alpha diversity, C. NSG ID8 VEGF beta diversity, D. NSG ID8 beta diversity. </w:t>
                      </w:r>
                      <w:r w:rsidR="002A4031">
                        <w:rPr>
                          <w:rFonts w:ascii="Arial" w:hAnsi="Arial" w:cs="Arial"/>
                          <w:sz w:val="24"/>
                        </w:rPr>
                        <w:t>Two</w:t>
                      </w:r>
                      <w:r w:rsidR="00635888">
                        <w:rPr>
                          <w:rFonts w:ascii="Arial" w:hAnsi="Arial" w:cs="Arial"/>
                          <w:sz w:val="24"/>
                        </w:rPr>
                        <w:t xml:space="preserve">-way ANOVA </w:t>
                      </w:r>
                      <w:r w:rsidRPr="00B13299">
                        <w:rPr>
                          <w:rFonts w:ascii="Arial" w:hAnsi="Arial" w:cs="Arial"/>
                          <w:sz w:val="24"/>
                        </w:rPr>
                        <w:t>*p&lt;0.05, **p&lt;0.01, ***p&lt;0.001 n= 8 mice per group</w:t>
                      </w:r>
                    </w:p>
                    <w:p w:rsidR="00B13299" w:rsidRDefault="00B13299"/>
                  </w:txbxContent>
                </v:textbox>
                <w10:wrap type="square" anchorx="margin"/>
              </v:shape>
            </w:pict>
          </mc:Fallback>
        </mc:AlternateContent>
      </w:r>
      <w:r>
        <w:tab/>
      </w:r>
    </w:p>
    <w:p w:rsidR="00B13299" w:rsidRDefault="00B13299" w:rsidP="00B13299">
      <w:pPr>
        <w:tabs>
          <w:tab w:val="left" w:pos="7013"/>
        </w:tabs>
      </w:pPr>
    </w:p>
    <w:p w:rsidR="001A41DD" w:rsidRDefault="001A41DD" w:rsidP="00B13299">
      <w:pPr>
        <w:tabs>
          <w:tab w:val="left" w:pos="7013"/>
        </w:tabs>
      </w:pPr>
      <w:r>
        <w:rPr>
          <w:noProof/>
        </w:rPr>
        <w:lastRenderedPageBreak/>
        <mc:AlternateContent>
          <mc:Choice Requires="wps">
            <w:drawing>
              <wp:anchor distT="45720" distB="45720" distL="114300" distR="114300" simplePos="0" relativeHeight="251672576" behindDoc="0" locked="0" layoutInCell="1" allowOverlap="1">
                <wp:simplePos x="0" y="0"/>
                <wp:positionH relativeFrom="margin">
                  <wp:align>right</wp:align>
                </wp:positionH>
                <wp:positionV relativeFrom="paragraph">
                  <wp:posOffset>132080</wp:posOffset>
                </wp:positionV>
                <wp:extent cx="6832600" cy="1404620"/>
                <wp:effectExtent l="0" t="0" r="0" b="635"/>
                <wp:wrapSquare wrapText="bothSides"/>
                <wp:docPr id="2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2600" cy="1404620"/>
                        </a:xfrm>
                        <a:prstGeom prst="rect">
                          <a:avLst/>
                        </a:prstGeom>
                        <a:solidFill>
                          <a:srgbClr val="FFFFFF"/>
                        </a:solidFill>
                        <a:ln w="9525">
                          <a:noFill/>
                          <a:miter lim="800000"/>
                          <a:headEnd/>
                          <a:tailEnd/>
                        </a:ln>
                      </wps:spPr>
                      <wps:txbx>
                        <w:txbxContent>
                          <w:p w:rsidR="00635888" w:rsidRDefault="00635888" w:rsidP="001A41DD">
                            <w:pPr>
                              <w:jc w:val="both"/>
                              <w:rPr>
                                <w:rFonts w:ascii="Arial" w:hAnsi="Arial" w:cs="Arial"/>
                                <w:b/>
                                <w:bCs/>
                                <w:sz w:val="24"/>
                              </w:rPr>
                            </w:pPr>
                            <w:r w:rsidRPr="00635888">
                              <w:rPr>
                                <w:noProof/>
                              </w:rPr>
                              <w:drawing>
                                <wp:inline distT="0" distB="0" distL="0" distR="0">
                                  <wp:extent cx="6858000" cy="548794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0" cy="5487949"/>
                                          </a:xfrm>
                                          <a:prstGeom prst="rect">
                                            <a:avLst/>
                                          </a:prstGeom>
                                          <a:noFill/>
                                          <a:ln>
                                            <a:noFill/>
                                          </a:ln>
                                        </pic:spPr>
                                      </pic:pic>
                                    </a:graphicData>
                                  </a:graphic>
                                </wp:inline>
                              </w:drawing>
                            </w:r>
                          </w:p>
                          <w:p w:rsidR="001A41DD" w:rsidRPr="001A41DD" w:rsidRDefault="001A41DD" w:rsidP="001A41DD">
                            <w:pPr>
                              <w:jc w:val="both"/>
                              <w:rPr>
                                <w:rFonts w:ascii="Arial" w:hAnsi="Arial" w:cs="Arial"/>
                                <w:sz w:val="24"/>
                              </w:rPr>
                            </w:pPr>
                            <w:r w:rsidRPr="001A41DD">
                              <w:rPr>
                                <w:rFonts w:ascii="Arial" w:hAnsi="Arial" w:cs="Arial"/>
                                <w:b/>
                                <w:bCs/>
                                <w:sz w:val="24"/>
                              </w:rPr>
                              <w:t xml:space="preserve">Supplemental Figure 6. ABX treatment does not significantly alter tumor cell proliferation or cisplatin sensitivity </w:t>
                            </w:r>
                            <w:r w:rsidRPr="001A41DD">
                              <w:rPr>
                                <w:rFonts w:ascii="Arial" w:hAnsi="Arial" w:cs="Arial"/>
                                <w:b/>
                                <w:bCs/>
                                <w:i/>
                                <w:iCs/>
                                <w:sz w:val="24"/>
                              </w:rPr>
                              <w:t xml:space="preserve">in vitro. </w:t>
                            </w:r>
                            <w:r w:rsidRPr="001A41DD">
                              <w:rPr>
                                <w:rFonts w:ascii="Arial" w:hAnsi="Arial" w:cs="Arial"/>
                                <w:sz w:val="24"/>
                              </w:rPr>
                              <w:t xml:space="preserve">Following 4 days co-culture of ID8 (A) and ID8 VEGF (B) with ABX at vary concentrations, no significant change in proliferation was observed compared to cells cultured with media alone. The IC50 of Cisplatin was not significantly altered when co cultured with ABX compared to control media in ID8 (C) or ID8 VEGF (D) cells in vitro. </w:t>
                            </w:r>
                            <w:r w:rsidR="002A4031">
                              <w:rPr>
                                <w:rFonts w:ascii="Arial" w:hAnsi="Arial" w:cs="Arial"/>
                                <w:sz w:val="24"/>
                              </w:rPr>
                              <w:t xml:space="preserve">Two stage T test, </w:t>
                            </w:r>
                            <w:r w:rsidRPr="001A41DD">
                              <w:rPr>
                                <w:rFonts w:ascii="Arial" w:hAnsi="Arial" w:cs="Arial"/>
                                <w:sz w:val="24"/>
                              </w:rPr>
                              <w:t>n= 3 replicates per data point</w:t>
                            </w:r>
                            <w:r w:rsidR="002A4031">
                              <w:rPr>
                                <w:rFonts w:ascii="Arial" w:hAnsi="Arial" w:cs="Arial"/>
                                <w:sz w:val="24"/>
                              </w:rPr>
                              <w:t>.</w:t>
                            </w:r>
                          </w:p>
                          <w:p w:rsidR="001A41DD" w:rsidRDefault="001A41DD"/>
                        </w:txbxContent>
                      </wps:txbx>
                      <wps:bodyPr rot="0" vert="horz" wrap="non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margin-left:486.8pt;margin-top:10.4pt;width:538pt;height:110.6pt;z-index:251672576;visibility:visible;mso-wrap-style:non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aOGIwIAACMEAAAOAAAAZHJzL2Uyb0RvYy54bWysU9uO2yAQfa/Uf0C8N3acS7NWnNU221SV&#10;tu1Ku/0AjHGMCgwCNnb69R1wkka7b1V5QMDMHGbOnFnfDlqRg3BegqnodJJTIgyHRpp9RX8+7z6s&#10;KPGBmYYpMKKiR+Hp7eb9u3VvS1FAB6oRjiCI8WVvK9qFYMss87wTmvkJWGHQ2ILTLODV7bPGsR7R&#10;tcqKPF9mPbjGOuDCe3y9H410k/DbVvDwo229CERVFHMLaXdpr+Oebdas3DtmO8lPabB/yEIzafDT&#10;C9Q9C4y8OPkGSkvuwEMbJhx0Bm0ruUg1YDXT/FU1Tx2zItWC5Hh7ocn/P1j+/fDoiGwqWsxmlBim&#10;sUnPYgjkEwykiPz01pfo9mTRMQz4jH1OtXr7APyXJwa2HTN7cecc9J1gDeY3jZHZVeiI4yNI3X+D&#10;Br9hLwES0NA6HclDOgiiY5+Ol97EVDg+LlezYpmjiaNtOs/nyyJ1L2PlOdw6H74I0CQeKuqw+Qme&#10;HR58iOmw8uwSf/OgZLOTSqWL29db5ciBoVB2aaUKXrkpQ/qK3iyKRUI2EOOThrQMKGQldUVXeVyj&#10;tCIdn02TXAKTajxjJsqc+ImUjOSEoR5SK5Zn2mtojkiYg1G3OGd46MD9pqRHzVbU4FBRor4apPxm&#10;Op9HiafLfPER+SHu2lJfW5jhCFTRQMl43IY0FokMe4et2clEWuzhmMcpYVRi4vI0NVHq1/fk9Xe2&#10;N38AAAD//wMAUEsDBBQABgAIAAAAIQD1vqk92wAAAAgBAAAPAAAAZHJzL2Rvd25yZXYueG1sTI/B&#10;TsMwEETvSPyDtUjcqE2AFoU4FVDg3kKLuDnxNo6I11HstOHv2Z7guDOj2TfFcvKdOOAQ20AarmcK&#10;BFIdbEuNho/316t7EDEZsqYLhBp+MMKyPD8rTG7DkdZ42KRGcAnF3GhwKfW5lLF26E2chR6JvX0Y&#10;vEl8Do20gzlyue9kptRcetMSf3Cmx2eH9fdm9Bru3Of0tb1ZvYx1tej3bfO2emp2Wl9eTI8PIBJO&#10;6S8MJ3xGh5KZqjCSjaLTwEOShkwx/8lVizkrFSu3mQJZFvL/gPIXAAD//wMAUEsBAi0AFAAGAAgA&#10;AAAhALaDOJL+AAAA4QEAABMAAAAAAAAAAAAAAAAAAAAAAFtDb250ZW50X1R5cGVzXS54bWxQSwEC&#10;LQAUAAYACAAAACEAOP0h/9YAAACUAQAACwAAAAAAAAAAAAAAAAAvAQAAX3JlbHMvLnJlbHNQSwEC&#10;LQAUAAYACAAAACEAw62jhiMCAAAjBAAADgAAAAAAAAAAAAAAAAAuAgAAZHJzL2Uyb0RvYy54bWxQ&#10;SwECLQAUAAYACAAAACEA9b6pPdsAAAAIAQAADwAAAAAAAAAAAAAAAAB9BAAAZHJzL2Rvd25yZXYu&#10;eG1sUEsFBgAAAAAEAAQA8wAAAIUFAAAAAA==&#10;" stroked="f">
                <v:textbox style="mso-fit-shape-to-text:t">
                  <w:txbxContent>
                    <w:p w:rsidR="00635888" w:rsidRDefault="00635888" w:rsidP="001A41DD">
                      <w:pPr>
                        <w:jc w:val="both"/>
                        <w:rPr>
                          <w:rFonts w:ascii="Arial" w:hAnsi="Arial" w:cs="Arial"/>
                          <w:b/>
                          <w:bCs/>
                          <w:sz w:val="24"/>
                        </w:rPr>
                      </w:pPr>
                      <w:r w:rsidRPr="00635888">
                        <w:drawing>
                          <wp:inline distT="0" distB="0" distL="0" distR="0">
                            <wp:extent cx="6858000" cy="548794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0" cy="5487949"/>
                                    </a:xfrm>
                                    <a:prstGeom prst="rect">
                                      <a:avLst/>
                                    </a:prstGeom>
                                    <a:noFill/>
                                    <a:ln>
                                      <a:noFill/>
                                    </a:ln>
                                  </pic:spPr>
                                </pic:pic>
                              </a:graphicData>
                            </a:graphic>
                          </wp:inline>
                        </w:drawing>
                      </w:r>
                    </w:p>
                    <w:p w:rsidR="001A41DD" w:rsidRPr="001A41DD" w:rsidRDefault="001A41DD" w:rsidP="001A41DD">
                      <w:pPr>
                        <w:jc w:val="both"/>
                        <w:rPr>
                          <w:rFonts w:ascii="Arial" w:hAnsi="Arial" w:cs="Arial"/>
                          <w:sz w:val="24"/>
                        </w:rPr>
                      </w:pPr>
                      <w:r w:rsidRPr="001A41DD">
                        <w:rPr>
                          <w:rFonts w:ascii="Arial" w:hAnsi="Arial" w:cs="Arial"/>
                          <w:b/>
                          <w:bCs/>
                          <w:sz w:val="24"/>
                        </w:rPr>
                        <w:t xml:space="preserve">Supplemental Figure 6. ABX treatment does not significantly alter tumor cell proliferation or cisplatin sensitivity </w:t>
                      </w:r>
                      <w:r w:rsidRPr="001A41DD">
                        <w:rPr>
                          <w:rFonts w:ascii="Arial" w:hAnsi="Arial" w:cs="Arial"/>
                          <w:b/>
                          <w:bCs/>
                          <w:i/>
                          <w:iCs/>
                          <w:sz w:val="24"/>
                        </w:rPr>
                        <w:t xml:space="preserve">in vitro. </w:t>
                      </w:r>
                      <w:r w:rsidRPr="001A41DD">
                        <w:rPr>
                          <w:rFonts w:ascii="Arial" w:hAnsi="Arial" w:cs="Arial"/>
                          <w:sz w:val="24"/>
                        </w:rPr>
                        <w:t xml:space="preserve">Following 4 days co-culture of ID8 (A) and ID8 VEGF (B) with ABX at vary concentrations, no significant change in proliferation was observed compared to cells cultured with media alone. The IC50 of Cisplatin was not significantly altered when co cultured with ABX compared to control media in ID8 (C) or ID8 VEGF (D) cells in vitro. </w:t>
                      </w:r>
                      <w:r w:rsidR="002A4031">
                        <w:rPr>
                          <w:rFonts w:ascii="Arial" w:hAnsi="Arial" w:cs="Arial"/>
                          <w:sz w:val="24"/>
                        </w:rPr>
                        <w:t xml:space="preserve">Two stage T test, </w:t>
                      </w:r>
                      <w:r w:rsidRPr="001A41DD">
                        <w:rPr>
                          <w:rFonts w:ascii="Arial" w:hAnsi="Arial" w:cs="Arial"/>
                          <w:sz w:val="24"/>
                        </w:rPr>
                        <w:t>n= 3 replicates per data point</w:t>
                      </w:r>
                      <w:r w:rsidR="002A4031">
                        <w:rPr>
                          <w:rFonts w:ascii="Arial" w:hAnsi="Arial" w:cs="Arial"/>
                          <w:sz w:val="24"/>
                        </w:rPr>
                        <w:t>.</w:t>
                      </w:r>
                    </w:p>
                    <w:p w:rsidR="001A41DD" w:rsidRDefault="001A41DD"/>
                  </w:txbxContent>
                </v:textbox>
                <w10:wrap type="square" anchorx="margin"/>
              </v:shape>
            </w:pict>
          </mc:Fallback>
        </mc:AlternateContent>
      </w:r>
    </w:p>
    <w:p w:rsidR="001A41DD" w:rsidRDefault="001A41DD" w:rsidP="001A41DD"/>
    <w:p w:rsidR="00B13299" w:rsidRDefault="001A41DD" w:rsidP="001A41DD">
      <w:pPr>
        <w:tabs>
          <w:tab w:val="left" w:pos="2240"/>
        </w:tabs>
      </w:pPr>
      <w:r>
        <w:tab/>
      </w:r>
    </w:p>
    <w:p w:rsidR="001A41DD" w:rsidRDefault="001A41DD" w:rsidP="001A41DD">
      <w:pPr>
        <w:tabs>
          <w:tab w:val="left" w:pos="2240"/>
        </w:tabs>
      </w:pPr>
    </w:p>
    <w:p w:rsidR="001A41DD" w:rsidRDefault="001A41DD" w:rsidP="001A41DD">
      <w:pPr>
        <w:tabs>
          <w:tab w:val="left" w:pos="2240"/>
        </w:tabs>
      </w:pPr>
    </w:p>
    <w:p w:rsidR="002824EE" w:rsidRDefault="00635888" w:rsidP="001A41DD">
      <w:pPr>
        <w:tabs>
          <w:tab w:val="left" w:pos="2240"/>
        </w:tabs>
      </w:pPr>
      <w:r>
        <w:rPr>
          <w:noProof/>
        </w:rPr>
        <w:lastRenderedPageBreak/>
        <mc:AlternateContent>
          <mc:Choice Requires="wps">
            <w:drawing>
              <wp:anchor distT="45720" distB="45720" distL="114300" distR="114300" simplePos="0" relativeHeight="251663360" behindDoc="0" locked="0" layoutInCell="1" allowOverlap="1" wp14:anchorId="6CF11884" wp14:editId="784670B8">
                <wp:simplePos x="0" y="0"/>
                <wp:positionH relativeFrom="margin">
                  <wp:posOffset>-846</wp:posOffset>
                </wp:positionH>
                <wp:positionV relativeFrom="paragraph">
                  <wp:posOffset>3802591</wp:posOffset>
                </wp:positionV>
                <wp:extent cx="3513455" cy="5274310"/>
                <wp:effectExtent l="0" t="0" r="0" b="508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3455" cy="5274310"/>
                        </a:xfrm>
                        <a:prstGeom prst="rect">
                          <a:avLst/>
                        </a:prstGeom>
                        <a:solidFill>
                          <a:srgbClr val="FFFFFF"/>
                        </a:solidFill>
                        <a:ln w="9525">
                          <a:noFill/>
                          <a:miter lim="800000"/>
                          <a:headEnd/>
                          <a:tailEnd/>
                        </a:ln>
                      </wps:spPr>
                      <wps:txbx>
                        <w:txbxContent>
                          <w:p w:rsidR="00910296" w:rsidRPr="00910296" w:rsidRDefault="00910296" w:rsidP="00910296">
                            <w:r w:rsidRPr="00910296">
                              <w:rPr>
                                <w:rFonts w:ascii="Arial" w:hAnsi="Arial" w:cs="Arial"/>
                                <w:b/>
                                <w:bCs/>
                                <w:sz w:val="24"/>
                                <w:szCs w:val="24"/>
                              </w:rPr>
                              <w:t>Supplemental Table 1. Myeloid and lymphoid antibody lists utilized for ascites analysis.</w:t>
                            </w:r>
                          </w:p>
                          <w:p w:rsidR="00910296" w:rsidRDefault="00910296" w:rsidP="00910296"/>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CF11884" id="_x0000_s1032" type="#_x0000_t202" style="position:absolute;margin-left:-.05pt;margin-top:299.4pt;width:276.65pt;height:415.3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2R3IgIAACMEAAAOAAAAZHJzL2Uyb0RvYy54bWysU21v2yAQ/j5p/wHxfXHsxGtrxam6dJkm&#10;dS9Sux+AMY7RgGNAYme/fgdO06j7No0PiOOOh7vnnlvdjlqRg3BegqlpPptTIgyHVppdTX88bd9d&#10;U+IDMy1TYERNj8LT2/XbN6vBVqKAHlQrHEEQ46vB1rQPwVZZ5nkvNPMzsMKgswOnWUDT7bLWsQHR&#10;tcqK+fx9NoBrrQMuvMfb+8lJ1wm/6wQP37rOi0BUTTG3kHaX9ibu2XrFqp1jtpf8lAb7hyw0kwY/&#10;PUPds8DI3sm/oLTkDjx0YcZBZ9B1kotUA1aTz19V89gzK1ItSI63Z5r8/4PlXw/fHZFtTQtKDNPY&#10;oicxBvIBRlJEdgbrKwx6tBgWRrzGLqdKvX0A/tMTA5uemZ24cw6GXrAWs8vjy+zi6YTjI0gzfIEW&#10;v2H7AAlo7JyO1CEZBNGxS8dzZ2IqHC8XZb5YliUlHH1lcbVc5Kl3Gauen1vnwycBmsRDTR22PsGz&#10;w4MPMR1WPYfE3zwo2W6lUslwu2ajHDkwlMk2rVTBqzBlyFDTm7IoE7KB+D4pSMuAMlZS1/R6Htck&#10;rEjHR9OmkMCkms6YiTInfiIlEzlhbMbUiERe5K6B9oiEOZhUi1OGhx7cb0oGVGxN/a89c4IS9dkg&#10;6Tf5chklnoxleVWg4S49zaWHGY5QNQ2UTMdNSGOR6LB32JytTLS9ZHJKGZWY2DxNTZT6pZ2iXmZ7&#10;/QcAAP//AwBQSwMEFAAGAAgAAAAhAOkb4oTfAAAACgEAAA8AAABkcnMvZG93bnJldi54bWxMjzFP&#10;wzAUhHck/oP1kNhaJ6Gp2hCnQkgsqAMtDIxu/IhD4ucQO2349zwmGE93uvuu3M2uF2ccQ+tJQbpM&#10;QCDV3rTUKHh7fVpsQISoyejeEyr4xgC76vqq1IXxFzrg+RgbwSUUCq3AxjgUUobaotNh6Qck9j78&#10;6HRkOTbSjPrC5a6XWZKspdMt8YLVAz5arLvj5HhkH+rp4L8+030n32231vmLfVbq9mZ+uAcRcY5/&#10;YfjFZ3SomOnkJzJB9AoWKQcV5NsNP2A/z+8yECcOrrLtCmRVyv8Xqh8AAAD//wMAUEsBAi0AFAAG&#10;AAgAAAAhALaDOJL+AAAA4QEAABMAAAAAAAAAAAAAAAAAAAAAAFtDb250ZW50X1R5cGVzXS54bWxQ&#10;SwECLQAUAAYACAAAACEAOP0h/9YAAACUAQAACwAAAAAAAAAAAAAAAAAvAQAAX3JlbHMvLnJlbHNQ&#10;SwECLQAUAAYACAAAACEAcadkdyICAAAjBAAADgAAAAAAAAAAAAAAAAAuAgAAZHJzL2Uyb0RvYy54&#10;bWxQSwECLQAUAAYACAAAACEA6RvihN8AAAAKAQAADwAAAAAAAAAAAAAAAAB8BAAAZHJzL2Rvd25y&#10;ZXYueG1sUEsFBgAAAAAEAAQA8wAAAIgFAAAAAA==&#10;" stroked="f">
                <v:textbox style="mso-fit-shape-to-text:t">
                  <w:txbxContent>
                    <w:p w:rsidR="00910296" w:rsidRPr="00910296" w:rsidRDefault="00910296" w:rsidP="00910296">
                      <w:r w:rsidRPr="00910296">
                        <w:rPr>
                          <w:rFonts w:ascii="Arial" w:hAnsi="Arial" w:cs="Arial"/>
                          <w:b/>
                          <w:bCs/>
                          <w:sz w:val="24"/>
                          <w:szCs w:val="24"/>
                        </w:rPr>
                        <w:t>Supplemental Table 1. Myeloid and lymphoid antibody lists utilized for ascites analysis.</w:t>
                      </w:r>
                    </w:p>
                    <w:p w:rsidR="00910296" w:rsidRDefault="00910296" w:rsidP="00910296"/>
                  </w:txbxContent>
                </v:textbox>
                <w10:wrap type="square" anchorx="margin"/>
              </v:shape>
            </w:pict>
          </mc:Fallback>
        </mc:AlternateContent>
      </w:r>
      <w:r w:rsidR="001A41DD">
        <w:rPr>
          <w:noProof/>
        </w:rPr>
        <mc:AlternateContent>
          <mc:Choice Requires="wps">
            <w:drawing>
              <wp:anchor distT="45720" distB="45720" distL="114300" distR="114300" simplePos="0" relativeHeight="251674624" behindDoc="0" locked="0" layoutInCell="1" allowOverlap="1">
                <wp:simplePos x="0" y="0"/>
                <wp:positionH relativeFrom="margin">
                  <wp:align>right</wp:align>
                </wp:positionH>
                <wp:positionV relativeFrom="paragraph">
                  <wp:posOffset>186055</wp:posOffset>
                </wp:positionV>
                <wp:extent cx="6840855" cy="4597400"/>
                <wp:effectExtent l="0" t="0" r="0" b="0"/>
                <wp:wrapSquare wrapText="bothSides"/>
                <wp:docPr id="2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0855" cy="4597400"/>
                        </a:xfrm>
                        <a:prstGeom prst="rect">
                          <a:avLst/>
                        </a:prstGeom>
                        <a:solidFill>
                          <a:srgbClr val="FFFFFF"/>
                        </a:solidFill>
                        <a:ln w="9525">
                          <a:noFill/>
                          <a:miter lim="800000"/>
                          <a:headEnd/>
                          <a:tailEnd/>
                        </a:ln>
                      </wps:spPr>
                      <wps:txbx>
                        <w:txbxContent>
                          <w:p w:rsidR="00635888" w:rsidRDefault="00635888" w:rsidP="004C35D8">
                            <w:pPr>
                              <w:pStyle w:val="NormalWeb"/>
                              <w:spacing w:before="0" w:beforeAutospacing="0" w:after="0" w:afterAutospacing="0"/>
                              <w:jc w:val="both"/>
                              <w:rPr>
                                <w:rFonts w:ascii="Arial" w:eastAsiaTheme="minorEastAsia" w:hAnsi="Arial" w:cs="Arial"/>
                                <w:b/>
                                <w:bCs/>
                                <w:color w:val="000000" w:themeColor="text1"/>
                                <w:kern w:val="24"/>
                              </w:rPr>
                            </w:pPr>
                            <w:r w:rsidRPr="00635888">
                              <w:rPr>
                                <w:rFonts w:eastAsiaTheme="minorEastAsia"/>
                                <w:noProof/>
                              </w:rPr>
                              <w:drawing>
                                <wp:inline distT="0" distB="0" distL="0" distR="0">
                                  <wp:extent cx="6858000" cy="295807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58000" cy="2958074"/>
                                          </a:xfrm>
                                          <a:prstGeom prst="rect">
                                            <a:avLst/>
                                          </a:prstGeom>
                                          <a:noFill/>
                                          <a:ln>
                                            <a:noFill/>
                                          </a:ln>
                                        </pic:spPr>
                                      </pic:pic>
                                    </a:graphicData>
                                  </a:graphic>
                                </wp:inline>
                              </w:drawing>
                            </w:r>
                          </w:p>
                          <w:p w:rsidR="004C35D8" w:rsidRPr="004C35D8" w:rsidRDefault="002E657D" w:rsidP="004C35D8">
                            <w:pPr>
                              <w:pStyle w:val="NormalWeb"/>
                              <w:spacing w:before="0" w:beforeAutospacing="0" w:after="0" w:afterAutospacing="0"/>
                              <w:jc w:val="both"/>
                              <w:rPr>
                                <w:rFonts w:ascii="Arial" w:hAnsi="Arial" w:cs="Arial"/>
                              </w:rPr>
                            </w:pPr>
                            <w:r>
                              <w:rPr>
                                <w:rFonts w:ascii="Arial" w:eastAsiaTheme="minorEastAsia" w:hAnsi="Arial" w:cs="Arial"/>
                                <w:b/>
                                <w:bCs/>
                                <w:color w:val="000000" w:themeColor="text1"/>
                                <w:kern w:val="24"/>
                              </w:rPr>
                              <w:t xml:space="preserve">Supplemental Figure </w:t>
                            </w:r>
                            <w:r>
                              <w:rPr>
                                <w:rFonts w:ascii="Arial" w:eastAsiaTheme="minorEastAsia" w:hAnsi="Arial" w:cs="Arial"/>
                                <w:b/>
                                <w:bCs/>
                                <w:color w:val="000000" w:themeColor="text1"/>
                                <w:kern w:val="24"/>
                              </w:rPr>
                              <w:t>7</w:t>
                            </w:r>
                            <w:bookmarkStart w:id="0" w:name="_GoBack"/>
                            <w:bookmarkEnd w:id="0"/>
                            <w:r w:rsidR="004C35D8">
                              <w:rPr>
                                <w:rFonts w:ascii="Arial" w:eastAsiaTheme="minorEastAsia" w:hAnsi="Arial" w:cs="Arial"/>
                                <w:b/>
                                <w:bCs/>
                                <w:color w:val="000000" w:themeColor="text1"/>
                                <w:kern w:val="24"/>
                              </w:rPr>
                              <w:t xml:space="preserve">. ABX </w:t>
                            </w:r>
                            <w:r w:rsidR="004C35D8" w:rsidRPr="004C35D8">
                              <w:rPr>
                                <w:rFonts w:ascii="Arial" w:eastAsiaTheme="minorEastAsia" w:hAnsi="Arial" w:cs="Arial"/>
                                <w:b/>
                                <w:bCs/>
                                <w:color w:val="000000" w:themeColor="text1"/>
                                <w:kern w:val="24"/>
                              </w:rPr>
                              <w:t xml:space="preserve">treatment decreases sensitivity of OV81 cells to cisplatin therapy, resulting in increased tumor growth. </w:t>
                            </w:r>
                            <w:r w:rsidR="004C35D8" w:rsidRPr="004C35D8">
                              <w:rPr>
                                <w:rFonts w:ascii="Arial" w:eastAsiaTheme="minorEastAsia" w:hAnsi="Arial" w:cs="Arial"/>
                                <w:color w:val="000000" w:themeColor="text1"/>
                                <w:kern w:val="24"/>
                              </w:rPr>
                              <w:t>Mice treated with antibiotics exhibited increased overall OV81 tumor growth in both the presence and absence of cisplatin therapy compared to the H</w:t>
                            </w:r>
                            <w:r w:rsidR="004C35D8" w:rsidRPr="00DC524C">
                              <w:rPr>
                                <w:rFonts w:ascii="Arial" w:eastAsiaTheme="minorEastAsia" w:hAnsi="Arial" w:cs="Arial"/>
                                <w:color w:val="000000" w:themeColor="text1"/>
                                <w:kern w:val="24"/>
                                <w:vertAlign w:val="subscript"/>
                              </w:rPr>
                              <w:t>2</w:t>
                            </w:r>
                            <w:r w:rsidR="004C35D8" w:rsidRPr="004C35D8">
                              <w:rPr>
                                <w:rFonts w:ascii="Arial" w:eastAsiaTheme="minorEastAsia" w:hAnsi="Arial" w:cs="Arial"/>
                                <w:color w:val="000000" w:themeColor="text1"/>
                                <w:kern w:val="24"/>
                              </w:rPr>
                              <w:t>O treated control.</w:t>
                            </w:r>
                            <w:r w:rsidR="00635888">
                              <w:rPr>
                                <w:rFonts w:ascii="Arial" w:eastAsiaTheme="minorEastAsia" w:hAnsi="Arial" w:cs="Arial"/>
                                <w:color w:val="000000" w:themeColor="text1"/>
                                <w:kern w:val="24"/>
                              </w:rPr>
                              <w:t xml:space="preserve"> ANOVA F test </w:t>
                            </w:r>
                            <w:r w:rsidR="004C35D8" w:rsidRPr="004C35D8">
                              <w:rPr>
                                <w:rFonts w:ascii="Arial" w:eastAsiaTheme="minorEastAsia" w:hAnsi="Arial" w:cs="Arial"/>
                                <w:color w:val="000000" w:themeColor="text1"/>
                                <w:kern w:val="24"/>
                              </w:rPr>
                              <w:t>***p&lt;0.001</w:t>
                            </w:r>
                          </w:p>
                          <w:p w:rsidR="001A41DD" w:rsidRDefault="001A41DD"/>
                        </w:txbxContent>
                      </wps:txbx>
                      <wps:bodyPr rot="0" vert="horz" wrap="non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3" type="#_x0000_t202" style="position:absolute;margin-left:487.45pt;margin-top:14.65pt;width:538.65pt;height:362pt;z-index:251674624;visibility:visible;mso-wrap-style:non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8kBIwIAACMEAAAOAAAAZHJzL2Uyb0RvYy54bWysU9uO2yAQfa/Uf0C8N3ZcZzex4qy22aaq&#10;tL1Iu/0AjHGMCgwCNnb69R1wkkbbt6o8IIYZDjNnzqzvRq3IQTgvwdR0PsspEYZDK82+pj+ed++W&#10;lPjATMsUGFHTo/D0bvP2zXqwlSigB9UKRxDE+GqwNe1DsFWWed4LzfwMrDDo7MBpFtB0+6x1bEB0&#10;rbIiz2+yAVxrHXDhPd4+TE66SfhdJ3j41nVeBKJqirmFtLu0N3HPNmtW7R2zveSnNNg/ZKGZNPjp&#10;BeqBBUZenPwLSkvuwEMXZhx0Bl0nuUg1YDXz/FU1Tz2zItWC5Hh7ocn/P1j+9fDdEdnWtHhfUmKY&#10;xiY9izGQDzCSIvIzWF9h2JPFwDDiNfY51ertI/CfnhjY9szsxb1zMPSCtZjfPL7Mrp5OOD6CNMMX&#10;aPEb9hIgAY2d05E8pIMgOvbpeOlNTIXj5c2yzJeLBSUcfeVidVvmqXsZq87PrfPhkwBN4qGmDpuf&#10;4Nnh0YeYDqvOIfE3D0q2O6lUMty+2SpHDgyFsksrVfAqTBky1HS1KBYJ2UB8nzSkZUAhK6lruszj&#10;mqQV6fho2hQSmFTTGTNR5sRPpGQiJ4zNmFpxe6a9gfaIhDmYdItzhoce3C9KBtRsTQ0OFSXqs0HK&#10;V/OyjBJPRrm4LdBw157m2sMMR6CaBkqm4zaksUhk2HtszU4m0mIPpzxOCaMSE5enqYlSv7ZT1J/Z&#10;3vwGAAD//wMAUEsDBBQABgAIAAAAIQDCG8Ns3gAAAAgBAAAPAAAAZHJzL2Rvd25yZXYueG1sTI/B&#10;TsMwEETvSPyDtUjcqEMjGhqyqRAICYRUqYUPcOxtEhGvg+024e9xT3Cb1axm3lSb2Q7iRD70jhFu&#10;FxkIYu1Mzy3C58fLzT2IEBUbNTgmhB8KsKkvLypVGjfxjk772IoUwqFUCF2MYyll0B1ZFRZuJE7e&#10;wXmrYjp9K41XUwq3g1xm2Upa1XNq6NRITx3pr/3RIjz3vvnWLn9dFe9rvd2Fw/S2lYjXV/PjA4hI&#10;c/x7hjN+Qoc6MTXuyCaIASENiQjLdQ7i7GZFkVSDUNzlOci6kv8H1L8AAAD//wMAUEsBAi0AFAAG&#10;AAgAAAAhALaDOJL+AAAA4QEAABMAAAAAAAAAAAAAAAAAAAAAAFtDb250ZW50X1R5cGVzXS54bWxQ&#10;SwECLQAUAAYACAAAACEAOP0h/9YAAACUAQAACwAAAAAAAAAAAAAAAAAvAQAAX3JlbHMvLnJlbHNQ&#10;SwECLQAUAAYACAAAACEAINvJASMCAAAjBAAADgAAAAAAAAAAAAAAAAAuAgAAZHJzL2Uyb0RvYy54&#10;bWxQSwECLQAUAAYACAAAACEAwhvDbN4AAAAIAQAADwAAAAAAAAAAAAAAAAB9BAAAZHJzL2Rvd25y&#10;ZXYueG1sUEsFBgAAAAAEAAQA8wAAAIgFAAAAAA==&#10;" stroked="f">
                <v:textbox style="mso-fit-shape-to-text:t">
                  <w:txbxContent>
                    <w:p w:rsidR="00635888" w:rsidRDefault="00635888" w:rsidP="004C35D8">
                      <w:pPr>
                        <w:pStyle w:val="NormalWeb"/>
                        <w:spacing w:before="0" w:beforeAutospacing="0" w:after="0" w:afterAutospacing="0"/>
                        <w:jc w:val="both"/>
                        <w:rPr>
                          <w:rFonts w:ascii="Arial" w:eastAsiaTheme="minorEastAsia" w:hAnsi="Arial" w:cs="Arial"/>
                          <w:b/>
                          <w:bCs/>
                          <w:color w:val="000000" w:themeColor="text1"/>
                          <w:kern w:val="24"/>
                        </w:rPr>
                      </w:pPr>
                      <w:r w:rsidRPr="00635888">
                        <w:rPr>
                          <w:rFonts w:eastAsiaTheme="minorEastAsia"/>
                          <w:noProof/>
                        </w:rPr>
                        <w:drawing>
                          <wp:inline distT="0" distB="0" distL="0" distR="0">
                            <wp:extent cx="6858000" cy="295807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58000" cy="2958074"/>
                                    </a:xfrm>
                                    <a:prstGeom prst="rect">
                                      <a:avLst/>
                                    </a:prstGeom>
                                    <a:noFill/>
                                    <a:ln>
                                      <a:noFill/>
                                    </a:ln>
                                  </pic:spPr>
                                </pic:pic>
                              </a:graphicData>
                            </a:graphic>
                          </wp:inline>
                        </w:drawing>
                      </w:r>
                    </w:p>
                    <w:p w:rsidR="004C35D8" w:rsidRPr="004C35D8" w:rsidRDefault="002E657D" w:rsidP="004C35D8">
                      <w:pPr>
                        <w:pStyle w:val="NormalWeb"/>
                        <w:spacing w:before="0" w:beforeAutospacing="0" w:after="0" w:afterAutospacing="0"/>
                        <w:jc w:val="both"/>
                        <w:rPr>
                          <w:rFonts w:ascii="Arial" w:hAnsi="Arial" w:cs="Arial"/>
                        </w:rPr>
                      </w:pPr>
                      <w:r>
                        <w:rPr>
                          <w:rFonts w:ascii="Arial" w:eastAsiaTheme="minorEastAsia" w:hAnsi="Arial" w:cs="Arial"/>
                          <w:b/>
                          <w:bCs/>
                          <w:color w:val="000000" w:themeColor="text1"/>
                          <w:kern w:val="24"/>
                        </w:rPr>
                        <w:t xml:space="preserve">Supplemental Figure </w:t>
                      </w:r>
                      <w:r>
                        <w:rPr>
                          <w:rFonts w:ascii="Arial" w:eastAsiaTheme="minorEastAsia" w:hAnsi="Arial" w:cs="Arial"/>
                          <w:b/>
                          <w:bCs/>
                          <w:color w:val="000000" w:themeColor="text1"/>
                          <w:kern w:val="24"/>
                        </w:rPr>
                        <w:t>7</w:t>
                      </w:r>
                      <w:bookmarkStart w:id="1" w:name="_GoBack"/>
                      <w:bookmarkEnd w:id="1"/>
                      <w:r w:rsidR="004C35D8">
                        <w:rPr>
                          <w:rFonts w:ascii="Arial" w:eastAsiaTheme="minorEastAsia" w:hAnsi="Arial" w:cs="Arial"/>
                          <w:b/>
                          <w:bCs/>
                          <w:color w:val="000000" w:themeColor="text1"/>
                          <w:kern w:val="24"/>
                        </w:rPr>
                        <w:t xml:space="preserve">. ABX </w:t>
                      </w:r>
                      <w:r w:rsidR="004C35D8" w:rsidRPr="004C35D8">
                        <w:rPr>
                          <w:rFonts w:ascii="Arial" w:eastAsiaTheme="minorEastAsia" w:hAnsi="Arial" w:cs="Arial"/>
                          <w:b/>
                          <w:bCs/>
                          <w:color w:val="000000" w:themeColor="text1"/>
                          <w:kern w:val="24"/>
                        </w:rPr>
                        <w:t xml:space="preserve">treatment decreases sensitivity of OV81 cells to cisplatin therapy, resulting in increased tumor growth. </w:t>
                      </w:r>
                      <w:r w:rsidR="004C35D8" w:rsidRPr="004C35D8">
                        <w:rPr>
                          <w:rFonts w:ascii="Arial" w:eastAsiaTheme="minorEastAsia" w:hAnsi="Arial" w:cs="Arial"/>
                          <w:color w:val="000000" w:themeColor="text1"/>
                          <w:kern w:val="24"/>
                        </w:rPr>
                        <w:t>Mice treated with antibiotics exhibited increased overall OV81 tumor growth in both the presence and absence of cisplatin therapy compared to the H</w:t>
                      </w:r>
                      <w:r w:rsidR="004C35D8" w:rsidRPr="00DC524C">
                        <w:rPr>
                          <w:rFonts w:ascii="Arial" w:eastAsiaTheme="minorEastAsia" w:hAnsi="Arial" w:cs="Arial"/>
                          <w:color w:val="000000" w:themeColor="text1"/>
                          <w:kern w:val="24"/>
                          <w:vertAlign w:val="subscript"/>
                        </w:rPr>
                        <w:t>2</w:t>
                      </w:r>
                      <w:r w:rsidR="004C35D8" w:rsidRPr="004C35D8">
                        <w:rPr>
                          <w:rFonts w:ascii="Arial" w:eastAsiaTheme="minorEastAsia" w:hAnsi="Arial" w:cs="Arial"/>
                          <w:color w:val="000000" w:themeColor="text1"/>
                          <w:kern w:val="24"/>
                        </w:rPr>
                        <w:t>O treated control.</w:t>
                      </w:r>
                      <w:r w:rsidR="00635888">
                        <w:rPr>
                          <w:rFonts w:ascii="Arial" w:eastAsiaTheme="minorEastAsia" w:hAnsi="Arial" w:cs="Arial"/>
                          <w:color w:val="000000" w:themeColor="text1"/>
                          <w:kern w:val="24"/>
                        </w:rPr>
                        <w:t xml:space="preserve"> ANOVA F test </w:t>
                      </w:r>
                      <w:r w:rsidR="004C35D8" w:rsidRPr="004C35D8">
                        <w:rPr>
                          <w:rFonts w:ascii="Arial" w:eastAsiaTheme="minorEastAsia" w:hAnsi="Arial" w:cs="Arial"/>
                          <w:color w:val="000000" w:themeColor="text1"/>
                          <w:kern w:val="24"/>
                        </w:rPr>
                        <w:t>***p&lt;0.001</w:t>
                      </w:r>
                    </w:p>
                    <w:p w:rsidR="001A41DD" w:rsidRDefault="001A41DD"/>
                  </w:txbxContent>
                </v:textbox>
                <w10:wrap type="square" anchorx="margin"/>
              </v:shape>
            </w:pict>
          </mc:Fallback>
        </mc:AlternateContent>
      </w:r>
    </w:p>
    <w:p w:rsidR="002824EE" w:rsidRDefault="002824EE" w:rsidP="002824EE"/>
    <w:p w:rsidR="001A41DD" w:rsidRDefault="001A41DD"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tabs>
          <w:tab w:val="left" w:pos="347"/>
        </w:tabs>
      </w:pPr>
      <w:r>
        <w:tab/>
      </w:r>
    </w:p>
    <w:p w:rsidR="002824EE" w:rsidRPr="002824EE" w:rsidRDefault="002824EE" w:rsidP="002824EE">
      <w:pPr>
        <w:tabs>
          <w:tab w:val="left" w:pos="347"/>
        </w:tabs>
      </w:pPr>
      <w:r>
        <w:rPr>
          <w:noProof/>
        </w:rPr>
        <w:lastRenderedPageBreak/>
        <mc:AlternateContent>
          <mc:Choice Requires="wps">
            <w:drawing>
              <wp:anchor distT="45720" distB="45720" distL="114300" distR="114300" simplePos="0" relativeHeight="251676672" behindDoc="0" locked="0" layoutInCell="1" allowOverlap="1">
                <wp:simplePos x="0" y="0"/>
                <wp:positionH relativeFrom="column">
                  <wp:posOffset>-423</wp:posOffset>
                </wp:positionH>
                <wp:positionV relativeFrom="paragraph">
                  <wp:posOffset>3818255</wp:posOffset>
                </wp:positionV>
                <wp:extent cx="6248400"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8400" cy="1404620"/>
                        </a:xfrm>
                        <a:prstGeom prst="rect">
                          <a:avLst/>
                        </a:prstGeom>
                        <a:solidFill>
                          <a:srgbClr val="FFFFFF"/>
                        </a:solidFill>
                        <a:ln w="9525">
                          <a:noFill/>
                          <a:miter lim="800000"/>
                          <a:headEnd/>
                          <a:tailEnd/>
                        </a:ln>
                      </wps:spPr>
                      <wps:txbx>
                        <w:txbxContent>
                          <w:p w:rsidR="002824EE" w:rsidRPr="002824EE" w:rsidRDefault="002824EE" w:rsidP="002824EE">
                            <w:pPr>
                              <w:rPr>
                                <w:rFonts w:ascii="Arial" w:hAnsi="Arial" w:cs="Arial"/>
                                <w:sz w:val="24"/>
                              </w:rPr>
                            </w:pPr>
                            <w:r w:rsidRPr="002824EE">
                              <w:rPr>
                                <w:rFonts w:ascii="Arial" w:hAnsi="Arial" w:cs="Arial"/>
                                <w:b/>
                                <w:bCs/>
                                <w:sz w:val="24"/>
                              </w:rPr>
                              <w:t>Supplemental Table 1. Myeloid and lymphoid antibody lists utilized for ascites analysis.</w:t>
                            </w:r>
                          </w:p>
                          <w:p w:rsidR="002824EE" w:rsidRDefault="002824E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34" type="#_x0000_t202" style="position:absolute;margin-left:-.05pt;margin-top:300.65pt;width:492pt;height:110.6pt;z-index:251676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cqIgIAACMEAAAOAAAAZHJzL2Uyb0RvYy54bWysU8GO2yAQvVfqPyDujR3LSbNWnNU221SV&#10;tttKu/0AjHGMCgwFEnv79R1wkkbbW1UOCJjhMfPeY307akWOwnkJpqbzWU6JMBxaafY1/f68e7ei&#10;xAdmWqbAiJq+CE9vN2/frAdbiQJ6UK1wBEGMrwZb0z4EW2WZ573QzM/ACoPBDpxmAbdun7WODYiu&#10;VVbk+TIbwLXWARfe4+n9FKSbhN91goevXedFIKqmWFtIs0tzE+dss2bV3jHbS34qg/1DFZpJg49e&#10;oO5ZYOTg5F9QWnIHHrow46Az6DrJReoBu5nnr7p56pkVqRckx9sLTf7/wfLH4zdHZFvTkhLDNEr0&#10;LMZAPsBIisjOYH2FSU8W08KIx6hy6tTbB+A/PDGw7ZnZizvnYOgFa7G6ebyZXV2dcHwEaYYv0OIz&#10;7BAgAY2d05E6JIMgOqr0clEmlsLxcFmUqzLHEMfYvMzLZZG0y1h1vm6dD58EaBIXNXUofYJnxwcf&#10;YjmsOqfE1zwo2e6kUmnj9s1WOXJkaJNdGqmDV2nKkKGmN4tikZANxPvJQVoGtLGSuqarPI7JWJGO&#10;j6ZNKYFJNa2xEmVO/ERKJnLC2IxJiNWZ9gbaFyTMweRa/GW46MH9omRAx9bU/zwwJyhRnw2SfjMv&#10;y2jxtCkX75Eh4q4jzXWEGY5QNQ2UTMttSN8i0WHvUJydTLRFFadKTiWjExObp18TrX69T1l//vbm&#10;NwAAAP//AwBQSwMEFAAGAAgAAAAhAIuR1/LfAAAACQEAAA8AAABkcnMvZG93bnJldi54bWxMj09L&#10;w0AUxO+C32F5grd2k5SWNM1LKRYvHgSroMdt9iUbun/C7jaN3971pMdhhpnf1PvZaDaRD4OzCPky&#10;A0a2dXKwPcLH+/OiBBaisFJoZwnhmwLsm/u7WlTS3ewbTafYs1RiQyUQVIxjxXloFRkRlm4km7zO&#10;eSNikr7n0otbKjeaF1m24UYMNi0oMdKTovZyuhqET6MGefSvX53U0/GlO6zH2Y+Ijw/zYQcs0hz/&#10;wvCLn9ChSUxnd7UyMI2wyFMQYZPlK2DJ35arLbAzQlkUa+BNzf8/aH4AAAD//wMAUEsBAi0AFAAG&#10;AAgAAAAhALaDOJL+AAAA4QEAABMAAAAAAAAAAAAAAAAAAAAAAFtDb250ZW50X1R5cGVzXS54bWxQ&#10;SwECLQAUAAYACAAAACEAOP0h/9YAAACUAQAACwAAAAAAAAAAAAAAAAAvAQAAX3JlbHMvLnJlbHNQ&#10;SwECLQAUAAYACAAAACEAd/tnKiICAAAjBAAADgAAAAAAAAAAAAAAAAAuAgAAZHJzL2Uyb0RvYy54&#10;bWxQSwECLQAUAAYACAAAACEAi5HX8t8AAAAJAQAADwAAAAAAAAAAAAAAAAB8BAAAZHJzL2Rvd25y&#10;ZXYueG1sUEsFBgAAAAAEAAQA8wAAAIgFAAAAAA==&#10;" stroked="f">
                <v:textbox style="mso-fit-shape-to-text:t">
                  <w:txbxContent>
                    <w:p w:rsidR="002824EE" w:rsidRPr="002824EE" w:rsidRDefault="002824EE" w:rsidP="002824EE">
                      <w:pPr>
                        <w:rPr>
                          <w:rFonts w:ascii="Arial" w:hAnsi="Arial" w:cs="Arial"/>
                          <w:sz w:val="24"/>
                        </w:rPr>
                      </w:pPr>
                      <w:r w:rsidRPr="002824EE">
                        <w:rPr>
                          <w:rFonts w:ascii="Arial" w:hAnsi="Arial" w:cs="Arial"/>
                          <w:b/>
                          <w:bCs/>
                          <w:sz w:val="24"/>
                        </w:rPr>
                        <w:t>Supplemental Table 1. Myeloid and lymphoid antibody lists utilized for ascites analysis.</w:t>
                      </w:r>
                    </w:p>
                    <w:p w:rsidR="002824EE" w:rsidRDefault="002824EE"/>
                  </w:txbxContent>
                </v:textbox>
                <w10:wrap type="square"/>
              </v:shape>
            </w:pict>
          </mc:Fallback>
        </mc:AlternateContent>
      </w:r>
      <w:r>
        <w:rPr>
          <w:noProof/>
        </w:rPr>
        <w:drawing>
          <wp:inline distT="0" distB="0" distL="0" distR="0" wp14:anchorId="60222D26">
            <wp:extent cx="2843054"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54309" cy="3672079"/>
                    </a:xfrm>
                    <a:prstGeom prst="rect">
                      <a:avLst/>
                    </a:prstGeom>
                    <a:noFill/>
                  </pic:spPr>
                </pic:pic>
              </a:graphicData>
            </a:graphic>
          </wp:inline>
        </w:drawing>
      </w:r>
    </w:p>
    <w:sectPr w:rsidR="002824EE" w:rsidRPr="002824EE" w:rsidSect="0091029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296"/>
    <w:rsid w:val="001A41DD"/>
    <w:rsid w:val="002824EE"/>
    <w:rsid w:val="002A4031"/>
    <w:rsid w:val="002E657D"/>
    <w:rsid w:val="004C35D8"/>
    <w:rsid w:val="00635888"/>
    <w:rsid w:val="00905568"/>
    <w:rsid w:val="00910296"/>
    <w:rsid w:val="00B13299"/>
    <w:rsid w:val="00C04EFB"/>
    <w:rsid w:val="00D13FE1"/>
    <w:rsid w:val="00DC524C"/>
    <w:rsid w:val="00F425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5EA3C8-0484-4D8D-837D-F598DD144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029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C52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52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715187">
      <w:bodyDiv w:val="1"/>
      <w:marLeft w:val="0"/>
      <w:marRight w:val="0"/>
      <w:marTop w:val="0"/>
      <w:marBottom w:val="0"/>
      <w:divBdr>
        <w:top w:val="none" w:sz="0" w:space="0" w:color="auto"/>
        <w:left w:val="none" w:sz="0" w:space="0" w:color="auto"/>
        <w:bottom w:val="none" w:sz="0" w:space="0" w:color="auto"/>
        <w:right w:val="none" w:sz="0" w:space="0" w:color="auto"/>
      </w:divBdr>
    </w:div>
    <w:div w:id="60521810">
      <w:bodyDiv w:val="1"/>
      <w:marLeft w:val="0"/>
      <w:marRight w:val="0"/>
      <w:marTop w:val="0"/>
      <w:marBottom w:val="0"/>
      <w:divBdr>
        <w:top w:val="none" w:sz="0" w:space="0" w:color="auto"/>
        <w:left w:val="none" w:sz="0" w:space="0" w:color="auto"/>
        <w:bottom w:val="none" w:sz="0" w:space="0" w:color="auto"/>
        <w:right w:val="none" w:sz="0" w:space="0" w:color="auto"/>
      </w:divBdr>
    </w:div>
    <w:div w:id="555900677">
      <w:bodyDiv w:val="1"/>
      <w:marLeft w:val="0"/>
      <w:marRight w:val="0"/>
      <w:marTop w:val="0"/>
      <w:marBottom w:val="0"/>
      <w:divBdr>
        <w:top w:val="none" w:sz="0" w:space="0" w:color="auto"/>
        <w:left w:val="none" w:sz="0" w:space="0" w:color="auto"/>
        <w:bottom w:val="none" w:sz="0" w:space="0" w:color="auto"/>
        <w:right w:val="none" w:sz="0" w:space="0" w:color="auto"/>
      </w:divBdr>
    </w:div>
    <w:div w:id="835148394">
      <w:bodyDiv w:val="1"/>
      <w:marLeft w:val="0"/>
      <w:marRight w:val="0"/>
      <w:marTop w:val="0"/>
      <w:marBottom w:val="0"/>
      <w:divBdr>
        <w:top w:val="none" w:sz="0" w:space="0" w:color="auto"/>
        <w:left w:val="none" w:sz="0" w:space="0" w:color="auto"/>
        <w:bottom w:val="none" w:sz="0" w:space="0" w:color="auto"/>
        <w:right w:val="none" w:sz="0" w:space="0" w:color="auto"/>
      </w:divBdr>
    </w:div>
    <w:div w:id="913512231">
      <w:bodyDiv w:val="1"/>
      <w:marLeft w:val="0"/>
      <w:marRight w:val="0"/>
      <w:marTop w:val="0"/>
      <w:marBottom w:val="0"/>
      <w:divBdr>
        <w:top w:val="none" w:sz="0" w:space="0" w:color="auto"/>
        <w:left w:val="none" w:sz="0" w:space="0" w:color="auto"/>
        <w:bottom w:val="none" w:sz="0" w:space="0" w:color="auto"/>
        <w:right w:val="none" w:sz="0" w:space="0" w:color="auto"/>
      </w:divBdr>
    </w:div>
    <w:div w:id="1023094410">
      <w:bodyDiv w:val="1"/>
      <w:marLeft w:val="0"/>
      <w:marRight w:val="0"/>
      <w:marTop w:val="0"/>
      <w:marBottom w:val="0"/>
      <w:divBdr>
        <w:top w:val="none" w:sz="0" w:space="0" w:color="auto"/>
        <w:left w:val="none" w:sz="0" w:space="0" w:color="auto"/>
        <w:bottom w:val="none" w:sz="0" w:space="0" w:color="auto"/>
        <w:right w:val="none" w:sz="0" w:space="0" w:color="auto"/>
      </w:divBdr>
    </w:div>
    <w:div w:id="1339887804">
      <w:bodyDiv w:val="1"/>
      <w:marLeft w:val="0"/>
      <w:marRight w:val="0"/>
      <w:marTop w:val="0"/>
      <w:marBottom w:val="0"/>
      <w:divBdr>
        <w:top w:val="none" w:sz="0" w:space="0" w:color="auto"/>
        <w:left w:val="none" w:sz="0" w:space="0" w:color="auto"/>
        <w:bottom w:val="none" w:sz="0" w:space="0" w:color="auto"/>
        <w:right w:val="none" w:sz="0" w:space="0" w:color="auto"/>
      </w:divBdr>
    </w:div>
    <w:div w:id="1414426609">
      <w:bodyDiv w:val="1"/>
      <w:marLeft w:val="0"/>
      <w:marRight w:val="0"/>
      <w:marTop w:val="0"/>
      <w:marBottom w:val="0"/>
      <w:divBdr>
        <w:top w:val="none" w:sz="0" w:space="0" w:color="auto"/>
        <w:left w:val="none" w:sz="0" w:space="0" w:color="auto"/>
        <w:bottom w:val="none" w:sz="0" w:space="0" w:color="auto"/>
        <w:right w:val="none" w:sz="0" w:space="0" w:color="auto"/>
      </w:divBdr>
    </w:div>
    <w:div w:id="1782987651">
      <w:bodyDiv w:val="1"/>
      <w:marLeft w:val="0"/>
      <w:marRight w:val="0"/>
      <w:marTop w:val="0"/>
      <w:marBottom w:val="0"/>
      <w:divBdr>
        <w:top w:val="none" w:sz="0" w:space="0" w:color="auto"/>
        <w:left w:val="none" w:sz="0" w:space="0" w:color="auto"/>
        <w:bottom w:val="none" w:sz="0" w:space="0" w:color="auto"/>
        <w:right w:val="none" w:sz="0" w:space="0" w:color="auto"/>
      </w:divBdr>
    </w:div>
    <w:div w:id="1952278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0.emf"/><Relationship Id="rId13" Type="http://schemas.openxmlformats.org/officeDocument/2006/relationships/image" Target="media/image7.emf"/><Relationship Id="rId3" Type="http://schemas.openxmlformats.org/officeDocument/2006/relationships/webSettings" Target="webSettings.xml"/><Relationship Id="rId7" Type="http://schemas.openxmlformats.org/officeDocument/2006/relationships/image" Target="media/image3.emf"/><Relationship Id="rId12" Type="http://schemas.openxmlformats.org/officeDocument/2006/relationships/image" Target="media/image60.e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6.emf"/><Relationship Id="rId5" Type="http://schemas.openxmlformats.org/officeDocument/2006/relationships/image" Target="media/image10.png"/><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image" Target="media/image1.png"/><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18</Words>
  <Characters>103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Esakov, Emily</dc:creator>
  <cp:keywords/>
  <dc:description/>
  <cp:lastModifiedBy>Esakov, Emily</cp:lastModifiedBy>
  <cp:revision>2</cp:revision>
  <cp:lastPrinted>2020-06-15T19:38:00Z</cp:lastPrinted>
  <dcterms:created xsi:type="dcterms:W3CDTF">2020-07-10T12:16:00Z</dcterms:created>
  <dcterms:modified xsi:type="dcterms:W3CDTF">2020-07-10T12:16:00Z</dcterms:modified>
</cp:coreProperties>
</file>