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宋体" w:cs="Times New Roman"/>
          <w:b/>
          <w:bCs/>
          <w:sz w:val="22"/>
          <w:szCs w:val="22"/>
        </w:rPr>
      </w:pPr>
      <w:r>
        <w:rPr>
          <w:rFonts w:hint="eastAsia" w:ascii="Times New Roman" w:hAnsi="Times New Roman" w:eastAsia="宋体" w:cs="Times New Roman"/>
          <w:b/>
          <w:bCs/>
          <w:color w:val="0000FF"/>
          <w:sz w:val="24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color w:val="0000FF"/>
          <w:sz w:val="24"/>
          <w:lang w:val="en-US" w:eastAsia="zh-CN"/>
        </w:rPr>
        <w:t>S</w:t>
      </w:r>
      <w:r>
        <w:rPr>
          <w:rFonts w:hint="eastAsia" w:ascii="Times New Roman" w:hAnsi="Times New Roman" w:eastAsia="宋体" w:cs="Times New Roman"/>
          <w:b/>
          <w:bCs/>
          <w:color w:val="0000FF"/>
          <w:sz w:val="24"/>
        </w:rPr>
        <w:t xml:space="preserve">4 </w:t>
      </w:r>
      <w:r>
        <w:rPr>
          <w:rFonts w:ascii="Times New Roman" w:hAnsi="Times New Roman" w:eastAsia="宋体" w:cs="Times New Roman"/>
          <w:b w:val="0"/>
          <w:bCs w:val="0"/>
          <w:color w:val="auto"/>
          <w:sz w:val="22"/>
          <w:szCs w:val="22"/>
          <w:highlight w:val="none"/>
        </w:rPr>
        <w:t>Comparison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2"/>
          <w:szCs w:val="22"/>
          <w:highlight w:val="none"/>
        </w:rPr>
        <w:t xml:space="preserve"> of the ICSI o</w:t>
      </w:r>
      <w:bookmarkStart w:id="1" w:name="_GoBack"/>
      <w:r>
        <w:rPr>
          <w:rFonts w:hint="eastAsia" w:ascii="Times New Roman" w:hAnsi="Times New Roman" w:eastAsia="宋体" w:cs="Times New Roman"/>
          <w:b w:val="0"/>
          <w:bCs w:val="0"/>
          <w:color w:val="auto"/>
          <w:sz w:val="22"/>
          <w:szCs w:val="22"/>
          <w:highlight w:val="none"/>
        </w:rPr>
        <w:t>utcomes of PP set of NOA patients with different</w:t>
      </w:r>
      <w:r>
        <w:rPr>
          <w:rFonts w:hint="eastAsia" w:ascii="Times New Roman" w:hAnsi="Times New Roman" w:eastAsia="宋体" w:cs="Times New Roman"/>
          <w:b w:val="0"/>
          <w:bCs w:val="0"/>
          <w:sz w:val="22"/>
          <w:szCs w:val="22"/>
        </w:rPr>
        <w:t xml:space="preserve"> sperm quantity</w:t>
      </w:r>
      <w:bookmarkEnd w:id="1"/>
    </w:p>
    <w:tbl>
      <w:tblPr>
        <w:tblStyle w:val="5"/>
        <w:tblW w:w="9618" w:type="dxa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0"/>
        <w:gridCol w:w="2349"/>
        <w:gridCol w:w="2018"/>
        <w:gridCol w:w="1051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20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</w:tcBorders>
            <w:vAlign w:val="center"/>
          </w:tcPr>
          <w:p>
            <w:pPr>
              <w:spacing w:before="0" w:after="0"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349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</w:tcBorders>
            <w:vAlign w:val="center"/>
          </w:tcPr>
          <w:p>
            <w:pPr>
              <w:spacing w:before="0" w:after="0"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Lower sperm count</w:t>
            </w:r>
          </w:p>
          <w:p>
            <w:pPr>
              <w:spacing w:before="0" w:after="0"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  <w:t>(n =64)</w:t>
            </w:r>
          </w:p>
        </w:tc>
        <w:tc>
          <w:tcPr>
            <w:tcW w:w="2018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</w:tcBorders>
            <w:vAlign w:val="center"/>
          </w:tcPr>
          <w:p>
            <w:pPr>
              <w:spacing w:before="0" w:after="0"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Higher sperm count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  <w:t>( n =235)</w:t>
            </w:r>
          </w:p>
        </w:tc>
        <w:tc>
          <w:tcPr>
            <w:tcW w:w="1051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</w:tcBorders>
            <w:vAlign w:val="center"/>
          </w:tcPr>
          <w:p>
            <w:pPr>
              <w:spacing w:before="0" w:after="0"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/>
                <w:color w:val="auto"/>
                <w:kern w:val="0"/>
                <w:sz w:val="21"/>
                <w:szCs w:val="21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  <w:t>-value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4200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Male’s age (y)</w:t>
            </w:r>
          </w:p>
        </w:tc>
        <w:tc>
          <w:tcPr>
            <w:tcW w:w="2349" w:type="dxa"/>
            <w:tcBorders>
              <w:top w:val="single" w:color="000000" w:sz="8" w:space="0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31.11±4.56</w:t>
            </w:r>
          </w:p>
        </w:tc>
        <w:tc>
          <w:tcPr>
            <w:tcW w:w="2018" w:type="dxa"/>
            <w:tcBorders>
              <w:top w:val="single" w:color="000000" w:sz="8" w:space="0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31.63±4.83</w:t>
            </w:r>
          </w:p>
        </w:tc>
        <w:tc>
          <w:tcPr>
            <w:tcW w:w="1051" w:type="dxa"/>
            <w:tcBorders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0.444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200" w:type="dxa"/>
            <w:tcBorders>
              <w:top w:val="nil"/>
            </w:tcBorders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Female’s age (y)</w:t>
            </w:r>
          </w:p>
        </w:tc>
        <w:tc>
          <w:tcPr>
            <w:tcW w:w="2349" w:type="dxa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28.97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±4.30</w:t>
            </w:r>
          </w:p>
        </w:tc>
        <w:tc>
          <w:tcPr>
            <w:tcW w:w="2018" w:type="dxa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29.14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±3.99</w:t>
            </w:r>
          </w:p>
        </w:tc>
        <w:tc>
          <w:tcPr>
            <w:tcW w:w="1051" w:type="dxa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0.770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200" w:type="dxa"/>
            <w:tcBorders>
              <w:top w:val="nil"/>
            </w:tcBorders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Male’s FSH (IU/L)</w:t>
            </w:r>
          </w:p>
        </w:tc>
        <w:tc>
          <w:tcPr>
            <w:tcW w:w="2349" w:type="dxa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21.89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±12.62</w:t>
            </w:r>
          </w:p>
        </w:tc>
        <w:tc>
          <w:tcPr>
            <w:tcW w:w="2018" w:type="dxa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18.75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±10.29</w:t>
            </w:r>
          </w:p>
        </w:tc>
        <w:tc>
          <w:tcPr>
            <w:tcW w:w="1051" w:type="dxa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0.041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200" w:type="dxa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No. of MII oocytes for ICSI</w:t>
            </w:r>
          </w:p>
        </w:tc>
        <w:tc>
          <w:tcPr>
            <w:tcW w:w="234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15.09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±6.76</w:t>
            </w:r>
          </w:p>
        </w:tc>
        <w:tc>
          <w:tcPr>
            <w:tcW w:w="20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14.19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±7.37</w:t>
            </w:r>
          </w:p>
        </w:tc>
        <w:tc>
          <w:tcPr>
            <w:tcW w:w="105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0.376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200" w:type="dxa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 xml:space="preserve">No. of available embryos on day3 </w:t>
            </w:r>
          </w:p>
        </w:tc>
        <w:tc>
          <w:tcPr>
            <w:tcW w:w="234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2.14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±1.92</w:t>
            </w:r>
          </w:p>
        </w:tc>
        <w:tc>
          <w:tcPr>
            <w:tcW w:w="20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3.37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±2.94</w:t>
            </w:r>
          </w:p>
        </w:tc>
        <w:tc>
          <w:tcPr>
            <w:tcW w:w="105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0.002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200" w:type="dxa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 xml:space="preserve">No. of high-score embryos on day 3 </w:t>
            </w:r>
          </w:p>
        </w:tc>
        <w:tc>
          <w:tcPr>
            <w:tcW w:w="234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0.58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±0.87</w:t>
            </w:r>
          </w:p>
        </w:tc>
        <w:tc>
          <w:tcPr>
            <w:tcW w:w="20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0.94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±1.19</w:t>
            </w:r>
          </w:p>
        </w:tc>
        <w:tc>
          <w:tcPr>
            <w:tcW w:w="105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0.025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Day 3 utilization rate of MII eggs for ICSI %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9.67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±5.05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11.31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±8.58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0.145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Rate of high-score embryo on day 3 %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9.5(37/390)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13.5(220/1625)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0.031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200" w:type="dxa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No. of partial oocytes freezing cycles/ OPU cycles (%)</w:t>
            </w:r>
          </w:p>
        </w:tc>
        <w:tc>
          <w:tcPr>
            <w:tcW w:w="234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23.4(15/64)</w:t>
            </w:r>
          </w:p>
        </w:tc>
        <w:tc>
          <w:tcPr>
            <w:tcW w:w="201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11.9(28/235)</w:t>
            </w:r>
          </w:p>
        </w:tc>
        <w:tc>
          <w:tcPr>
            <w:tcW w:w="105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0.020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No. of patients without available embryos / ICSI cycles (%)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25.0(16/64)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8.1(19/235)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0.000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Pregnancy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1"/>
                <w:szCs w:val="21"/>
              </w:rPr>
              <w:t xml:space="preserve">No. of patients with clinical pregnancy/undergoing ICSI cycles with available embryos (%) 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39.6 (19/48)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60.6 (131/216)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0.008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1"/>
                <w:szCs w:val="21"/>
              </w:rPr>
              <w:t>No. of patients with clinical pregnancy/undergoing ICSI cycles (%)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29.7 (19/64)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55.7 (131/235)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0.000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1"/>
                <w:szCs w:val="21"/>
              </w:rPr>
              <w:t>No. of patients with clinical pregnancy/successful sperm retrieval (%)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19.0 (24/126)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52.9 (162/306)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0.000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Live birth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1"/>
                <w:szCs w:val="21"/>
              </w:rPr>
              <w:t>No. live birth/clinical pregnancy (%)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94.7 (18/19)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93.1 (122/131)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0.793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1"/>
                <w:szCs w:val="21"/>
              </w:rPr>
              <w:t xml:space="preserve">  Singleton (%)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100.0 (18/18)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85.2 (104/122)</w:t>
            </w:r>
          </w:p>
        </w:tc>
        <w:tc>
          <w:tcPr>
            <w:tcW w:w="105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0.081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1"/>
                <w:szCs w:val="21"/>
              </w:rPr>
              <w:t xml:space="preserve">  Twins (%)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0 (0/18)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14.8 (18/122)</w:t>
            </w:r>
          </w:p>
        </w:tc>
        <w:tc>
          <w:tcPr>
            <w:tcW w:w="105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0"/>
                <w:sz w:val="21"/>
                <w:szCs w:val="21"/>
              </w:rPr>
              <w:t>No. live birth/undergoing ICSI cycles with available embryos (%)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37.5 (18/48)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56.5 (122/216)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0.017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olor w:val="000000"/>
                <w:kern w:val="0"/>
                <w:sz w:val="21"/>
                <w:szCs w:val="21"/>
              </w:rPr>
              <w:t>No. live birth/undergoing ICSI cycles (%)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28.1 (18/64)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51.9 (122/235)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0.001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olor w:val="000000"/>
                <w:kern w:val="0"/>
                <w:sz w:val="21"/>
                <w:szCs w:val="21"/>
              </w:rPr>
              <w:t>No. live birth/successful sperm retrieval (%)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17.5 (22/126)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kern w:val="0"/>
                <w:sz w:val="21"/>
                <w:szCs w:val="21"/>
              </w:rPr>
              <w:t>48.7 (149/306)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0.000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No. premature infants/live birth (%)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5.6 (1/18)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22.1 (27/122)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0.101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No. cesarean delivery/live birth (%)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22.2 (4/18)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32.8 (40/122)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0.367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No. birth defects/live birth (%)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5.6 (1/18)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0.8 (1/122)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0.114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 xml:space="preserve">Gender 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/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/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0.974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ind w:firstLine="210" w:firstLineChars="100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Male (%)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38.9(7/18)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39.3(55/140)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ind w:firstLine="210" w:firstLineChars="100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Female (%)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61.1(11/18)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60.7(85/140)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ind w:firstLine="105" w:firstLineChars="50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>Birth weight (g)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/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/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 xml:space="preserve">  Singleton (n =122)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3073.33±461.11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3191.63±411.33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0.271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 xml:space="preserve">  Twins (n =18, 36 babies)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0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2327.50±324.95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 xml:space="preserve"> Height (cm)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/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/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 xml:space="preserve">  Singleton (n =122)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48.94</w:t>
            </w:r>
            <w:bookmarkStart w:id="0" w:name="OLE_LINK2"/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±</w:t>
            </w:r>
            <w:bookmarkEnd w:id="0"/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2.82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49.79±2.10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0.139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4200" w:type="dxa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0"/>
                <w:sz w:val="21"/>
                <w:szCs w:val="21"/>
              </w:rPr>
              <w:t xml:space="preserve">  Twins (n =18, 36 babies)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0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45.19±3.32</w:t>
            </w:r>
          </w:p>
        </w:tc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/</w:t>
            </w:r>
          </w:p>
        </w:tc>
      </w:tr>
    </w:tbl>
    <w:p>
      <w:pPr>
        <w:spacing w:line="240" w:lineRule="auto"/>
        <w:ind w:left="-619" w:leftChars="-295" w:firstLine="0" w:firstLineChars="0"/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vertAlign w:val="superscript"/>
        </w:rPr>
        <w:t>1</w:t>
      </w:r>
      <w:r>
        <w:rPr>
          <w:rFonts w:hint="eastAsia" w:ascii="Times New Roman" w:hAnsi="Times New Roman" w:cs="Times New Roman"/>
        </w:rPr>
        <w:t xml:space="preserve"> and </w:t>
      </w:r>
      <w:r>
        <w:rPr>
          <w:rFonts w:hint="eastAsia" w:ascii="Times New Roman" w:hAnsi="Times New Roman" w:cs="Times New Roman"/>
          <w:vertAlign w:val="superscript"/>
        </w:rPr>
        <w:t>2</w:t>
      </w:r>
      <w:r>
        <w:rPr>
          <w:rFonts w:hint="eastAsia" w:ascii="Times New Roman" w:hAnsi="Times New Roman" w:cs="Times New Roman"/>
        </w:rPr>
        <w:t xml:space="preserve">, </w:t>
      </w:r>
      <w:r>
        <w:rPr>
          <w:rFonts w:hint="eastAsia" w:ascii="Times New Roman" w:hAnsi="Times New Roman"/>
          <w:szCs w:val="21"/>
        </w:rPr>
        <w:t xml:space="preserve">the </w:t>
      </w:r>
      <w:r>
        <w:rPr>
          <w:rFonts w:ascii="Times New Roman" w:hAnsi="Times New Roman"/>
          <w:szCs w:val="21"/>
        </w:rPr>
        <w:t>definitions see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T</w:t>
      </w:r>
      <w:r>
        <w:rPr>
          <w:rFonts w:hint="eastAsia" w:ascii="Times New Roman" w:hAnsi="Times New Roman"/>
          <w:szCs w:val="21"/>
        </w:rPr>
        <w:t>able 1.</w:t>
      </w:r>
    </w:p>
    <w:p>
      <w:pPr>
        <w:spacing w:line="240" w:lineRule="auto"/>
        <w:ind w:left="-619" w:leftChars="-295" w:firstLine="0" w:firstLineChars="0"/>
        <w:jc w:val="both"/>
      </w:pPr>
      <w:r>
        <w:rPr>
          <w:rFonts w:hint="eastAsia" w:ascii="Times New Roman" w:hAnsi="Times New Roman" w:cs="Times New Roman"/>
          <w:vertAlign w:val="superscript"/>
        </w:rPr>
        <w:t>*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>Significantly different</w:t>
      </w:r>
      <w:r>
        <w:rPr>
          <w:rFonts w:hint="eastAsia" w:ascii="Times New Roman" w:hAnsi="Times New Roman" w:cs="Times New Roman"/>
        </w:rPr>
        <w:t>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312D4F"/>
    <w:rsid w:val="00EB10F4"/>
    <w:rsid w:val="00EC1F7A"/>
    <w:rsid w:val="00F40A96"/>
    <w:rsid w:val="00FC78C0"/>
    <w:rsid w:val="3DBC7052"/>
    <w:rsid w:val="54BF4527"/>
    <w:rsid w:val="5ABB7C26"/>
    <w:rsid w:val="70FD0C6C"/>
    <w:rsid w:val="7A312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Light Shading"/>
    <w:qFormat/>
    <w:uiPriority w:val="60"/>
    <w:rPr>
      <w:rFonts w:ascii="Times New Roman" w:hAnsi="Times New Roman" w:eastAsia="宋体" w:cs="Times New Roman"/>
      <w:color w:val="000000"/>
    </w:rPr>
    <w:tblPr>
      <w:tblBorders>
        <w:top w:val="single" w:color="000000" w:sz="8" w:space="0"/>
        <w:bottom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/>
      </w:tcPr>
    </w:tblStyle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369</Words>
  <Characters>1855</Characters>
  <Lines>15</Lines>
  <Paragraphs>4</Paragraphs>
  <TotalTime>4</TotalTime>
  <ScaleCrop>false</ScaleCrop>
  <LinksUpToDate>false</LinksUpToDate>
  <CharactersWithSpaces>2220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2021-04-05T16:08:00Z</dcterms:created>
  <dc:creator>An</dc:creator>
  <cp:lastModifiedBy>安庚</cp:lastModifiedBy>
  <dcterms:modified xsi:type="dcterms:W3CDTF">2021-08-05T15:52:52Z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162569BE22B64181B7A4D8AB13E2ABAC</vt:lpwstr>
  </property>
</Properties>
</file>