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43183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164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Appendix A: Mathematical Notes</w:t>
      </w:r>
    </w:p>
    <w:p w14:paraId="4BAC6188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F266A4F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For the Φ-scaled oscillator hierarchy, numerical integration confirmed convergence to attractor states with phase-locked ratios matching the Fibonacci progression {1, 1, 2, 3, 5, 8, 13}. These values correspond to harmonic plateaus within the seven-band hierarchy, suggesting a deep structural resonance between golden-ratio scaling and neural stability domains.</w:t>
      </w:r>
    </w:p>
    <w:p w14:paraId="6FC9329C" w14:textId="77777777" w:rsidR="00E055DB" w:rsidRPr="00516449" w:rsidRDefault="00E055DB" w:rsidP="00E055DB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16449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13B603E3" wp14:editId="48BFCABF">
                <wp:extent cx="5274310" cy="1270"/>
                <wp:effectExtent l="0" t="31750" r="0" b="36830"/>
                <wp:docPr id="672896008" name="مستطيل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61B074" id="مستطيل 4" o:spid="_x0000_s1026" style="width:415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" filled="f">
                <o:lock v:ext="edit" aspectratio="t"/>
                <w10:anchorlock/>
              </v:rect>
            </w:pict>
          </mc:Fallback>
        </mc:AlternateContent>
      </w:r>
    </w:p>
    <w:p w14:paraId="14A789AE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164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Appendix B: Experimental Implementation Outline</w:t>
      </w:r>
    </w:p>
    <w:p w14:paraId="7A598730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57A4385E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Hardware:</w:t>
      </w:r>
    </w:p>
    <w:p w14:paraId="521358C5" w14:textId="77777777" w:rsidR="00E055DB" w:rsidRPr="00516449" w:rsidRDefault="00E055DB" w:rsidP="00E055DB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EEG: 256-channel HydroCel system (Electrical Geodesics Inc.)</w:t>
      </w:r>
    </w:p>
    <w:p w14:paraId="4B41699D" w14:textId="77777777" w:rsidR="00E055DB" w:rsidRPr="00516449" w:rsidRDefault="00E055DB" w:rsidP="00E055DB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MEG: Elekta Neuromag TRIUX system (sampling 2 kHz)</w:t>
      </w:r>
    </w:p>
    <w:p w14:paraId="277D8307" w14:textId="77777777" w:rsidR="00E055DB" w:rsidRPr="00516449" w:rsidRDefault="00E055DB" w:rsidP="00E055DB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tACS/tRNS stimulator with programmable Φ-scaled frequencies.</w:t>
      </w:r>
    </w:p>
    <w:p w14:paraId="151878F7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66E551E7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Software:</w:t>
      </w:r>
    </w:p>
    <w:p w14:paraId="0683F146" w14:textId="77777777" w:rsidR="00E055DB" w:rsidRPr="00516449" w:rsidRDefault="00E055DB" w:rsidP="00E055DB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MATLAB (Simulink), Python (MNE, NumPy, SciPy).</w:t>
      </w:r>
    </w:p>
    <w:p w14:paraId="0ECBC28E" w14:textId="77777777" w:rsidR="00E055DB" w:rsidRPr="00516449" w:rsidRDefault="00E055DB" w:rsidP="00E055DB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Custom PAC computation scripts implementing debiased Modulation Index and surrogate randomization.</w:t>
      </w:r>
    </w:p>
    <w:p w14:paraId="39F376F0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C269540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Procedure:</w:t>
      </w:r>
    </w:p>
    <w:p w14:paraId="7F389DB3" w14:textId="77777777" w:rsidR="00E055DB" w:rsidRPr="00516449" w:rsidRDefault="00E055DB" w:rsidP="00E055DB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Cognitive tasks performed under rest, attention, and motor control conditions.</w:t>
      </w:r>
    </w:p>
    <w:p w14:paraId="3A06D9FC" w14:textId="77777777" w:rsidR="00E055DB" w:rsidRPr="00516449" w:rsidRDefault="00E055DB" w:rsidP="00E055DB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Frequency–amplitude coupling matrices computed per subject, followed by group-level cluster analysis to test Φ-hierarchy consistency.</w:t>
      </w:r>
    </w:p>
    <w:p w14:paraId="33E55910" w14:textId="77777777" w:rsidR="00E055DB" w:rsidRPr="00516449" w:rsidRDefault="00E055DB" w:rsidP="00E055DB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16449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00D1CC78" wp14:editId="0B9DCB39">
                <wp:extent cx="5274310" cy="1270"/>
                <wp:effectExtent l="0" t="31750" r="0" b="36830"/>
                <wp:docPr id="1254363618" name="مستطيل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47CE42" id="مستطيل 3" o:spid="_x0000_s1026" style="width:415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" filled="f">
                <o:lock v:ext="edit" aspectratio="t"/>
                <w10:anchorlock/>
              </v:rect>
            </w:pict>
          </mc:Fallback>
        </mc:AlternateContent>
      </w:r>
    </w:p>
    <w:p w14:paraId="00967D5A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51644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Appendix C: Theoretical Implications for AI</w:t>
      </w:r>
    </w:p>
    <w:p w14:paraId="2853A490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BDCEB00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Neuro-inspired artificial networks based on the A7-HBM–ΩΦ principle may use oscillator arrays organized according to Φ-scaled frequency tiers. Such architectures can provide:</w:t>
      </w:r>
    </w:p>
    <w:p w14:paraId="5530374D" w14:textId="77777777" w:rsidR="00E055DB" w:rsidRPr="00516449" w:rsidRDefault="00E055DB" w:rsidP="00E055DB">
      <w:pPr>
        <w:numPr>
          <w:ilvl w:val="0"/>
          <w:numId w:val="4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Hierarchical integration of sensory-to-cognitive information streams.</w:t>
      </w:r>
    </w:p>
    <w:p w14:paraId="35C6746E" w14:textId="77777777" w:rsidR="00E055DB" w:rsidRPr="00516449" w:rsidRDefault="00E055DB" w:rsidP="00E055DB">
      <w:pPr>
        <w:numPr>
          <w:ilvl w:val="0"/>
          <w:numId w:val="4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Dynamic stability via negative Lyapunov exponents and PAC coherence.</w:t>
      </w:r>
    </w:p>
    <w:p w14:paraId="196D6DE4" w14:textId="77777777" w:rsidR="00E055DB" w:rsidRPr="00516449" w:rsidRDefault="00E055DB" w:rsidP="00E055DB">
      <w:pPr>
        <w:numPr>
          <w:ilvl w:val="0"/>
          <w:numId w:val="4"/>
        </w:num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lastRenderedPageBreak/>
        <w:t>Energy-efficient computation through near-critical synchronization.</w:t>
      </w:r>
    </w:p>
    <w:p w14:paraId="161D73B6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2ECC338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These findings could inform the design of neuromorphic hardware capable of Φ-resonant communication and adaptive hierarchical control.</w:t>
      </w:r>
    </w:p>
    <w:p w14:paraId="5009F45D" w14:textId="77777777" w:rsidR="00E055DB" w:rsidRPr="00516449" w:rsidRDefault="00E055DB" w:rsidP="00E055DB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16449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3F8A02F4" wp14:editId="2CA0274A">
                <wp:extent cx="5274310" cy="1270"/>
                <wp:effectExtent l="0" t="31750" r="0" b="36830"/>
                <wp:docPr id="886827123" name="مستطيل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146501" id="مستطيل 2" o:spid="_x0000_s1026" style="width:415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" filled="f">
                <o:lock v:ext="edit" aspectratio="t"/>
                <w10:anchorlock/>
              </v:rect>
            </w:pict>
          </mc:Fallback>
        </mc:AlternateContent>
      </w:r>
    </w:p>
    <w:p w14:paraId="28F07665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51644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General Conclusion</w:t>
      </w:r>
    </w:p>
    <w:p w14:paraId="2BFACCAC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4F8A9D01" w14:textId="77777777" w:rsidR="00E055DB" w:rsidRPr="00516449" w:rsidRDefault="00E055DB" w:rsidP="00E055DB">
      <w:pPr>
        <w:bidi w:val="0"/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516449">
        <w:rPr>
          <w:rFonts w:ascii="Times New Roman" w:hAnsi="Times New Roman" w:cs="Times New Roman"/>
          <w:kern w:val="0"/>
          <w14:ligatures w14:val="none"/>
        </w:rPr>
        <w:t>The A7-HBM–ΩΦ model establishes a unified mathematical and neurogeometric framework describing how cognition emerges from hierarchically synchronized oscillatory networks. By coupling nonlinear dynamics, geometry, and experimental neuroscience, it proposes that the golden ratio represents a universal organizing principle of neural and cognitive architecture. Theoretical predictions regarding Φ-consistent phase–amplitude coupling are experimentally verifiable using EEG and MEG, laying the foundation for future advances in both theoretical neuroscience and neuro-inspired artificial intelligence.</w:t>
      </w:r>
    </w:p>
    <w:p w14:paraId="75703577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E041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E20D0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0A4DD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8757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6029088">
    <w:abstractNumId w:val="1"/>
  </w:num>
  <w:num w:numId="2" w16cid:durableId="1899783617">
    <w:abstractNumId w:val="2"/>
  </w:num>
  <w:num w:numId="3" w16cid:durableId="209804177">
    <w:abstractNumId w:val="3"/>
  </w:num>
  <w:num w:numId="4" w16cid:durableId="56756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5DB"/>
    <w:rsid w:val="005C0D39"/>
    <w:rsid w:val="0070406C"/>
    <w:rsid w:val="00724754"/>
    <w:rsid w:val="00C321FA"/>
    <w:rsid w:val="00CF16A5"/>
    <w:rsid w:val="00E055DB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BCDA1"/>
  <w15:chartTrackingRefBased/>
  <w15:docId w15:val="{51C3E7F7-57C6-41C8-8747-7B6A8E743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5DB"/>
    <w:pPr>
      <w:bidi/>
    </w:pPr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55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55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55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55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55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55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55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55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55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55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55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55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55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55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55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55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55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55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55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5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55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55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55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55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55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55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55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55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55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1921</Characters>
  <Application>Microsoft Office Word</Application>
  <DocSecurity>0</DocSecurity>
  <Lines>71</Lines>
  <Paragraphs>43</Paragraphs>
  <ScaleCrop>false</ScaleCrop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2025-11-11T07:26:00Z</dcterms:created>
  <dcterms:modified xsi:type="dcterms:W3CDTF">2025-11-11T07:26:00Z</dcterms:modified>
</cp:coreProperties>
</file>