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9E40C0" w14:textId="048406F1" w:rsidR="00917901" w:rsidRPr="00BC6172" w:rsidRDefault="00917901" w:rsidP="00917901">
      <w:pPr>
        <w:rPr>
          <w:rFonts w:ascii="Times New Roman" w:hAnsi="Times New Roman" w:cs="Times New Roman"/>
          <w:b/>
          <w:bCs/>
        </w:rPr>
      </w:pPr>
      <w:r w:rsidRPr="00BC6172">
        <w:rPr>
          <w:rFonts w:ascii="Times New Roman" w:hAnsi="Times New Roman" w:cs="Times New Roman"/>
          <w:b/>
          <w:bCs/>
        </w:rPr>
        <w:t>LIST OF SUPPLEMENTAL FIGURES</w:t>
      </w:r>
    </w:p>
    <w:p w14:paraId="1326DE9E" w14:textId="3F54AEFC" w:rsidR="00917901" w:rsidRPr="00BC6172" w:rsidRDefault="00917901" w:rsidP="00917901">
      <w:pPr>
        <w:rPr>
          <w:rFonts w:ascii="Times New Roman" w:hAnsi="Times New Roman" w:cs="Times New Roman"/>
        </w:rPr>
      </w:pPr>
      <w:r w:rsidRPr="00BC6172">
        <w:rPr>
          <w:rFonts w:ascii="Times New Roman" w:hAnsi="Times New Roman" w:cs="Times New Roman"/>
        </w:rPr>
        <w:t>Figure S1: Principal Components Analysis</w:t>
      </w:r>
      <w:r w:rsidR="004B3893" w:rsidRPr="00BC6172">
        <w:rPr>
          <w:rFonts w:ascii="Times New Roman" w:hAnsi="Times New Roman" w:cs="Times New Roman"/>
        </w:rPr>
        <w:t xml:space="preserve"> of Bioclimatic variables</w:t>
      </w:r>
      <w:r w:rsidR="003A7ACF">
        <w:rPr>
          <w:rFonts w:ascii="Times New Roman" w:hAnsi="Times New Roman" w:cs="Times New Roman" w:hint="eastAsia"/>
        </w:rPr>
        <w:t>.</w:t>
      </w:r>
    </w:p>
    <w:p w14:paraId="55371735" w14:textId="45174858" w:rsidR="00917901" w:rsidRPr="00362E89" w:rsidRDefault="11EA1D56" w:rsidP="00917901">
      <w:pPr>
        <w:rPr>
          <w:rFonts w:ascii="Times New Roman" w:eastAsia="Times" w:hAnsi="Times New Roman" w:cs="Times New Roman"/>
        </w:rPr>
      </w:pPr>
      <w:r w:rsidRPr="11EA1D56">
        <w:rPr>
          <w:rFonts w:ascii="Times New Roman" w:hAnsi="Times New Roman" w:cs="Times New Roman"/>
        </w:rPr>
        <w:t xml:space="preserve">Figure S2: Distribution of infected and uninfected across latitudes for all </w:t>
      </w:r>
      <w:r w:rsidR="00641149">
        <w:rPr>
          <w:rFonts w:ascii="Times New Roman" w:hAnsi="Times New Roman" w:cs="Times New Roman"/>
        </w:rPr>
        <w:t>vireos</w:t>
      </w:r>
      <w:r w:rsidRPr="11EA1D56">
        <w:rPr>
          <w:rFonts w:ascii="Times New Roman" w:hAnsi="Times New Roman" w:cs="Times New Roman"/>
        </w:rPr>
        <w:t xml:space="preserve">, Bell’s, </w:t>
      </w:r>
      <w:r w:rsidR="00641149">
        <w:rPr>
          <w:rFonts w:ascii="Times New Roman" w:hAnsi="Times New Roman" w:cs="Times New Roman"/>
        </w:rPr>
        <w:t>gray</w:t>
      </w:r>
      <w:r w:rsidRPr="11EA1D56">
        <w:rPr>
          <w:rFonts w:ascii="Times New Roman" w:hAnsi="Times New Roman" w:cs="Times New Roman"/>
        </w:rPr>
        <w:t xml:space="preserve">, and </w:t>
      </w:r>
      <w:r w:rsidR="00641149">
        <w:rPr>
          <w:rFonts w:ascii="Times New Roman" w:hAnsi="Times New Roman" w:cs="Times New Roman"/>
        </w:rPr>
        <w:t>plumbeous vireo</w:t>
      </w:r>
      <w:r w:rsidRPr="11EA1D56">
        <w:rPr>
          <w:rFonts w:ascii="Times New Roman" w:hAnsi="Times New Roman" w:cs="Times New Roman"/>
        </w:rPr>
        <w:t>s.</w:t>
      </w:r>
    </w:p>
    <w:p w14:paraId="3D8234DB" w14:textId="76C2F6C0" w:rsidR="00917901" w:rsidRPr="00BC6172" w:rsidRDefault="11EA1D56" w:rsidP="00917901">
      <w:pPr>
        <w:rPr>
          <w:rFonts w:ascii="Times New Roman" w:hAnsi="Times New Roman" w:cs="Times New Roman"/>
        </w:rPr>
      </w:pPr>
      <w:r w:rsidRPr="11EA1D56">
        <w:rPr>
          <w:rFonts w:ascii="Times New Roman" w:hAnsi="Times New Roman" w:cs="Times New Roman"/>
        </w:rPr>
        <w:t>Figure</w:t>
      </w:r>
      <w:r w:rsidRPr="11EA1D56">
        <w:rPr>
          <w:rFonts w:ascii="Times New Roman" w:eastAsia="Times" w:hAnsi="Times New Roman" w:cs="Times New Roman"/>
        </w:rPr>
        <w:t xml:space="preserve"> S3: </w:t>
      </w:r>
      <w:r w:rsidRPr="11EA1D56">
        <w:rPr>
          <w:rFonts w:ascii="Times New Roman" w:hAnsi="Times New Roman" w:cs="Times New Roman"/>
        </w:rPr>
        <w:t xml:space="preserve">Distribution of infected and uninfected across tempPC1 for all </w:t>
      </w:r>
      <w:r w:rsidR="00641149">
        <w:rPr>
          <w:rFonts w:ascii="Times New Roman" w:hAnsi="Times New Roman" w:cs="Times New Roman"/>
        </w:rPr>
        <w:t>vireos</w:t>
      </w:r>
      <w:r w:rsidRPr="11EA1D56">
        <w:rPr>
          <w:rFonts w:ascii="Times New Roman" w:hAnsi="Times New Roman" w:cs="Times New Roman"/>
        </w:rPr>
        <w:t xml:space="preserve">, Bell’s, </w:t>
      </w:r>
      <w:r w:rsidR="00641149">
        <w:rPr>
          <w:rFonts w:ascii="Times New Roman" w:hAnsi="Times New Roman" w:cs="Times New Roman"/>
        </w:rPr>
        <w:t>gray</w:t>
      </w:r>
      <w:r w:rsidRPr="11EA1D56">
        <w:rPr>
          <w:rFonts w:ascii="Times New Roman" w:hAnsi="Times New Roman" w:cs="Times New Roman"/>
        </w:rPr>
        <w:t xml:space="preserve">, and </w:t>
      </w:r>
      <w:r w:rsidR="00641149">
        <w:rPr>
          <w:rFonts w:ascii="Times New Roman" w:hAnsi="Times New Roman" w:cs="Times New Roman"/>
        </w:rPr>
        <w:t>plumbeous vireo</w:t>
      </w:r>
      <w:r w:rsidRPr="11EA1D56">
        <w:rPr>
          <w:rFonts w:ascii="Times New Roman" w:hAnsi="Times New Roman" w:cs="Times New Roman"/>
        </w:rPr>
        <w:t>s.</w:t>
      </w:r>
    </w:p>
    <w:p w14:paraId="47327EEA" w14:textId="636A2F1D" w:rsidR="00917901" w:rsidRPr="00BC6172" w:rsidRDefault="11EA1D56" w:rsidP="00917901">
      <w:pPr>
        <w:rPr>
          <w:rFonts w:ascii="Times New Roman" w:hAnsi="Times New Roman" w:cs="Times New Roman"/>
        </w:rPr>
      </w:pPr>
      <w:r w:rsidRPr="11EA1D56">
        <w:rPr>
          <w:rFonts w:ascii="Times New Roman" w:hAnsi="Times New Roman" w:cs="Times New Roman"/>
        </w:rPr>
        <w:t xml:space="preserve">Figure S4: Distribution of infected and uninfected across tempPC2 for all </w:t>
      </w:r>
      <w:r w:rsidR="00641149">
        <w:rPr>
          <w:rFonts w:ascii="Times New Roman" w:hAnsi="Times New Roman" w:cs="Times New Roman"/>
        </w:rPr>
        <w:t>vireos</w:t>
      </w:r>
      <w:r w:rsidRPr="11EA1D56">
        <w:rPr>
          <w:rFonts w:ascii="Times New Roman" w:hAnsi="Times New Roman" w:cs="Times New Roman"/>
        </w:rPr>
        <w:t xml:space="preserve">, Bell’s, </w:t>
      </w:r>
      <w:r w:rsidR="00641149">
        <w:rPr>
          <w:rFonts w:ascii="Times New Roman" w:hAnsi="Times New Roman" w:cs="Times New Roman"/>
        </w:rPr>
        <w:t>gray</w:t>
      </w:r>
      <w:r w:rsidRPr="11EA1D56">
        <w:rPr>
          <w:rFonts w:ascii="Times New Roman" w:hAnsi="Times New Roman" w:cs="Times New Roman"/>
        </w:rPr>
        <w:t xml:space="preserve">, and </w:t>
      </w:r>
      <w:r w:rsidR="00641149">
        <w:rPr>
          <w:rFonts w:ascii="Times New Roman" w:hAnsi="Times New Roman" w:cs="Times New Roman"/>
        </w:rPr>
        <w:t>plumbeous vireo</w:t>
      </w:r>
      <w:r w:rsidRPr="11EA1D56">
        <w:rPr>
          <w:rFonts w:ascii="Times New Roman" w:hAnsi="Times New Roman" w:cs="Times New Roman"/>
        </w:rPr>
        <w:t>s.</w:t>
      </w:r>
    </w:p>
    <w:p w14:paraId="773BAA2D" w14:textId="03175732" w:rsidR="00917901" w:rsidRPr="00BC6172" w:rsidRDefault="11EA1D56" w:rsidP="00917901">
      <w:pPr>
        <w:rPr>
          <w:rFonts w:ascii="Times New Roman" w:hAnsi="Times New Roman" w:cs="Times New Roman"/>
        </w:rPr>
      </w:pPr>
      <w:r w:rsidRPr="11EA1D56">
        <w:rPr>
          <w:rFonts w:ascii="Times New Roman" w:hAnsi="Times New Roman" w:cs="Times New Roman"/>
        </w:rPr>
        <w:t xml:space="preserve">Figure S5: Distribution of infected and uninfected across precipPC1 for all </w:t>
      </w:r>
      <w:r w:rsidR="00641149">
        <w:rPr>
          <w:rFonts w:ascii="Times New Roman" w:hAnsi="Times New Roman" w:cs="Times New Roman"/>
        </w:rPr>
        <w:t>vireos</w:t>
      </w:r>
      <w:r w:rsidRPr="11EA1D56">
        <w:rPr>
          <w:rFonts w:ascii="Times New Roman" w:hAnsi="Times New Roman" w:cs="Times New Roman"/>
        </w:rPr>
        <w:t xml:space="preserve">, Bell’s, </w:t>
      </w:r>
      <w:r w:rsidR="00641149">
        <w:rPr>
          <w:rFonts w:ascii="Times New Roman" w:hAnsi="Times New Roman" w:cs="Times New Roman"/>
        </w:rPr>
        <w:t>gray</w:t>
      </w:r>
      <w:r w:rsidRPr="11EA1D56">
        <w:rPr>
          <w:rFonts w:ascii="Times New Roman" w:hAnsi="Times New Roman" w:cs="Times New Roman"/>
        </w:rPr>
        <w:t xml:space="preserve">, and </w:t>
      </w:r>
      <w:r w:rsidR="00641149">
        <w:rPr>
          <w:rFonts w:ascii="Times New Roman" w:hAnsi="Times New Roman" w:cs="Times New Roman"/>
        </w:rPr>
        <w:t>plumbeous vireo</w:t>
      </w:r>
      <w:r w:rsidRPr="11EA1D56">
        <w:rPr>
          <w:rFonts w:ascii="Times New Roman" w:hAnsi="Times New Roman" w:cs="Times New Roman"/>
        </w:rPr>
        <w:t>s.</w:t>
      </w:r>
    </w:p>
    <w:p w14:paraId="5532B403" w14:textId="02B13CDC" w:rsidR="00917901" w:rsidRPr="00BC6172" w:rsidRDefault="11EA1D56">
      <w:pPr>
        <w:rPr>
          <w:rFonts w:ascii="Times New Roman" w:hAnsi="Times New Roman" w:cs="Times New Roman"/>
        </w:rPr>
      </w:pPr>
      <w:r w:rsidRPr="11EA1D56">
        <w:rPr>
          <w:rFonts w:ascii="Times New Roman" w:hAnsi="Times New Roman" w:cs="Times New Roman"/>
        </w:rPr>
        <w:t xml:space="preserve">Figure S6: Distribution of infected and uninfected across precipPC2 for all </w:t>
      </w:r>
      <w:r w:rsidR="00641149">
        <w:rPr>
          <w:rFonts w:ascii="Times New Roman" w:hAnsi="Times New Roman" w:cs="Times New Roman"/>
        </w:rPr>
        <w:t>vireos</w:t>
      </w:r>
      <w:r w:rsidRPr="11EA1D56">
        <w:rPr>
          <w:rFonts w:ascii="Times New Roman" w:hAnsi="Times New Roman" w:cs="Times New Roman"/>
        </w:rPr>
        <w:t xml:space="preserve">, Bell’s, </w:t>
      </w:r>
      <w:r w:rsidR="00641149">
        <w:rPr>
          <w:rFonts w:ascii="Times New Roman" w:hAnsi="Times New Roman" w:cs="Times New Roman"/>
        </w:rPr>
        <w:t>gray</w:t>
      </w:r>
      <w:r w:rsidRPr="11EA1D56">
        <w:rPr>
          <w:rFonts w:ascii="Times New Roman" w:hAnsi="Times New Roman" w:cs="Times New Roman"/>
        </w:rPr>
        <w:t xml:space="preserve">, and </w:t>
      </w:r>
      <w:r w:rsidR="00641149">
        <w:rPr>
          <w:rFonts w:ascii="Times New Roman" w:hAnsi="Times New Roman" w:cs="Times New Roman"/>
        </w:rPr>
        <w:t>plumbeous vireo</w:t>
      </w:r>
      <w:r w:rsidRPr="11EA1D56">
        <w:rPr>
          <w:rFonts w:ascii="Times New Roman" w:hAnsi="Times New Roman" w:cs="Times New Roman"/>
        </w:rPr>
        <w:t>s.</w:t>
      </w:r>
      <w:r w:rsidR="00917901" w:rsidRPr="11EA1D56">
        <w:rPr>
          <w:rFonts w:ascii="Times New Roman" w:hAnsi="Times New Roman" w:cs="Times New Roman"/>
        </w:rPr>
        <w:br w:type="page"/>
      </w:r>
    </w:p>
    <w:p w14:paraId="6D257D89" w14:textId="0FE95740" w:rsidR="000C7205" w:rsidRPr="00362E89" w:rsidRDefault="00917901" w:rsidP="00917901">
      <w:pPr>
        <w:rPr>
          <w:rFonts w:ascii="Times New Roman" w:hAnsi="Times New Roman" w:cs="Times New Roman"/>
        </w:rPr>
      </w:pPr>
      <w:r w:rsidRPr="00362E89">
        <w:rPr>
          <w:rFonts w:ascii="Times New Roman" w:hAnsi="Times New Roman" w:cs="Times New Roman"/>
          <w:noProof/>
        </w:rPr>
        <w:lastRenderedPageBreak/>
        <w:drawing>
          <wp:inline distT="0" distB="0" distL="0" distR="0" wp14:anchorId="05C4DEC3" wp14:editId="6ED00ABE">
            <wp:extent cx="5943600" cy="4465674"/>
            <wp:effectExtent l="0" t="0" r="0" b="0"/>
            <wp:docPr id="3955820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582086" name="Picture 1"/>
                    <pic:cNvPicPr/>
                  </pic:nvPicPr>
                  <pic:blipFill rotWithShape="1">
                    <a:blip r:embed="rId9" cstate="print">
                      <a:extLst>
                        <a:ext uri="{28A0092B-C50C-407E-A947-70E740481C1C}">
                          <a14:useLocalDpi xmlns:a14="http://schemas.microsoft.com/office/drawing/2010/main" val="0"/>
                        </a:ext>
                      </a:extLst>
                    </a:blip>
                    <a:srcRect b="6082"/>
                    <a:stretch>
                      <a:fillRect/>
                    </a:stretch>
                  </pic:blipFill>
                  <pic:spPr bwMode="auto">
                    <a:xfrm>
                      <a:off x="0" y="0"/>
                      <a:ext cx="5943600" cy="4465674"/>
                    </a:xfrm>
                    <a:prstGeom prst="rect">
                      <a:avLst/>
                    </a:prstGeom>
                    <a:ln>
                      <a:noFill/>
                    </a:ln>
                    <a:extLst>
                      <a:ext uri="{53640926-AAD7-44D8-BBD7-CCE9431645EC}">
                        <a14:shadowObscured xmlns:a14="http://schemas.microsoft.com/office/drawing/2010/main"/>
                      </a:ext>
                    </a:extLst>
                  </pic:spPr>
                </pic:pic>
              </a:graphicData>
            </a:graphic>
          </wp:inline>
        </w:drawing>
      </w:r>
    </w:p>
    <w:p w14:paraId="03E772E5" w14:textId="77F203C8" w:rsidR="007D4F8C" w:rsidRPr="00BC6172" w:rsidRDefault="11EA1D56" w:rsidP="00917901">
      <w:pPr>
        <w:rPr>
          <w:rFonts w:ascii="Times New Roman" w:hAnsi="Times New Roman" w:cs="Times New Roman"/>
        </w:rPr>
      </w:pPr>
      <w:r w:rsidRPr="11EA1D56">
        <w:rPr>
          <w:rFonts w:ascii="Times New Roman" w:hAnsi="Times New Roman" w:cs="Times New Roman"/>
          <w:b/>
          <w:bCs/>
        </w:rPr>
        <w:t>Figure S1.</w:t>
      </w:r>
      <w:r w:rsidRPr="11EA1D56">
        <w:rPr>
          <w:rFonts w:ascii="Times New Roman" w:hAnsi="Times New Roman" w:cs="Times New Roman"/>
        </w:rPr>
        <w:t xml:space="preserve">  First two Principal Components Analysis axes </w:t>
      </w:r>
      <w:r w:rsidRPr="11EA1D56">
        <w:rPr>
          <w:rFonts w:ascii="Times New Roman" w:eastAsia="Times" w:hAnsi="Times New Roman" w:cs="Times New Roman"/>
        </w:rPr>
        <w:t xml:space="preserve">of </w:t>
      </w:r>
      <w:r w:rsidRPr="11EA1D56">
        <w:rPr>
          <w:rFonts w:ascii="Times New Roman" w:hAnsi="Times New Roman" w:cs="Times New Roman"/>
        </w:rPr>
        <w:t xml:space="preserve">temperature (Bio 1-10; upper, </w:t>
      </w:r>
      <w:proofErr w:type="spellStart"/>
      <w:r w:rsidRPr="11EA1D56">
        <w:rPr>
          <w:rFonts w:ascii="Times New Roman" w:hAnsi="Times New Roman" w:cs="Times New Roman"/>
        </w:rPr>
        <w:t>tempPC</w:t>
      </w:r>
      <w:proofErr w:type="spellEnd"/>
      <w:r w:rsidRPr="11EA1D56">
        <w:rPr>
          <w:rFonts w:ascii="Times New Roman" w:hAnsi="Times New Roman" w:cs="Times New Roman"/>
        </w:rPr>
        <w:t xml:space="preserve">) and precipitation (Bio11-l9; lower, </w:t>
      </w:r>
      <w:proofErr w:type="spellStart"/>
      <w:r w:rsidRPr="11EA1D56">
        <w:rPr>
          <w:rFonts w:ascii="Times New Roman" w:hAnsi="Times New Roman" w:cs="Times New Roman"/>
        </w:rPr>
        <w:t>precipPC</w:t>
      </w:r>
      <w:proofErr w:type="spellEnd"/>
      <w:r w:rsidRPr="11EA1D56">
        <w:rPr>
          <w:rFonts w:ascii="Times New Roman" w:hAnsi="Times New Roman" w:cs="Times New Roman"/>
        </w:rPr>
        <w:t>), colored by species (</w:t>
      </w:r>
      <w:proofErr w:type="spellStart"/>
      <w:r w:rsidRPr="11EA1D56">
        <w:rPr>
          <w:rFonts w:ascii="Times New Roman" w:hAnsi="Times New Roman" w:cs="Times New Roman"/>
        </w:rPr>
        <w:t>WorldClim</w:t>
      </w:r>
      <w:proofErr w:type="spellEnd"/>
      <w:r w:rsidRPr="11EA1D56">
        <w:rPr>
          <w:rFonts w:ascii="Times New Roman" w:hAnsi="Times New Roman" w:cs="Times New Roman"/>
        </w:rPr>
        <w:t xml:space="preserve"> </w:t>
      </w:r>
      <w:r w:rsidRPr="11EA1D56">
        <w:rPr>
          <w:rFonts w:ascii="Times" w:eastAsia="Times" w:hAnsi="Times" w:cs="Times"/>
        </w:rPr>
        <w:t>2.1</w:t>
      </w:r>
      <w:r w:rsidR="00917901" w:rsidRPr="11EA1D56">
        <w:rPr>
          <w:rFonts w:ascii="Times" w:eastAsia="Times" w:hAnsi="Times" w:cs="Times"/>
        </w:rPr>
        <w:fldChar w:fldCharType="begin"/>
      </w:r>
      <w:r w:rsidR="00917901" w:rsidRPr="11EA1D56">
        <w:rPr>
          <w:rFonts w:ascii="Times" w:eastAsia="Times" w:hAnsi="Times" w:cs="Times"/>
        </w:rPr>
        <w:instrText xml:space="preserve"> ADDIN ZOTERO_ITEM CSL_CITATION {"citationID":"VhoClVF2","properties":{"formattedCitation":"(Fick &amp; Hijmans, 2017)","plainCitation":"(Fick &amp; Hijmans, 2017)","noteIndex":0},"citationItems":[{"id":8309,"uris":["http://zotero.org/groups/5764665/items/88W6N943"],"itemData":{"id":8309,"type":"article-journal","abstract":"We created a new dataset of spatially interpolated monthly climate data for global land areas at a very high spatial resolution (approximately 1 km2). We included monthly temperature (minimum, maximum and average), precipitation, solar radiation, vapour pressure and wind speed, aggregated across a target temporal range of 1970–2000, using data from between 9000 and 60 000 weather stations. Weather station data were interpolated using thin-plate splines with covariates including elevation, distance to the coast and three satellite-derived covariates: maximum and minimum land surface temperature as well as cloud cover, obtained with the MODIS satellite platform. Interpolation was done for 23 regions of varying size depending on station density. Satellite data improved prediction accuracy for temperature variables 5–15% (0.07–0.17 </w:instrText>
      </w:r>
      <w:r w:rsidR="00917901" w:rsidRPr="11EA1D56">
        <w:rPr>
          <w:rFonts w:ascii="Cambria Math" w:eastAsia="Times" w:hAnsi="Cambria Math" w:cs="Cambria Math"/>
        </w:rPr>
        <w:instrText>∘</w:instrText>
      </w:r>
      <w:r w:rsidR="00917901" w:rsidRPr="11EA1D56">
        <w:rPr>
          <w:rFonts w:ascii="Times" w:eastAsia="Times" w:hAnsi="Times" w:cs="Times"/>
        </w:rPr>
        <w:instrText xml:space="preserve">C), particularly for areas with a low station density, although prediction error remained high in such regions for all climate variables. Contributions of satellite covariates were mostly negligible for the other variables, although their importance varied by region. In contrast to the common approach to use a single model formulation for the entire world, we constructed the final product by selecting the best performing model for each region and variable. Global cross-validation correlations were ≥ 0.99 for temperature and humidity, 0.86 for precipitation and 0.76 for wind speed. The fact that most of our climate surface estimates were only marginally improved by use of satellite covariates highlights the importance having a dense, high-quality network of climate station data.","container-title":"International Journal of Climatology","DOI":"10.1002/joc.5086","ISSN":"0899-8418, 1097-0088","issue":"12","journalAbbreviation":"Intl Journal of Climatology","language":"en","page":"4302-4315","source":"DOI.org (Crossref)","title":"WorldClim 2: new 1‐km spatial resolution climate surfaces for global land areas","title-short":"WorldClim 2","volume":"37","author":[{"family":"Fick","given":"Stephen E."},{"family":"Hijmans","given":"Robert J."}],"issued":{"date-parts":[["2017",10]]}}}],"schema":"https://github.com/citation-style-language/schema/raw/master/csl-citation.json"} </w:instrText>
      </w:r>
      <w:r w:rsidR="00917901" w:rsidRPr="11EA1D56">
        <w:rPr>
          <w:rFonts w:ascii="Times" w:eastAsia="Times" w:hAnsi="Times" w:cs="Times"/>
        </w:rPr>
        <w:fldChar w:fldCharType="separate"/>
      </w:r>
      <w:r w:rsidRPr="11EA1D56">
        <w:rPr>
          <w:rFonts w:ascii="Times" w:hAnsi="Times" w:cs="Times"/>
        </w:rPr>
        <w:t>; Fick &amp; Hijmans, 2017)</w:t>
      </w:r>
      <w:r w:rsidR="00917901" w:rsidRPr="11EA1D56">
        <w:rPr>
          <w:rFonts w:ascii="Times" w:eastAsia="Times" w:hAnsi="Times" w:cs="Times"/>
        </w:rPr>
        <w:fldChar w:fldCharType="end"/>
      </w:r>
      <w:r w:rsidRPr="11EA1D56">
        <w:rPr>
          <w:rFonts w:ascii="Times New Roman" w:hAnsi="Times New Roman" w:cs="Times New Roman"/>
        </w:rPr>
        <w:t xml:space="preserve">. TempPC1 primarily represents year-round temperatures, with higher values relating to lower averages, while tempPC2 represents greater seasonality with higher values relating to more extreme fluctuations throughout the year and day-night cycle. PrecipPC1 largely represents overall precipitation, with higher values indicating wetter conditions, whereas high precipPC2 corresponds with more stable and less seasonal precipitation. The outlier </w:t>
      </w:r>
      <w:r w:rsidR="00641149">
        <w:rPr>
          <w:rFonts w:ascii="Times New Roman" w:hAnsi="Times New Roman" w:cs="Times New Roman"/>
        </w:rPr>
        <w:t>gray vireo</w:t>
      </w:r>
      <w:r w:rsidRPr="11EA1D56">
        <w:rPr>
          <w:rFonts w:ascii="Times New Roman" w:hAnsi="Times New Roman" w:cs="Times New Roman"/>
        </w:rPr>
        <w:t xml:space="preserve"> points in both temperature and precipitation represent birds sampled from the Abajo Mountains site in Utah.</w:t>
      </w:r>
    </w:p>
    <w:p w14:paraId="784BB5E5" w14:textId="77777777" w:rsidR="007D4F8C" w:rsidRPr="00BC6172" w:rsidRDefault="007D4F8C">
      <w:pPr>
        <w:rPr>
          <w:rFonts w:ascii="Times New Roman" w:hAnsi="Times New Roman" w:cs="Times New Roman"/>
        </w:rPr>
      </w:pPr>
      <w:bookmarkStart w:id="0" w:name="_Hlk201744339"/>
      <w:r w:rsidRPr="00BC6172">
        <w:rPr>
          <w:rFonts w:ascii="Times New Roman" w:hAnsi="Times New Roman" w:cs="Times New Roman"/>
        </w:rPr>
        <w:br w:type="page"/>
      </w:r>
    </w:p>
    <w:p w14:paraId="313F4E71" w14:textId="3A7ABC2C" w:rsidR="007D4F8C" w:rsidRPr="00BC6172" w:rsidRDefault="00697B69" w:rsidP="11EA1D56">
      <w:pPr>
        <w:rPr>
          <w:rFonts w:ascii="Times New Roman" w:hAnsi="Times New Roman" w:cs="Times New Roman"/>
        </w:rPr>
      </w:pPr>
      <w:r>
        <w:rPr>
          <w:noProof/>
        </w:rPr>
        <w:lastRenderedPageBreak/>
        <w:drawing>
          <wp:inline distT="0" distB="0" distL="0" distR="0" wp14:anchorId="2299B683" wp14:editId="4E5DE5F4">
            <wp:extent cx="5372100" cy="5903733"/>
            <wp:effectExtent l="0" t="0" r="0" b="1905"/>
            <wp:docPr id="81568158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681585" name="drawi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372100" cy="5903733"/>
                    </a:xfrm>
                    <a:prstGeom prst="rect">
                      <a:avLst/>
                    </a:prstGeom>
                  </pic:spPr>
                </pic:pic>
              </a:graphicData>
            </a:graphic>
          </wp:inline>
        </w:drawing>
      </w:r>
    </w:p>
    <w:p w14:paraId="1B043EA9" w14:textId="1DFCB8A9" w:rsidR="00917901" w:rsidRPr="001B695F" w:rsidRDefault="11EA1D56" w:rsidP="00917901">
      <w:pPr>
        <w:rPr>
          <w:rFonts w:ascii="Times New Roman" w:hAnsi="Times New Roman" w:cs="Times New Roman"/>
        </w:rPr>
      </w:pPr>
      <w:r w:rsidRPr="11EA1D56">
        <w:rPr>
          <w:rFonts w:ascii="Times New Roman" w:hAnsi="Times New Roman" w:cs="Times New Roman"/>
          <w:b/>
          <w:bCs/>
        </w:rPr>
        <w:t xml:space="preserve">Figure S2. </w:t>
      </w:r>
      <w:r w:rsidRPr="11EA1D56">
        <w:rPr>
          <w:rFonts w:ascii="Times New Roman" w:hAnsi="Times New Roman" w:cs="Times New Roman"/>
        </w:rPr>
        <w:t xml:space="preserve">Distribution of infected (darker shade) and uninfected (lighter shade) across latitudes for all vireos, Bell’s, </w:t>
      </w:r>
      <w:r w:rsidR="00641149">
        <w:rPr>
          <w:rFonts w:ascii="Times New Roman" w:hAnsi="Times New Roman" w:cs="Times New Roman"/>
        </w:rPr>
        <w:t>gray</w:t>
      </w:r>
      <w:r w:rsidRPr="11EA1D56">
        <w:rPr>
          <w:rFonts w:ascii="Times New Roman" w:hAnsi="Times New Roman" w:cs="Times New Roman"/>
        </w:rPr>
        <w:t xml:space="preserve">, and </w:t>
      </w:r>
      <w:r w:rsidR="00641149">
        <w:rPr>
          <w:rFonts w:ascii="Times New Roman" w:hAnsi="Times New Roman" w:cs="Times New Roman"/>
        </w:rPr>
        <w:t>plumbeous</w:t>
      </w:r>
      <w:r w:rsidRPr="11EA1D56">
        <w:rPr>
          <w:rFonts w:ascii="Times New Roman" w:hAnsi="Times New Roman" w:cs="Times New Roman"/>
        </w:rPr>
        <w:t>. Mann-Whitney U-test p-values are shown where significant (p &lt; 0.05). Wilcoxon effect size shown for all species comparison.</w:t>
      </w:r>
    </w:p>
    <w:p w14:paraId="39D2BCE9" w14:textId="11A007F8" w:rsidR="00C84FB4" w:rsidRPr="001B695F" w:rsidRDefault="00C84FB4">
      <w:pPr>
        <w:rPr>
          <w:rFonts w:ascii="Times New Roman" w:hAnsi="Times New Roman" w:cs="Times New Roman"/>
        </w:rPr>
      </w:pPr>
      <w:r w:rsidRPr="001B695F">
        <w:rPr>
          <w:rFonts w:ascii="Times New Roman" w:hAnsi="Times New Roman" w:cs="Times New Roman"/>
        </w:rPr>
        <w:br w:type="page"/>
      </w:r>
    </w:p>
    <w:p w14:paraId="435E7F46" w14:textId="675FAEA2" w:rsidR="00915F13" w:rsidRPr="00B72A11" w:rsidRDefault="00AB2B75" w:rsidP="00917901">
      <w:r>
        <w:rPr>
          <w:noProof/>
        </w:rPr>
        <w:lastRenderedPageBreak/>
        <w:drawing>
          <wp:inline distT="0" distB="0" distL="0" distR="0" wp14:anchorId="285CBFE8" wp14:editId="5B2C524B">
            <wp:extent cx="5353050" cy="5892151"/>
            <wp:effectExtent l="0" t="0" r="0" b="0"/>
            <wp:docPr id="63406359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063591" name="drawi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353050" cy="5892151"/>
                    </a:xfrm>
                    <a:prstGeom prst="rect">
                      <a:avLst/>
                    </a:prstGeom>
                  </pic:spPr>
                </pic:pic>
              </a:graphicData>
            </a:graphic>
          </wp:inline>
        </w:drawing>
      </w:r>
    </w:p>
    <w:p w14:paraId="6ACF2A4D" w14:textId="070F6131" w:rsidR="00AB2B75" w:rsidRPr="00BC6172" w:rsidRDefault="11EA1D56" w:rsidP="00AB2B75">
      <w:pPr>
        <w:rPr>
          <w:rFonts w:ascii="Times New Roman" w:hAnsi="Times New Roman" w:cs="Times New Roman"/>
        </w:rPr>
      </w:pPr>
      <w:r w:rsidRPr="11EA1D56">
        <w:rPr>
          <w:rFonts w:ascii="Times New Roman" w:hAnsi="Times New Roman" w:cs="Times New Roman"/>
          <w:b/>
          <w:bCs/>
        </w:rPr>
        <w:t xml:space="preserve">Figure S3. </w:t>
      </w:r>
      <w:r w:rsidRPr="11EA1D56">
        <w:rPr>
          <w:rFonts w:ascii="Times New Roman" w:hAnsi="Times New Roman" w:cs="Times New Roman"/>
        </w:rPr>
        <w:t xml:space="preserve">Distribution of infected (darker shade) and uninfected (lighter shade) across tempPC1 for all vireos, Bell’s, </w:t>
      </w:r>
      <w:r w:rsidR="00641149">
        <w:rPr>
          <w:rFonts w:ascii="Times New Roman" w:hAnsi="Times New Roman" w:cs="Times New Roman"/>
        </w:rPr>
        <w:t>gray</w:t>
      </w:r>
      <w:r w:rsidRPr="11EA1D56">
        <w:rPr>
          <w:rFonts w:ascii="Times New Roman" w:hAnsi="Times New Roman" w:cs="Times New Roman"/>
        </w:rPr>
        <w:t xml:space="preserve">, and </w:t>
      </w:r>
      <w:r w:rsidR="00641149">
        <w:rPr>
          <w:rFonts w:ascii="Times New Roman" w:hAnsi="Times New Roman" w:cs="Times New Roman"/>
        </w:rPr>
        <w:t>plumbeous</w:t>
      </w:r>
      <w:r w:rsidRPr="11EA1D56">
        <w:rPr>
          <w:rFonts w:ascii="Times New Roman" w:hAnsi="Times New Roman" w:cs="Times New Roman"/>
        </w:rPr>
        <w:t>. Higher tempPC1 values relating to lower averages. Mann-Whitney U-test p-values are shown where significant (p &lt; 0.05). Wilcoxon effect size shown for all species comparison.</w:t>
      </w:r>
    </w:p>
    <w:p w14:paraId="0790129C" w14:textId="77777777" w:rsidR="00AB2B75" w:rsidRPr="00BC6172" w:rsidRDefault="00AB2B75">
      <w:pPr>
        <w:rPr>
          <w:rFonts w:ascii="Times New Roman" w:hAnsi="Times New Roman" w:cs="Times New Roman"/>
        </w:rPr>
      </w:pPr>
      <w:r w:rsidRPr="00BC6172">
        <w:rPr>
          <w:rFonts w:ascii="Times New Roman" w:hAnsi="Times New Roman" w:cs="Times New Roman"/>
        </w:rPr>
        <w:br w:type="page"/>
      </w:r>
    </w:p>
    <w:p w14:paraId="7EF78D86" w14:textId="58ACAA15" w:rsidR="00AB2B75" w:rsidRPr="00362E89" w:rsidRDefault="00AB2B75" w:rsidP="00AB2B75"/>
    <w:p w14:paraId="065F4D8E" w14:textId="1A7F2379" w:rsidR="00AB2B75" w:rsidRPr="00BC6172" w:rsidRDefault="00AB2B75" w:rsidP="11EA1D56">
      <w:pPr>
        <w:rPr>
          <w:rFonts w:ascii="Times New Roman" w:hAnsi="Times New Roman" w:cs="Times New Roman"/>
        </w:rPr>
      </w:pPr>
      <w:r>
        <w:rPr>
          <w:noProof/>
        </w:rPr>
        <w:drawing>
          <wp:inline distT="0" distB="0" distL="0" distR="0" wp14:anchorId="56B8FAC6" wp14:editId="69902D72">
            <wp:extent cx="5324475" cy="5852487"/>
            <wp:effectExtent l="0" t="0" r="0" b="0"/>
            <wp:docPr id="158137900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379002" name="drawi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324475" cy="5852487"/>
                    </a:xfrm>
                    <a:prstGeom prst="rect">
                      <a:avLst/>
                    </a:prstGeom>
                  </pic:spPr>
                </pic:pic>
              </a:graphicData>
            </a:graphic>
          </wp:inline>
        </w:drawing>
      </w:r>
    </w:p>
    <w:p w14:paraId="2BC622A7" w14:textId="30A60978" w:rsidR="00AB2B75" w:rsidRPr="00BC6172" w:rsidRDefault="11EA1D56" w:rsidP="00AB2B75">
      <w:pPr>
        <w:rPr>
          <w:rFonts w:ascii="Times New Roman" w:hAnsi="Times New Roman" w:cs="Times New Roman"/>
        </w:rPr>
      </w:pPr>
      <w:r w:rsidRPr="11EA1D56">
        <w:rPr>
          <w:rFonts w:ascii="Times New Roman" w:hAnsi="Times New Roman" w:cs="Times New Roman"/>
          <w:b/>
          <w:bCs/>
        </w:rPr>
        <w:t xml:space="preserve">Figure S4. </w:t>
      </w:r>
      <w:r w:rsidRPr="11EA1D56">
        <w:rPr>
          <w:rFonts w:ascii="Times New Roman" w:hAnsi="Times New Roman" w:cs="Times New Roman"/>
        </w:rPr>
        <w:t xml:space="preserve">Distribution of infected (darker shade) and uninfected (lighter shade) across tempPC2 for all vireos, Bell’s, </w:t>
      </w:r>
      <w:r w:rsidR="00641149">
        <w:rPr>
          <w:rFonts w:ascii="Times New Roman" w:hAnsi="Times New Roman" w:cs="Times New Roman"/>
        </w:rPr>
        <w:t>gray</w:t>
      </w:r>
      <w:r w:rsidRPr="11EA1D56">
        <w:rPr>
          <w:rFonts w:ascii="Times New Roman" w:hAnsi="Times New Roman" w:cs="Times New Roman"/>
        </w:rPr>
        <w:t xml:space="preserve">, and </w:t>
      </w:r>
      <w:r w:rsidR="00641149">
        <w:rPr>
          <w:rFonts w:ascii="Times New Roman" w:hAnsi="Times New Roman" w:cs="Times New Roman"/>
        </w:rPr>
        <w:t>plumbeous</w:t>
      </w:r>
      <w:r w:rsidRPr="11EA1D56">
        <w:rPr>
          <w:rFonts w:ascii="Times New Roman" w:hAnsi="Times New Roman" w:cs="Times New Roman"/>
        </w:rPr>
        <w:t xml:space="preserve">. Higher tempPC2 values relate to more extreme temperature fluctuations throughout the year and day-night cycle. Mann-Whitney U-test p-values are shown where significant (p &lt; 0.05). </w:t>
      </w:r>
    </w:p>
    <w:p w14:paraId="10203F3F" w14:textId="77777777" w:rsidR="00AB2B75" w:rsidRPr="00BC6172" w:rsidRDefault="00AB2B75">
      <w:pPr>
        <w:rPr>
          <w:rFonts w:ascii="Times New Roman" w:hAnsi="Times New Roman" w:cs="Times New Roman"/>
        </w:rPr>
      </w:pPr>
      <w:r w:rsidRPr="00BC6172">
        <w:rPr>
          <w:rFonts w:ascii="Times New Roman" w:hAnsi="Times New Roman" w:cs="Times New Roman"/>
        </w:rPr>
        <w:br w:type="page"/>
      </w:r>
    </w:p>
    <w:p w14:paraId="305039F7" w14:textId="4F7FFF31" w:rsidR="00AB2B75" w:rsidRPr="00362E89" w:rsidRDefault="00AB2B75" w:rsidP="00AB2B75">
      <w:r>
        <w:rPr>
          <w:noProof/>
        </w:rPr>
        <w:lastRenderedPageBreak/>
        <w:drawing>
          <wp:inline distT="0" distB="0" distL="0" distR="0" wp14:anchorId="5222EF34" wp14:editId="7CBC943F">
            <wp:extent cx="5343525" cy="5881667"/>
            <wp:effectExtent l="0" t="0" r="0" b="5080"/>
            <wp:docPr id="21142336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23366" name="drawi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343525" cy="5881667"/>
                    </a:xfrm>
                    <a:prstGeom prst="rect">
                      <a:avLst/>
                    </a:prstGeom>
                  </pic:spPr>
                </pic:pic>
              </a:graphicData>
            </a:graphic>
          </wp:inline>
        </w:drawing>
      </w:r>
    </w:p>
    <w:p w14:paraId="74DD2F6F" w14:textId="027E9937" w:rsidR="00AB2B75" w:rsidRPr="00BC6172" w:rsidRDefault="11EA1D56" w:rsidP="00AB2B75">
      <w:pPr>
        <w:rPr>
          <w:rFonts w:ascii="Times New Roman" w:hAnsi="Times New Roman" w:cs="Times New Roman"/>
        </w:rPr>
      </w:pPr>
      <w:r w:rsidRPr="11EA1D56">
        <w:rPr>
          <w:rFonts w:ascii="Times New Roman" w:hAnsi="Times New Roman" w:cs="Times New Roman"/>
          <w:b/>
          <w:bCs/>
        </w:rPr>
        <w:t xml:space="preserve">Figure S5. </w:t>
      </w:r>
      <w:r w:rsidRPr="11EA1D56">
        <w:rPr>
          <w:rFonts w:ascii="Times New Roman" w:hAnsi="Times New Roman" w:cs="Times New Roman"/>
        </w:rPr>
        <w:t xml:space="preserve">Distribution of infected (darker shade) and uninfected (lighter shade) across tempPC2 for all vireos, Bell’s, </w:t>
      </w:r>
      <w:r w:rsidR="00641149">
        <w:rPr>
          <w:rFonts w:ascii="Times New Roman" w:hAnsi="Times New Roman" w:cs="Times New Roman"/>
        </w:rPr>
        <w:t>gray</w:t>
      </w:r>
      <w:r w:rsidRPr="11EA1D56">
        <w:rPr>
          <w:rFonts w:ascii="Times New Roman" w:hAnsi="Times New Roman" w:cs="Times New Roman"/>
        </w:rPr>
        <w:t xml:space="preserve">, and </w:t>
      </w:r>
      <w:r w:rsidR="00641149">
        <w:rPr>
          <w:rFonts w:ascii="Times New Roman" w:hAnsi="Times New Roman" w:cs="Times New Roman"/>
        </w:rPr>
        <w:t>plumbeous</w:t>
      </w:r>
      <w:r w:rsidRPr="11EA1D56">
        <w:rPr>
          <w:rFonts w:ascii="Times New Roman" w:hAnsi="Times New Roman" w:cs="Times New Roman"/>
        </w:rPr>
        <w:t>. Higher precipPC1 values relate to wetter conditions, overall. Mann-Whitney U-test p-values are shown where significant (p &lt; 0.05). Wilcoxon effect size shown for all species comparison.</w:t>
      </w:r>
    </w:p>
    <w:p w14:paraId="4984CC4F" w14:textId="77777777" w:rsidR="00AB2B75" w:rsidRPr="00BC6172" w:rsidRDefault="00AB2B75">
      <w:pPr>
        <w:rPr>
          <w:rFonts w:ascii="Times New Roman" w:hAnsi="Times New Roman" w:cs="Times New Roman"/>
        </w:rPr>
      </w:pPr>
      <w:r w:rsidRPr="00BC6172">
        <w:rPr>
          <w:rFonts w:ascii="Times New Roman" w:hAnsi="Times New Roman" w:cs="Times New Roman"/>
        </w:rPr>
        <w:br w:type="page"/>
      </w:r>
    </w:p>
    <w:p w14:paraId="14AA6FE3" w14:textId="7651A20A" w:rsidR="00AB2B75" w:rsidRPr="00BC6172" w:rsidRDefault="00AB2B75" w:rsidP="00AB2B75"/>
    <w:bookmarkEnd w:id="0"/>
    <w:p w14:paraId="4FC2449D" w14:textId="5670E4D2" w:rsidR="00AB2B75" w:rsidRPr="001B695F" w:rsidRDefault="00AB2B75" w:rsidP="11EA1D56">
      <w:pPr>
        <w:rPr>
          <w:rFonts w:ascii="Times New Roman" w:hAnsi="Times New Roman" w:cs="Times New Roman"/>
        </w:rPr>
      </w:pPr>
      <w:r>
        <w:rPr>
          <w:noProof/>
        </w:rPr>
        <w:drawing>
          <wp:inline distT="0" distB="0" distL="0" distR="0" wp14:anchorId="5ED7423D" wp14:editId="0888A207">
            <wp:extent cx="5314950" cy="5832658"/>
            <wp:effectExtent l="0" t="0" r="0" b="0"/>
            <wp:docPr id="174266921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669219" name="drawi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314950" cy="5832658"/>
                    </a:xfrm>
                    <a:prstGeom prst="rect">
                      <a:avLst/>
                    </a:prstGeom>
                  </pic:spPr>
                </pic:pic>
              </a:graphicData>
            </a:graphic>
          </wp:inline>
        </w:drawing>
      </w:r>
    </w:p>
    <w:p w14:paraId="3EF9301F" w14:textId="08516EBD" w:rsidR="11EA1D56" w:rsidRDefault="11EA1D56" w:rsidP="11EA1D56">
      <w:pPr>
        <w:rPr>
          <w:rFonts w:ascii="Times New Roman" w:hAnsi="Times New Roman" w:cs="Times New Roman"/>
        </w:rPr>
      </w:pPr>
      <w:r w:rsidRPr="11EA1D56">
        <w:rPr>
          <w:rFonts w:ascii="Times New Roman" w:hAnsi="Times New Roman" w:cs="Times New Roman"/>
          <w:b/>
          <w:bCs/>
        </w:rPr>
        <w:t xml:space="preserve">Figure S6. </w:t>
      </w:r>
      <w:r w:rsidRPr="11EA1D56">
        <w:rPr>
          <w:rFonts w:ascii="Times New Roman" w:hAnsi="Times New Roman" w:cs="Times New Roman"/>
        </w:rPr>
        <w:t xml:space="preserve">Distribution of infected (darker shade) and uninfected (lighter shade) across tempPC2 for all </w:t>
      </w:r>
      <w:r w:rsidR="00641149">
        <w:rPr>
          <w:rFonts w:ascii="Times New Roman" w:hAnsi="Times New Roman" w:cs="Times New Roman"/>
        </w:rPr>
        <w:t>vireos</w:t>
      </w:r>
      <w:r w:rsidRPr="11EA1D56">
        <w:rPr>
          <w:rFonts w:ascii="Times New Roman" w:hAnsi="Times New Roman" w:cs="Times New Roman"/>
        </w:rPr>
        <w:t xml:space="preserve">, Bell’s, </w:t>
      </w:r>
      <w:r w:rsidR="00641149">
        <w:rPr>
          <w:rFonts w:ascii="Times New Roman" w:hAnsi="Times New Roman" w:cs="Times New Roman"/>
        </w:rPr>
        <w:t>gray</w:t>
      </w:r>
      <w:r w:rsidRPr="11EA1D56">
        <w:rPr>
          <w:rFonts w:ascii="Times New Roman" w:hAnsi="Times New Roman" w:cs="Times New Roman"/>
        </w:rPr>
        <w:t xml:space="preserve">, and </w:t>
      </w:r>
      <w:r w:rsidR="00641149">
        <w:rPr>
          <w:rFonts w:ascii="Times New Roman" w:hAnsi="Times New Roman" w:cs="Times New Roman"/>
        </w:rPr>
        <w:t>plumbeous</w:t>
      </w:r>
      <w:r w:rsidRPr="11EA1D56">
        <w:rPr>
          <w:rFonts w:ascii="Times New Roman" w:hAnsi="Times New Roman" w:cs="Times New Roman"/>
        </w:rPr>
        <w:t>. Higher precipPC2 corresponds with more stable and less seasonal precipitation. Mann-Whitney U-test p-values are shown where significant (p &lt; 0.05). Wilcoxon effect size shown for all species comparison.</w:t>
      </w:r>
    </w:p>
    <w:sectPr w:rsidR="11EA1D56">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CFBB21" w14:textId="77777777" w:rsidR="00F920D6" w:rsidRDefault="00F920D6" w:rsidP="00917901">
      <w:pPr>
        <w:spacing w:after="0" w:line="240" w:lineRule="auto"/>
      </w:pPr>
      <w:r>
        <w:separator/>
      </w:r>
    </w:p>
  </w:endnote>
  <w:endnote w:type="continuationSeparator" w:id="0">
    <w:p w14:paraId="698E0E7F" w14:textId="77777777" w:rsidR="00F920D6" w:rsidRDefault="00F920D6" w:rsidP="009179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w:altName w:val="Sylfae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EB0542" w14:textId="77777777" w:rsidR="00F920D6" w:rsidRDefault="00F920D6" w:rsidP="00917901">
      <w:pPr>
        <w:spacing w:after="0" w:line="240" w:lineRule="auto"/>
      </w:pPr>
      <w:r>
        <w:separator/>
      </w:r>
    </w:p>
  </w:footnote>
  <w:footnote w:type="continuationSeparator" w:id="0">
    <w:p w14:paraId="02AEA2EA" w14:textId="77777777" w:rsidR="00F920D6" w:rsidRDefault="00F920D6" w:rsidP="009179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8933338"/>
      <w:docPartObj>
        <w:docPartGallery w:val="Page Numbers (Top of Page)"/>
        <w:docPartUnique/>
      </w:docPartObj>
    </w:sdtPr>
    <w:sdtEndPr>
      <w:rPr>
        <w:noProof/>
      </w:rPr>
    </w:sdtEndPr>
    <w:sdtContent>
      <w:p w14:paraId="71C4B827" w14:textId="126761E2" w:rsidR="00917901" w:rsidRDefault="00917901">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CB29ADA" w14:textId="77777777" w:rsidR="00917901" w:rsidRDefault="0091790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7901"/>
    <w:rsid w:val="000C7205"/>
    <w:rsid w:val="001B695F"/>
    <w:rsid w:val="001C100A"/>
    <w:rsid w:val="001C4A06"/>
    <w:rsid w:val="001E7896"/>
    <w:rsid w:val="001E7E20"/>
    <w:rsid w:val="002E21B4"/>
    <w:rsid w:val="00361173"/>
    <w:rsid w:val="00362E89"/>
    <w:rsid w:val="003A7ACF"/>
    <w:rsid w:val="00413C58"/>
    <w:rsid w:val="00450B3F"/>
    <w:rsid w:val="004B3893"/>
    <w:rsid w:val="004B3D30"/>
    <w:rsid w:val="00544286"/>
    <w:rsid w:val="00557763"/>
    <w:rsid w:val="00581D52"/>
    <w:rsid w:val="005D750B"/>
    <w:rsid w:val="00641149"/>
    <w:rsid w:val="00647582"/>
    <w:rsid w:val="00647F4F"/>
    <w:rsid w:val="00697B69"/>
    <w:rsid w:val="006A3A50"/>
    <w:rsid w:val="007D4F8C"/>
    <w:rsid w:val="008153E7"/>
    <w:rsid w:val="00915F13"/>
    <w:rsid w:val="00917901"/>
    <w:rsid w:val="009F0E8E"/>
    <w:rsid w:val="00A22AAC"/>
    <w:rsid w:val="00AB2B75"/>
    <w:rsid w:val="00AC3D5C"/>
    <w:rsid w:val="00B058DA"/>
    <w:rsid w:val="00B07662"/>
    <w:rsid w:val="00B22F45"/>
    <w:rsid w:val="00B72A11"/>
    <w:rsid w:val="00BC6172"/>
    <w:rsid w:val="00C727E5"/>
    <w:rsid w:val="00C84FB4"/>
    <w:rsid w:val="00CF7980"/>
    <w:rsid w:val="00D17B5A"/>
    <w:rsid w:val="00DB6CDC"/>
    <w:rsid w:val="00F86C38"/>
    <w:rsid w:val="00F920D6"/>
    <w:rsid w:val="00FC40AF"/>
    <w:rsid w:val="11EA1D56"/>
    <w:rsid w:val="7A9FAE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C380B5"/>
  <w15:chartTrackingRefBased/>
  <w15:docId w15:val="{55B853B3-9DE0-4E2E-9DC9-F2DF72421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7901"/>
  </w:style>
  <w:style w:type="paragraph" w:styleId="Heading1">
    <w:name w:val="heading 1"/>
    <w:basedOn w:val="Normal"/>
    <w:next w:val="Normal"/>
    <w:link w:val="Heading1Char"/>
    <w:uiPriority w:val="9"/>
    <w:qFormat/>
    <w:rsid w:val="0091790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1790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1790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1790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1790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1790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790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790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790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90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1790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1790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790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790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79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79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79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7901"/>
    <w:rPr>
      <w:rFonts w:eastAsiaTheme="majorEastAsia" w:cstheme="majorBidi"/>
      <w:color w:val="272727" w:themeColor="text1" w:themeTint="D8"/>
    </w:rPr>
  </w:style>
  <w:style w:type="paragraph" w:styleId="Title">
    <w:name w:val="Title"/>
    <w:basedOn w:val="Normal"/>
    <w:next w:val="Normal"/>
    <w:link w:val="TitleChar"/>
    <w:uiPriority w:val="10"/>
    <w:qFormat/>
    <w:rsid w:val="009179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79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790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79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7901"/>
    <w:pPr>
      <w:spacing w:before="160"/>
      <w:jc w:val="center"/>
    </w:pPr>
    <w:rPr>
      <w:i/>
      <w:iCs/>
      <w:color w:val="404040" w:themeColor="text1" w:themeTint="BF"/>
    </w:rPr>
  </w:style>
  <w:style w:type="character" w:customStyle="1" w:styleId="QuoteChar">
    <w:name w:val="Quote Char"/>
    <w:basedOn w:val="DefaultParagraphFont"/>
    <w:link w:val="Quote"/>
    <w:uiPriority w:val="29"/>
    <w:rsid w:val="00917901"/>
    <w:rPr>
      <w:i/>
      <w:iCs/>
      <w:color w:val="404040" w:themeColor="text1" w:themeTint="BF"/>
    </w:rPr>
  </w:style>
  <w:style w:type="paragraph" w:styleId="ListParagraph">
    <w:name w:val="List Paragraph"/>
    <w:basedOn w:val="Normal"/>
    <w:uiPriority w:val="34"/>
    <w:qFormat/>
    <w:rsid w:val="00917901"/>
    <w:pPr>
      <w:ind w:left="720"/>
      <w:contextualSpacing/>
    </w:pPr>
  </w:style>
  <w:style w:type="character" w:styleId="IntenseEmphasis">
    <w:name w:val="Intense Emphasis"/>
    <w:basedOn w:val="DefaultParagraphFont"/>
    <w:uiPriority w:val="21"/>
    <w:qFormat/>
    <w:rsid w:val="00917901"/>
    <w:rPr>
      <w:i/>
      <w:iCs/>
      <w:color w:val="0F4761" w:themeColor="accent1" w:themeShade="BF"/>
    </w:rPr>
  </w:style>
  <w:style w:type="paragraph" w:styleId="IntenseQuote">
    <w:name w:val="Intense Quote"/>
    <w:basedOn w:val="Normal"/>
    <w:next w:val="Normal"/>
    <w:link w:val="IntenseQuoteChar"/>
    <w:uiPriority w:val="30"/>
    <w:qFormat/>
    <w:rsid w:val="009179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17901"/>
    <w:rPr>
      <w:i/>
      <w:iCs/>
      <w:color w:val="0F4761" w:themeColor="accent1" w:themeShade="BF"/>
    </w:rPr>
  </w:style>
  <w:style w:type="character" w:styleId="IntenseReference">
    <w:name w:val="Intense Reference"/>
    <w:basedOn w:val="DefaultParagraphFont"/>
    <w:uiPriority w:val="32"/>
    <w:qFormat/>
    <w:rsid w:val="00917901"/>
    <w:rPr>
      <w:b/>
      <w:bCs/>
      <w:smallCaps/>
      <w:color w:val="0F4761" w:themeColor="accent1" w:themeShade="BF"/>
      <w:spacing w:val="5"/>
    </w:rPr>
  </w:style>
  <w:style w:type="paragraph" w:styleId="Header">
    <w:name w:val="header"/>
    <w:basedOn w:val="Normal"/>
    <w:link w:val="HeaderChar"/>
    <w:uiPriority w:val="99"/>
    <w:unhideWhenUsed/>
    <w:rsid w:val="009179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7901"/>
  </w:style>
  <w:style w:type="paragraph" w:styleId="Footer">
    <w:name w:val="footer"/>
    <w:basedOn w:val="Normal"/>
    <w:link w:val="FooterChar"/>
    <w:uiPriority w:val="99"/>
    <w:unhideWhenUsed/>
    <w:rsid w:val="009179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7901"/>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4B3D30"/>
    <w:pPr>
      <w:spacing w:after="0" w:line="240" w:lineRule="auto"/>
    </w:pPr>
  </w:style>
  <w:style w:type="paragraph" w:styleId="CommentSubject">
    <w:name w:val="annotation subject"/>
    <w:basedOn w:val="CommentText"/>
    <w:next w:val="CommentText"/>
    <w:link w:val="CommentSubjectChar"/>
    <w:uiPriority w:val="99"/>
    <w:semiHidden/>
    <w:unhideWhenUsed/>
    <w:rsid w:val="00647582"/>
    <w:rPr>
      <w:b/>
      <w:bCs/>
    </w:rPr>
  </w:style>
  <w:style w:type="character" w:customStyle="1" w:styleId="CommentSubjectChar">
    <w:name w:val="Comment Subject Char"/>
    <w:basedOn w:val="CommentTextChar"/>
    <w:link w:val="CommentSubject"/>
    <w:uiPriority w:val="99"/>
    <w:semiHidden/>
    <w:rsid w:val="0064758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E9664F3EB6BC54F86463F9F29B3EA0D" ma:contentTypeVersion="15" ma:contentTypeDescription="Create a new document." ma:contentTypeScope="" ma:versionID="b912b9c58f9cad152b81a2d44bcd8575">
  <xsd:schema xmlns:xsd="http://www.w3.org/2001/XMLSchema" xmlns:xs="http://www.w3.org/2001/XMLSchema" xmlns:p="http://schemas.microsoft.com/office/2006/metadata/properties" xmlns:ns2="cdbb9005-5d8d-463c-9461-a96d918feae4" xmlns:ns3="bf96e890-8f4e-48f8-99ab-37e59465cbd8" targetNamespace="http://schemas.microsoft.com/office/2006/metadata/properties" ma:root="true" ma:fieldsID="fb5c869f9e71751d01597cf1a26dee17" ns2:_="" ns3:_="">
    <xsd:import namespace="cdbb9005-5d8d-463c-9461-a96d918feae4"/>
    <xsd:import namespace="bf96e890-8f4e-48f8-99ab-37e59465cbd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bb9005-5d8d-463c-9461-a96d918feae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911b813-a230-4b01-befd-2f84efefd6e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f96e890-8f4e-48f8-99ab-37e59465cbd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dbb9005-5d8d-463c-9461-a96d918feae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416A73F-BCF2-4B80-8A02-14F7472E629E}">
  <ds:schemaRefs>
    <ds:schemaRef ds:uri="http://schemas.microsoft.com/sharepoint/v3/contenttype/forms"/>
  </ds:schemaRefs>
</ds:datastoreItem>
</file>

<file path=customXml/itemProps2.xml><?xml version="1.0" encoding="utf-8"?>
<ds:datastoreItem xmlns:ds="http://schemas.openxmlformats.org/officeDocument/2006/customXml" ds:itemID="{A04A7272-6BC6-4495-BBFB-B59989E697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bb9005-5d8d-463c-9461-a96d918feae4"/>
    <ds:schemaRef ds:uri="bf96e890-8f4e-48f8-99ab-37e59465cb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F61418C-2911-4E6A-92A9-123041441D1B}">
  <ds:schemaRefs>
    <ds:schemaRef ds:uri="http://schemas.microsoft.com/office/2006/metadata/properties"/>
    <ds:schemaRef ds:uri="http://schemas.microsoft.com/office/infopath/2007/PartnerControls"/>
    <ds:schemaRef ds:uri="cdbb9005-5d8d-463c-9461-a96d918feae4"/>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7</Pages>
  <Words>777</Words>
  <Characters>4833</Characters>
  <Application>Microsoft Office Word</Application>
  <DocSecurity>0</DocSecurity>
  <Lines>98</Lines>
  <Paragraphs>27</Paragraphs>
  <ScaleCrop>false</ScaleCrop>
  <Company/>
  <LinksUpToDate>false</LinksUpToDate>
  <CharactersWithSpaces>5583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 W.</dc:creator>
  <cp:keywords/>
  <dc:description/>
  <cp:lastModifiedBy>Dani Wiley</cp:lastModifiedBy>
  <cp:revision>4</cp:revision>
  <dcterms:created xsi:type="dcterms:W3CDTF">2025-06-26T20:29:00Z</dcterms:created>
  <dcterms:modified xsi:type="dcterms:W3CDTF">2025-10-30T15:21:00Z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0x0101000E9664F3EB6BC54F86463F9F29B3EA0D</vt:lpwstr>
  </property>
  <property fmtid="{D5CDD505-2E9C-101B-9397-08002B2CF9AE}" pid="3" name="MediaServiceImageTags">
    <vt:lpwstr/>
  </property>
</Properties>
</file>