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900E0" w14:textId="2112E474" w:rsidR="00E90F43" w:rsidRPr="00F31270" w:rsidRDefault="000A7A5D" w:rsidP="00F31270">
      <w:pPr>
        <w:spacing w:line="240" w:lineRule="auto"/>
        <w:rPr>
          <w:rFonts w:ascii="Times" w:eastAsia="Calibri" w:hAnsi="Times"/>
          <w:b/>
          <w:sz w:val="24"/>
          <w:szCs w:val="24"/>
        </w:rPr>
      </w:pPr>
      <w:r w:rsidRPr="007B3049">
        <w:rPr>
          <w:rFonts w:ascii="Times" w:hAnsi="Times"/>
          <w:b/>
          <w:sz w:val="24"/>
          <w:szCs w:val="24"/>
        </w:rPr>
        <w:t>S</w:t>
      </w:r>
      <w:r w:rsidR="00D1739B" w:rsidRPr="007B3049">
        <w:rPr>
          <w:rFonts w:ascii="Times" w:hAnsi="Times"/>
          <w:b/>
          <w:sz w:val="24"/>
          <w:szCs w:val="24"/>
        </w:rPr>
        <w:t>UPPLEMENTAL MATERIAL</w:t>
      </w:r>
      <w:r w:rsidRPr="007B3049">
        <w:rPr>
          <w:rFonts w:ascii="Times" w:hAnsi="Times"/>
          <w:b/>
          <w:sz w:val="24"/>
          <w:szCs w:val="24"/>
        </w:rPr>
        <w:t xml:space="preserve"> </w:t>
      </w:r>
      <w:r w:rsidR="00D1739B" w:rsidRPr="007B3049">
        <w:rPr>
          <w:rFonts w:ascii="Times" w:hAnsi="Times"/>
          <w:b/>
          <w:noProof/>
          <w:sz w:val="24"/>
          <w:szCs w:val="24"/>
        </w:rPr>
        <w:drawing>
          <wp:inline distT="0" distB="0" distL="0" distR="0" wp14:anchorId="6A081C65" wp14:editId="543643F4">
            <wp:extent cx="5943600" cy="6167120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MOI-04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22"/>
                    <a:stretch/>
                  </pic:blipFill>
                  <pic:spPr bwMode="auto">
                    <a:xfrm>
                      <a:off x="0" y="0"/>
                      <a:ext cx="5943600" cy="6167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051415" w14:textId="135787D9" w:rsidR="00E90F43" w:rsidRPr="007B3049" w:rsidRDefault="000A7A5D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b/>
          <w:sz w:val="24"/>
          <w:szCs w:val="24"/>
        </w:rPr>
        <w:t xml:space="preserve">Figure </w:t>
      </w:r>
      <w:r w:rsidR="00D1739B" w:rsidRPr="007B3049">
        <w:rPr>
          <w:rFonts w:ascii="Times" w:hAnsi="Times"/>
          <w:b/>
          <w:sz w:val="24"/>
          <w:szCs w:val="24"/>
        </w:rPr>
        <w:t>S</w:t>
      </w:r>
      <w:r w:rsidRPr="007B3049">
        <w:rPr>
          <w:rFonts w:ascii="Times" w:hAnsi="Times"/>
          <w:b/>
          <w:sz w:val="24"/>
          <w:szCs w:val="24"/>
        </w:rPr>
        <w:t>1.</w:t>
      </w:r>
      <w:r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i/>
          <w:sz w:val="24"/>
          <w:szCs w:val="24"/>
        </w:rPr>
        <w:t>Comparison of total retinal thickness among dementia subtype</w:t>
      </w:r>
      <w:r w:rsidR="00EE24DA">
        <w:rPr>
          <w:rFonts w:ascii="Times" w:hAnsi="Times"/>
          <w:i/>
          <w:sz w:val="24"/>
          <w:szCs w:val="24"/>
        </w:rPr>
        <w:t>s</w:t>
      </w:r>
      <w:r w:rsidR="00D1739B" w:rsidRPr="007B3049">
        <w:rPr>
          <w:rFonts w:ascii="Times" w:hAnsi="Times"/>
          <w:i/>
          <w:sz w:val="24"/>
          <w:szCs w:val="24"/>
        </w:rPr>
        <w:t>.</w:t>
      </w:r>
      <w:r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b/>
          <w:sz w:val="24"/>
          <w:szCs w:val="24"/>
        </w:rPr>
        <w:t>A</w:t>
      </w:r>
      <w:r w:rsidRPr="007B3049">
        <w:rPr>
          <w:rFonts w:ascii="Times" w:hAnsi="Times"/>
          <w:sz w:val="24"/>
          <w:szCs w:val="24"/>
        </w:rPr>
        <w:t xml:space="preserve">. Heat map of total retinal thickness divided into subsections centered around the macula </w:t>
      </w:r>
      <w:r w:rsidRPr="007B3049">
        <w:rPr>
          <w:rFonts w:ascii="Times" w:hAnsi="Times"/>
          <w:b/>
          <w:sz w:val="24"/>
          <w:szCs w:val="24"/>
        </w:rPr>
        <w:t>B</w:t>
      </w:r>
      <w:r w:rsidRPr="007B3049">
        <w:rPr>
          <w:rFonts w:ascii="Times" w:hAnsi="Times"/>
          <w:sz w:val="24"/>
          <w:szCs w:val="24"/>
        </w:rPr>
        <w:t xml:space="preserve">. Comparison of total retinal volume between internal limiting membrane and the basement membrane </w:t>
      </w:r>
      <w:r w:rsidR="007B24F2" w:rsidRPr="007B3049">
        <w:rPr>
          <w:rFonts w:ascii="Times" w:hAnsi="Times"/>
          <w:sz w:val="24"/>
          <w:szCs w:val="24"/>
        </w:rPr>
        <w:t>highlighting no significant differences among dementia subtype</w:t>
      </w:r>
      <w:r w:rsidR="00EE24DA">
        <w:rPr>
          <w:rFonts w:ascii="Times" w:hAnsi="Times"/>
          <w:sz w:val="24"/>
          <w:szCs w:val="24"/>
        </w:rPr>
        <w:t>s</w:t>
      </w:r>
      <w:r w:rsidR="007B24F2" w:rsidRPr="007B3049">
        <w:rPr>
          <w:rFonts w:ascii="Times" w:hAnsi="Times"/>
          <w:sz w:val="24"/>
          <w:szCs w:val="24"/>
        </w:rPr>
        <w:t>.</w:t>
      </w:r>
      <w:r w:rsidRPr="007B3049">
        <w:rPr>
          <w:rFonts w:ascii="Times" w:hAnsi="Times"/>
          <w:b/>
          <w:sz w:val="24"/>
          <w:szCs w:val="24"/>
        </w:rPr>
        <w:t xml:space="preserve"> C</w:t>
      </w:r>
      <w:r w:rsidRPr="007B3049">
        <w:rPr>
          <w:rFonts w:ascii="Times" w:hAnsi="Times"/>
          <w:sz w:val="24"/>
          <w:szCs w:val="24"/>
        </w:rPr>
        <w:t>. Analysis of total retinal thickness in various subsections centered around the fovea</w:t>
      </w:r>
      <w:r w:rsidR="007B24F2" w:rsidRPr="007B3049">
        <w:rPr>
          <w:rFonts w:ascii="Times" w:hAnsi="Times"/>
          <w:sz w:val="24"/>
          <w:szCs w:val="24"/>
        </w:rPr>
        <w:t>, with no differences found</w:t>
      </w:r>
      <w:r w:rsidRPr="007B3049">
        <w:rPr>
          <w:rFonts w:ascii="Times" w:hAnsi="Times"/>
          <w:sz w:val="24"/>
          <w:szCs w:val="24"/>
        </w:rPr>
        <w:t xml:space="preserve"> </w:t>
      </w:r>
      <w:r w:rsidR="007B24F2" w:rsidRPr="007B3049">
        <w:rPr>
          <w:rFonts w:ascii="Times" w:hAnsi="Times"/>
          <w:sz w:val="24"/>
          <w:szCs w:val="24"/>
        </w:rPr>
        <w:t>related to</w:t>
      </w:r>
      <w:r w:rsidRPr="007B3049">
        <w:rPr>
          <w:rFonts w:ascii="Times" w:hAnsi="Times"/>
          <w:sz w:val="24"/>
          <w:szCs w:val="24"/>
        </w:rPr>
        <w:t xml:space="preserve"> dementia subtype.</w:t>
      </w:r>
      <w:r w:rsidR="009E4AF3">
        <w:rPr>
          <w:rFonts w:ascii="Times" w:hAnsi="Times"/>
          <w:sz w:val="24"/>
          <w:szCs w:val="24"/>
        </w:rPr>
        <w:t xml:space="preserve"> </w:t>
      </w:r>
      <w:bookmarkStart w:id="0" w:name="_GoBack"/>
      <w:bookmarkEnd w:id="0"/>
      <w:r w:rsidRPr="007B3049">
        <w:rPr>
          <w:rFonts w:ascii="Times" w:hAnsi="Times"/>
          <w:sz w:val="24"/>
          <w:szCs w:val="24"/>
        </w:rPr>
        <w:t>Abbreviations: S, superior; T, temporal; I, inferior, N, nasal; 1, 3 mm from foveal center; 2, 6 mm from foveal center</w:t>
      </w:r>
    </w:p>
    <w:p w14:paraId="0DE06B68" w14:textId="77777777" w:rsidR="00E90F43" w:rsidRPr="007B3049" w:rsidRDefault="00E90F43">
      <w:pPr>
        <w:rPr>
          <w:rFonts w:ascii="Times" w:hAnsi="Times"/>
          <w:sz w:val="24"/>
          <w:szCs w:val="24"/>
        </w:rPr>
      </w:pPr>
    </w:p>
    <w:p w14:paraId="75853F55" w14:textId="77777777" w:rsidR="002B0841" w:rsidRPr="007B3049" w:rsidRDefault="002B0841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noProof/>
          <w:sz w:val="24"/>
          <w:szCs w:val="24"/>
        </w:rPr>
        <w:lastRenderedPageBreak/>
        <w:drawing>
          <wp:inline distT="0" distB="0" distL="0" distR="0" wp14:anchorId="40D9CBBF" wp14:editId="7E6A2BA2">
            <wp:extent cx="5578252" cy="6360160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MOI-11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96"/>
                    <a:stretch/>
                  </pic:blipFill>
                  <pic:spPr bwMode="auto">
                    <a:xfrm>
                      <a:off x="0" y="0"/>
                      <a:ext cx="5586959" cy="6370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0F492A" w14:textId="430322F2" w:rsidR="00E90F43" w:rsidRPr="007B3049" w:rsidRDefault="000A7A5D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b/>
          <w:sz w:val="24"/>
          <w:szCs w:val="24"/>
        </w:rPr>
        <w:t xml:space="preserve">Figure </w:t>
      </w:r>
      <w:r w:rsidR="002B0841" w:rsidRPr="007B3049">
        <w:rPr>
          <w:rFonts w:ascii="Times" w:hAnsi="Times"/>
          <w:b/>
          <w:sz w:val="24"/>
          <w:szCs w:val="24"/>
        </w:rPr>
        <w:t>S</w:t>
      </w:r>
      <w:r w:rsidRPr="007B3049">
        <w:rPr>
          <w:rFonts w:ascii="Times" w:hAnsi="Times"/>
          <w:b/>
          <w:sz w:val="24"/>
          <w:szCs w:val="24"/>
        </w:rPr>
        <w:t>2.</w:t>
      </w:r>
      <w:r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i/>
          <w:sz w:val="24"/>
          <w:szCs w:val="24"/>
        </w:rPr>
        <w:t>Comparison of macular retinal layer thickness in the ganglion cell layer, retinal nerve fiber layer, and inner plexiform layer</w:t>
      </w:r>
      <w:r w:rsidRPr="007B3049">
        <w:rPr>
          <w:rFonts w:ascii="Times" w:hAnsi="Times"/>
          <w:sz w:val="24"/>
          <w:szCs w:val="24"/>
        </w:rPr>
        <w:t xml:space="preserve">. </w:t>
      </w:r>
      <w:r w:rsidRPr="007B3049">
        <w:rPr>
          <w:rFonts w:ascii="Times" w:hAnsi="Times"/>
          <w:b/>
          <w:sz w:val="24"/>
          <w:szCs w:val="24"/>
        </w:rPr>
        <w:t>A</w:t>
      </w:r>
      <w:r w:rsidRPr="007B3049">
        <w:rPr>
          <w:rFonts w:ascii="Times" w:hAnsi="Times"/>
          <w:sz w:val="24"/>
          <w:szCs w:val="24"/>
        </w:rPr>
        <w:t xml:space="preserve">. </w:t>
      </w:r>
      <w:r w:rsidR="002B0841" w:rsidRPr="007B3049">
        <w:rPr>
          <w:rFonts w:ascii="Times" w:hAnsi="Times"/>
          <w:sz w:val="24"/>
          <w:szCs w:val="24"/>
        </w:rPr>
        <w:t>No differences in</w:t>
      </w:r>
      <w:r w:rsidRPr="007B3049">
        <w:rPr>
          <w:rFonts w:ascii="Times" w:hAnsi="Times"/>
          <w:sz w:val="24"/>
          <w:szCs w:val="24"/>
        </w:rPr>
        <w:t xml:space="preserve"> GCL</w:t>
      </w:r>
      <w:r w:rsidR="002B0841" w:rsidRPr="007B3049">
        <w:rPr>
          <w:rFonts w:ascii="Times" w:hAnsi="Times"/>
          <w:sz w:val="24"/>
          <w:szCs w:val="24"/>
        </w:rPr>
        <w:t xml:space="preserve"> thickness</w:t>
      </w:r>
      <w:r w:rsidRPr="007B3049">
        <w:rPr>
          <w:rFonts w:ascii="Times" w:hAnsi="Times"/>
          <w:sz w:val="24"/>
          <w:szCs w:val="24"/>
        </w:rPr>
        <w:t xml:space="preserve"> among dementia subtypes measured in anatomic regions centered on the macula. </w:t>
      </w:r>
      <w:r w:rsidRPr="007B3049">
        <w:rPr>
          <w:rFonts w:ascii="Times" w:hAnsi="Times"/>
          <w:b/>
          <w:sz w:val="24"/>
          <w:szCs w:val="24"/>
        </w:rPr>
        <w:t>B</w:t>
      </w:r>
      <w:r w:rsidRPr="007B3049">
        <w:rPr>
          <w:rFonts w:ascii="Times" w:hAnsi="Times"/>
          <w:sz w:val="24"/>
          <w:szCs w:val="24"/>
        </w:rPr>
        <w:t xml:space="preserve">. </w:t>
      </w:r>
      <w:r w:rsidR="002B0841" w:rsidRPr="007B3049">
        <w:rPr>
          <w:rFonts w:ascii="Times" w:hAnsi="Times"/>
          <w:sz w:val="24"/>
          <w:szCs w:val="24"/>
        </w:rPr>
        <w:t>No differences were found in macular</w:t>
      </w:r>
      <w:r w:rsidRPr="007B3049">
        <w:rPr>
          <w:rFonts w:ascii="Times" w:hAnsi="Times"/>
          <w:sz w:val="24"/>
          <w:szCs w:val="24"/>
        </w:rPr>
        <w:t xml:space="preserve"> RNFL thickness among dementia subtypes</w:t>
      </w:r>
      <w:r w:rsidR="00EE24DA">
        <w:rPr>
          <w:rFonts w:ascii="Times" w:hAnsi="Times"/>
          <w:sz w:val="24"/>
          <w:szCs w:val="24"/>
        </w:rPr>
        <w:t>.</w:t>
      </w:r>
      <w:r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b/>
          <w:sz w:val="24"/>
          <w:szCs w:val="24"/>
        </w:rPr>
        <w:t>C.</w:t>
      </w:r>
      <w:r w:rsidRPr="007B3049">
        <w:rPr>
          <w:rFonts w:ascii="Times" w:hAnsi="Times"/>
          <w:sz w:val="24"/>
          <w:szCs w:val="24"/>
        </w:rPr>
        <w:t xml:space="preserve"> Analysis of IPL thickness among dementia subtypes measured in anatomic regions centered on the macula</w:t>
      </w:r>
      <w:r w:rsidR="002B0841" w:rsidRPr="007B3049">
        <w:rPr>
          <w:rFonts w:ascii="Times" w:hAnsi="Times"/>
          <w:sz w:val="24"/>
          <w:szCs w:val="24"/>
        </w:rPr>
        <w:t xml:space="preserve"> demonstrated no differences</w:t>
      </w:r>
      <w:r w:rsidRPr="007B3049">
        <w:rPr>
          <w:rFonts w:ascii="Times" w:hAnsi="Times"/>
          <w:sz w:val="24"/>
          <w:szCs w:val="24"/>
        </w:rPr>
        <w:t xml:space="preserve">. Abbreviations: GCL, ganglion cell layer; RNFL, retinal nerve fiber layer; IPL, inner plexiform layer; C, center; S, superior; N, nasal; I, inferior; T, temporal; 1, 3 mm from macular center; 2, 6mm from macular center. One eye from one AD subject had uninterpretable scans due to motion and were thus excluded from the analysis. </w:t>
      </w:r>
    </w:p>
    <w:p w14:paraId="6776D315" w14:textId="77777777" w:rsidR="00E90F43" w:rsidRPr="007B3049" w:rsidRDefault="002B0841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noProof/>
          <w:sz w:val="24"/>
          <w:szCs w:val="24"/>
        </w:rPr>
        <w:lastRenderedPageBreak/>
        <w:drawing>
          <wp:inline distT="0" distB="0" distL="0" distR="0" wp14:anchorId="4A18F078" wp14:editId="39CE06EF">
            <wp:extent cx="5943600" cy="55778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MOI-12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483"/>
                    <a:stretch/>
                  </pic:blipFill>
                  <pic:spPr bwMode="auto">
                    <a:xfrm>
                      <a:off x="0" y="0"/>
                      <a:ext cx="5943600" cy="5577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AFD1B2" w14:textId="0869909A" w:rsidR="00E90F43" w:rsidRPr="007B3049" w:rsidRDefault="000A7A5D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b/>
          <w:sz w:val="24"/>
          <w:szCs w:val="24"/>
        </w:rPr>
        <w:t xml:space="preserve">Figure </w:t>
      </w:r>
      <w:r w:rsidR="002B0841" w:rsidRPr="007B3049">
        <w:rPr>
          <w:rFonts w:ascii="Times" w:hAnsi="Times"/>
          <w:b/>
          <w:sz w:val="24"/>
          <w:szCs w:val="24"/>
        </w:rPr>
        <w:t>S</w:t>
      </w:r>
      <w:r w:rsidRPr="007B3049">
        <w:rPr>
          <w:rFonts w:ascii="Times" w:hAnsi="Times"/>
          <w:b/>
          <w:sz w:val="24"/>
          <w:szCs w:val="24"/>
        </w:rPr>
        <w:t>3.</w:t>
      </w:r>
      <w:r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i/>
          <w:sz w:val="24"/>
          <w:szCs w:val="24"/>
        </w:rPr>
        <w:t>Analysis of macular retinal thickness in the ONL and the outer retinal layer</w:t>
      </w:r>
      <w:r w:rsidRPr="007B3049">
        <w:rPr>
          <w:rFonts w:ascii="Times" w:hAnsi="Times"/>
          <w:sz w:val="24"/>
          <w:szCs w:val="24"/>
        </w:rPr>
        <w:t xml:space="preserve">. </w:t>
      </w:r>
      <w:r w:rsidRPr="007B3049">
        <w:rPr>
          <w:rFonts w:ascii="Times" w:hAnsi="Times"/>
          <w:b/>
          <w:sz w:val="24"/>
          <w:szCs w:val="24"/>
        </w:rPr>
        <w:t>A.</w:t>
      </w:r>
      <w:r w:rsidRPr="007B3049">
        <w:rPr>
          <w:rFonts w:ascii="Times" w:hAnsi="Times"/>
          <w:sz w:val="24"/>
          <w:szCs w:val="24"/>
        </w:rPr>
        <w:t xml:space="preserve"> Measurements of macular ONL thickness show no significant difference</w:t>
      </w:r>
      <w:r w:rsidR="00EE24DA">
        <w:rPr>
          <w:rFonts w:ascii="Times" w:hAnsi="Times"/>
          <w:sz w:val="24"/>
          <w:szCs w:val="24"/>
        </w:rPr>
        <w:t>s</w:t>
      </w:r>
      <w:r w:rsidRPr="007B3049">
        <w:rPr>
          <w:rFonts w:ascii="Times" w:hAnsi="Times"/>
          <w:sz w:val="24"/>
          <w:szCs w:val="24"/>
        </w:rPr>
        <w:t xml:space="preserve"> </w:t>
      </w:r>
      <w:r w:rsidR="00EE24DA">
        <w:rPr>
          <w:rFonts w:ascii="Times" w:hAnsi="Times"/>
          <w:sz w:val="24"/>
          <w:szCs w:val="24"/>
        </w:rPr>
        <w:t xml:space="preserve">among </w:t>
      </w:r>
      <w:r w:rsidRPr="007B3049">
        <w:rPr>
          <w:rFonts w:ascii="Times" w:hAnsi="Times"/>
          <w:sz w:val="24"/>
          <w:szCs w:val="24"/>
        </w:rPr>
        <w:t>dementia subtype</w:t>
      </w:r>
      <w:r w:rsidR="00EE24DA">
        <w:rPr>
          <w:rFonts w:ascii="Times" w:hAnsi="Times"/>
          <w:sz w:val="24"/>
          <w:szCs w:val="24"/>
        </w:rPr>
        <w:t>s</w:t>
      </w:r>
      <w:r w:rsidRPr="007B3049">
        <w:rPr>
          <w:rFonts w:ascii="Times" w:hAnsi="Times"/>
          <w:sz w:val="24"/>
          <w:szCs w:val="24"/>
        </w:rPr>
        <w:t xml:space="preserve"> in anatomic regions centered around the macula. </w:t>
      </w:r>
      <w:r w:rsidRPr="007B3049">
        <w:rPr>
          <w:rFonts w:ascii="Times" w:hAnsi="Times"/>
          <w:b/>
          <w:sz w:val="24"/>
          <w:szCs w:val="24"/>
        </w:rPr>
        <w:t>B</w:t>
      </w:r>
      <w:r w:rsidRPr="007B3049">
        <w:rPr>
          <w:rFonts w:ascii="Times" w:hAnsi="Times"/>
          <w:sz w:val="24"/>
          <w:szCs w:val="24"/>
        </w:rPr>
        <w:t xml:space="preserve">. Outer retinal thickness measurements show no significant </w:t>
      </w:r>
      <w:r w:rsidR="00EE24DA">
        <w:rPr>
          <w:rFonts w:ascii="Times" w:hAnsi="Times"/>
          <w:sz w:val="24"/>
          <w:szCs w:val="24"/>
        </w:rPr>
        <w:t>d</w:t>
      </w:r>
      <w:r w:rsidRPr="007B3049">
        <w:rPr>
          <w:rFonts w:ascii="Times" w:hAnsi="Times"/>
          <w:sz w:val="24"/>
          <w:szCs w:val="24"/>
        </w:rPr>
        <w:t xml:space="preserve">ifference </w:t>
      </w:r>
      <w:r w:rsidR="00EE24DA">
        <w:rPr>
          <w:rFonts w:ascii="Times" w:hAnsi="Times"/>
          <w:sz w:val="24"/>
          <w:szCs w:val="24"/>
        </w:rPr>
        <w:t xml:space="preserve">among </w:t>
      </w:r>
      <w:r w:rsidRPr="007B3049">
        <w:rPr>
          <w:rFonts w:ascii="Times" w:hAnsi="Times"/>
          <w:sz w:val="24"/>
          <w:szCs w:val="24"/>
        </w:rPr>
        <w:t>dementia subtype</w:t>
      </w:r>
      <w:r w:rsidR="00EE24DA">
        <w:rPr>
          <w:rFonts w:ascii="Times" w:hAnsi="Times"/>
          <w:sz w:val="24"/>
          <w:szCs w:val="24"/>
        </w:rPr>
        <w:t>s</w:t>
      </w:r>
      <w:r w:rsidRPr="007B3049">
        <w:rPr>
          <w:rFonts w:ascii="Times" w:hAnsi="Times"/>
          <w:sz w:val="24"/>
          <w:szCs w:val="24"/>
        </w:rPr>
        <w:t xml:space="preserve"> in anatomic regions centered around the macula. Abbreviations: ONL, outer nuclear layer; C, center; S, superior; N, nasal; I, inferior; T, temporal; 1, 3 mm from macular center; 2, 6mm from macular c</w:t>
      </w:r>
      <w:r w:rsidR="009E4AF3">
        <w:rPr>
          <w:rFonts w:ascii="Times" w:hAnsi="Times"/>
          <w:sz w:val="24"/>
          <w:szCs w:val="24"/>
        </w:rPr>
        <w:t>e</w:t>
      </w:r>
      <w:r w:rsidRPr="007B3049">
        <w:rPr>
          <w:rFonts w:ascii="Times" w:hAnsi="Times"/>
          <w:sz w:val="24"/>
          <w:szCs w:val="24"/>
        </w:rPr>
        <w:t xml:space="preserve">nter. One eye from one AD subject had uninterpretable scans due to motion and were thus excluded from the analysis. </w:t>
      </w:r>
    </w:p>
    <w:p w14:paraId="7B0C7500" w14:textId="77777777" w:rsidR="00E90F43" w:rsidRPr="007B3049" w:rsidRDefault="00E90F43">
      <w:pPr>
        <w:rPr>
          <w:rFonts w:ascii="Times" w:hAnsi="Times"/>
          <w:sz w:val="24"/>
          <w:szCs w:val="24"/>
        </w:rPr>
      </w:pPr>
    </w:p>
    <w:p w14:paraId="27F16AF3" w14:textId="77777777" w:rsidR="002B0841" w:rsidRPr="007B3049" w:rsidRDefault="002B0841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sz w:val="24"/>
          <w:szCs w:val="24"/>
        </w:rPr>
        <w:br w:type="page"/>
      </w:r>
    </w:p>
    <w:p w14:paraId="73A0C01F" w14:textId="77777777" w:rsidR="002B0841" w:rsidRPr="007B3049" w:rsidRDefault="002B0841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noProof/>
          <w:sz w:val="24"/>
          <w:szCs w:val="24"/>
        </w:rPr>
        <w:lastRenderedPageBreak/>
        <w:drawing>
          <wp:inline distT="0" distB="0" distL="0" distR="0" wp14:anchorId="2FECC269" wp14:editId="28EB09D7">
            <wp:extent cx="5943600" cy="672592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MMOI-08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557"/>
                    <a:stretch/>
                  </pic:blipFill>
                  <pic:spPr bwMode="auto">
                    <a:xfrm>
                      <a:off x="0" y="0"/>
                      <a:ext cx="5943600" cy="6725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B52953" w14:textId="0F893D26" w:rsidR="00E90F43" w:rsidRPr="007B3049" w:rsidRDefault="000A7A5D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b/>
          <w:sz w:val="24"/>
          <w:szCs w:val="24"/>
        </w:rPr>
        <w:t xml:space="preserve">Figure </w:t>
      </w:r>
      <w:r w:rsidR="002B0841" w:rsidRPr="007B3049">
        <w:rPr>
          <w:rFonts w:ascii="Times" w:hAnsi="Times"/>
          <w:b/>
          <w:sz w:val="24"/>
          <w:szCs w:val="24"/>
        </w:rPr>
        <w:t>S</w:t>
      </w:r>
      <w:r w:rsidRPr="007B3049">
        <w:rPr>
          <w:rFonts w:ascii="Times" w:hAnsi="Times"/>
          <w:b/>
          <w:sz w:val="24"/>
          <w:szCs w:val="24"/>
        </w:rPr>
        <w:t>4.</w:t>
      </w:r>
      <w:r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i/>
          <w:sz w:val="24"/>
          <w:szCs w:val="24"/>
        </w:rPr>
        <w:t>Posterior pole analysis among dementia subtype</w:t>
      </w:r>
      <w:r w:rsidR="00EE24DA">
        <w:rPr>
          <w:rFonts w:ascii="Times" w:hAnsi="Times"/>
          <w:i/>
          <w:sz w:val="24"/>
          <w:szCs w:val="24"/>
        </w:rPr>
        <w:t>s</w:t>
      </w:r>
      <w:r w:rsidR="002B0841" w:rsidRPr="007B3049">
        <w:rPr>
          <w:rFonts w:ascii="Times" w:hAnsi="Times"/>
          <w:i/>
          <w:sz w:val="24"/>
          <w:szCs w:val="24"/>
        </w:rPr>
        <w:t>.</w:t>
      </w:r>
      <w:r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b/>
          <w:sz w:val="24"/>
          <w:szCs w:val="24"/>
        </w:rPr>
        <w:t>A</w:t>
      </w:r>
      <w:r w:rsidRPr="007B3049">
        <w:rPr>
          <w:rFonts w:ascii="Times" w:hAnsi="Times"/>
          <w:sz w:val="24"/>
          <w:szCs w:val="24"/>
        </w:rPr>
        <w:t>. Mapped area of division of the posterior pole centered around the macula</w:t>
      </w:r>
      <w:r w:rsidR="002B0841" w:rsidRPr="007B3049">
        <w:rPr>
          <w:rFonts w:ascii="Times" w:hAnsi="Times"/>
          <w:sz w:val="24"/>
          <w:szCs w:val="24"/>
        </w:rPr>
        <w:t>.</w:t>
      </w:r>
      <w:r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b/>
          <w:sz w:val="24"/>
          <w:szCs w:val="24"/>
        </w:rPr>
        <w:t>B.</w:t>
      </w:r>
      <w:r w:rsidRPr="007B3049">
        <w:rPr>
          <w:rFonts w:ascii="Times" w:hAnsi="Times"/>
          <w:sz w:val="24"/>
          <w:szCs w:val="24"/>
        </w:rPr>
        <w:t xml:space="preserve"> Heat map comparison of posterior pole area among dementia subtype</w:t>
      </w:r>
      <w:r w:rsidR="00EE24DA">
        <w:rPr>
          <w:rFonts w:ascii="Times" w:hAnsi="Times"/>
          <w:sz w:val="24"/>
          <w:szCs w:val="24"/>
        </w:rPr>
        <w:t>s. N</w:t>
      </w:r>
      <w:r w:rsidRPr="007B3049">
        <w:rPr>
          <w:rFonts w:ascii="Times" w:hAnsi="Times"/>
          <w:sz w:val="24"/>
          <w:szCs w:val="24"/>
        </w:rPr>
        <w:t xml:space="preserve">o significant difference </w:t>
      </w:r>
      <w:r w:rsidR="00EE24DA">
        <w:rPr>
          <w:rFonts w:ascii="Times" w:hAnsi="Times"/>
          <w:sz w:val="24"/>
          <w:szCs w:val="24"/>
        </w:rPr>
        <w:t xml:space="preserve">was found among </w:t>
      </w:r>
      <w:r w:rsidRPr="007B3049">
        <w:rPr>
          <w:rFonts w:ascii="Times" w:hAnsi="Times"/>
          <w:sz w:val="24"/>
          <w:szCs w:val="24"/>
        </w:rPr>
        <w:t>the three</w:t>
      </w:r>
      <w:r w:rsidR="00EE24DA">
        <w:rPr>
          <w:rFonts w:ascii="Times" w:hAnsi="Times"/>
          <w:sz w:val="24"/>
          <w:szCs w:val="24"/>
        </w:rPr>
        <w:t xml:space="preserve"> cohorts</w:t>
      </w:r>
      <w:r w:rsidRPr="007B3049">
        <w:rPr>
          <w:rFonts w:ascii="Times" w:hAnsi="Times"/>
          <w:sz w:val="24"/>
          <w:szCs w:val="24"/>
        </w:rPr>
        <w:t xml:space="preserve">. Abbreviations: CN, cognitive normal; AD, Alzheimer’s disease; FTD, frontotemporal dementia </w:t>
      </w:r>
    </w:p>
    <w:p w14:paraId="5DFF39C8" w14:textId="77777777" w:rsidR="00E90F43" w:rsidRPr="007B3049" w:rsidRDefault="00E90F43">
      <w:pPr>
        <w:rPr>
          <w:rFonts w:ascii="Times" w:hAnsi="Times"/>
          <w:sz w:val="24"/>
          <w:szCs w:val="24"/>
        </w:rPr>
      </w:pPr>
    </w:p>
    <w:p w14:paraId="23588553" w14:textId="77777777" w:rsidR="002B0841" w:rsidRPr="007B3049" w:rsidRDefault="002B0841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sz w:val="24"/>
          <w:szCs w:val="24"/>
        </w:rPr>
        <w:br w:type="page"/>
      </w:r>
    </w:p>
    <w:p w14:paraId="15FF8890" w14:textId="77777777" w:rsidR="002B0841" w:rsidRPr="007B3049" w:rsidRDefault="002B0841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noProof/>
          <w:sz w:val="24"/>
          <w:szCs w:val="24"/>
        </w:rPr>
        <w:lastRenderedPageBreak/>
        <w:drawing>
          <wp:inline distT="0" distB="0" distL="0" distR="0" wp14:anchorId="5BE552D2" wp14:editId="07A73AB4">
            <wp:extent cx="5943600" cy="2743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MOI-07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336"/>
                    <a:stretch/>
                  </pic:blipFill>
                  <pic:spPr bwMode="auto"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CB0333" w14:textId="075CD5F8" w:rsidR="00E90F43" w:rsidRPr="007B3049" w:rsidRDefault="000A7A5D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b/>
          <w:sz w:val="24"/>
          <w:szCs w:val="24"/>
        </w:rPr>
        <w:t xml:space="preserve">Figure </w:t>
      </w:r>
      <w:r w:rsidR="002B0841" w:rsidRPr="007B3049">
        <w:rPr>
          <w:rFonts w:ascii="Times" w:hAnsi="Times"/>
          <w:b/>
          <w:sz w:val="24"/>
          <w:szCs w:val="24"/>
        </w:rPr>
        <w:t>S</w:t>
      </w:r>
      <w:r w:rsidRPr="007B3049">
        <w:rPr>
          <w:rFonts w:ascii="Times" w:hAnsi="Times"/>
          <w:b/>
          <w:sz w:val="24"/>
          <w:szCs w:val="24"/>
        </w:rPr>
        <w:t>5</w:t>
      </w:r>
      <w:r w:rsidRPr="007B3049">
        <w:rPr>
          <w:rFonts w:ascii="Times" w:hAnsi="Times"/>
          <w:sz w:val="24"/>
          <w:szCs w:val="24"/>
        </w:rPr>
        <w:t xml:space="preserve">. </w:t>
      </w:r>
      <w:r w:rsidRPr="007B3049">
        <w:rPr>
          <w:rFonts w:ascii="Times" w:hAnsi="Times"/>
          <w:i/>
          <w:sz w:val="24"/>
          <w:szCs w:val="24"/>
        </w:rPr>
        <w:t>Analysis of choroidal and retinal flow on OCTA images among dementia subtype</w:t>
      </w:r>
      <w:r w:rsidR="00EE24DA">
        <w:rPr>
          <w:rFonts w:ascii="Times" w:hAnsi="Times"/>
          <w:i/>
          <w:sz w:val="24"/>
          <w:szCs w:val="24"/>
        </w:rPr>
        <w:t>s</w:t>
      </w:r>
      <w:r w:rsidRPr="007B3049">
        <w:rPr>
          <w:rFonts w:ascii="Times" w:hAnsi="Times"/>
          <w:i/>
          <w:sz w:val="24"/>
          <w:szCs w:val="24"/>
        </w:rPr>
        <w:t>.</w:t>
      </w:r>
      <w:r w:rsidRPr="007B3049">
        <w:rPr>
          <w:rFonts w:ascii="Times" w:hAnsi="Times"/>
          <w:sz w:val="24"/>
          <w:szCs w:val="24"/>
        </w:rPr>
        <w:t xml:space="preserve"> Measurement of foveal avascular zone area in the superior vascular complex and the deep vascular complex </w:t>
      </w:r>
      <w:r w:rsidR="002B0841" w:rsidRPr="007B3049">
        <w:rPr>
          <w:rFonts w:ascii="Times" w:hAnsi="Times"/>
          <w:sz w:val="24"/>
          <w:szCs w:val="24"/>
        </w:rPr>
        <w:t>highlights no differences</w:t>
      </w:r>
      <w:r w:rsidR="00CA5A06" w:rsidRPr="007B3049">
        <w:rPr>
          <w:rFonts w:ascii="Times" w:hAnsi="Times"/>
          <w:sz w:val="24"/>
          <w:szCs w:val="24"/>
        </w:rPr>
        <w:t xml:space="preserve"> in FAZ area associated with dementia subtype</w:t>
      </w:r>
      <w:r w:rsidRPr="007B3049">
        <w:rPr>
          <w:rFonts w:ascii="Times" w:hAnsi="Times"/>
          <w:sz w:val="24"/>
          <w:szCs w:val="24"/>
        </w:rPr>
        <w:t xml:space="preserve">. Abbreviations: </w:t>
      </w:r>
      <w:proofErr w:type="spellStart"/>
      <w:r w:rsidRPr="007B3049">
        <w:rPr>
          <w:rFonts w:ascii="Times" w:hAnsi="Times"/>
          <w:sz w:val="24"/>
          <w:szCs w:val="24"/>
        </w:rPr>
        <w:t>abu</w:t>
      </w:r>
      <w:proofErr w:type="spellEnd"/>
      <w:r w:rsidRPr="007B3049">
        <w:rPr>
          <w:rFonts w:ascii="Times" w:hAnsi="Times"/>
          <w:sz w:val="24"/>
          <w:szCs w:val="24"/>
        </w:rPr>
        <w:t xml:space="preserve">, arbitrary unit; FAZ, foveal avascular zone; SVC, superficial vascular complex; DVC, deep vascular complex; CC, </w:t>
      </w:r>
      <w:proofErr w:type="spellStart"/>
      <w:r w:rsidRPr="007B3049">
        <w:rPr>
          <w:rFonts w:ascii="Times" w:hAnsi="Times"/>
          <w:sz w:val="24"/>
          <w:szCs w:val="24"/>
        </w:rPr>
        <w:t>choriocapillaris</w:t>
      </w:r>
      <w:proofErr w:type="spellEnd"/>
      <w:r w:rsidRPr="007B3049">
        <w:rPr>
          <w:rFonts w:ascii="Times" w:hAnsi="Times"/>
          <w:sz w:val="24"/>
          <w:szCs w:val="24"/>
        </w:rPr>
        <w:t xml:space="preserve"> </w:t>
      </w:r>
    </w:p>
    <w:p w14:paraId="7146A0AE" w14:textId="77777777" w:rsidR="00E90F43" w:rsidRPr="007B3049" w:rsidRDefault="00E90F43">
      <w:pPr>
        <w:rPr>
          <w:rFonts w:ascii="Times" w:hAnsi="Times"/>
          <w:sz w:val="24"/>
          <w:szCs w:val="24"/>
        </w:rPr>
      </w:pPr>
    </w:p>
    <w:p w14:paraId="3D8F1571" w14:textId="77777777" w:rsidR="00CA5A06" w:rsidRPr="007B3049" w:rsidRDefault="00CA5A06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sz w:val="24"/>
          <w:szCs w:val="24"/>
        </w:rPr>
        <w:br w:type="page"/>
      </w:r>
    </w:p>
    <w:p w14:paraId="35366EFC" w14:textId="77777777" w:rsidR="00CA5A06" w:rsidRPr="007B3049" w:rsidRDefault="00CA5A06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noProof/>
          <w:sz w:val="24"/>
          <w:szCs w:val="24"/>
        </w:rPr>
        <w:lastRenderedPageBreak/>
        <w:drawing>
          <wp:inline distT="0" distB="0" distL="0" distR="0" wp14:anchorId="3583BAE5" wp14:editId="19A5C32D">
            <wp:extent cx="5943600" cy="6055360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MOI-06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275"/>
                    <a:stretch/>
                  </pic:blipFill>
                  <pic:spPr bwMode="auto">
                    <a:xfrm>
                      <a:off x="0" y="0"/>
                      <a:ext cx="5943600" cy="6055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8B2575" w14:textId="0A129EA5" w:rsidR="00E90F43" w:rsidRPr="007B3049" w:rsidRDefault="000A7A5D">
      <w:pPr>
        <w:rPr>
          <w:rFonts w:ascii="Times" w:hAnsi="Times"/>
          <w:sz w:val="24"/>
          <w:szCs w:val="24"/>
        </w:rPr>
      </w:pPr>
      <w:r w:rsidRPr="007B3049">
        <w:rPr>
          <w:rFonts w:ascii="Times" w:hAnsi="Times"/>
          <w:b/>
          <w:sz w:val="24"/>
          <w:szCs w:val="24"/>
        </w:rPr>
        <w:t xml:space="preserve">Figure </w:t>
      </w:r>
      <w:r w:rsidR="00CA5A06" w:rsidRPr="007B3049">
        <w:rPr>
          <w:rFonts w:ascii="Times" w:hAnsi="Times"/>
          <w:b/>
          <w:sz w:val="24"/>
          <w:szCs w:val="24"/>
        </w:rPr>
        <w:t>S</w:t>
      </w:r>
      <w:r w:rsidRPr="007B3049">
        <w:rPr>
          <w:rFonts w:ascii="Times" w:hAnsi="Times"/>
          <w:b/>
          <w:sz w:val="24"/>
          <w:szCs w:val="24"/>
        </w:rPr>
        <w:t>6</w:t>
      </w:r>
      <w:r w:rsidRPr="007B3049">
        <w:rPr>
          <w:rFonts w:ascii="Times" w:hAnsi="Times"/>
          <w:b/>
          <w:i/>
          <w:sz w:val="24"/>
          <w:szCs w:val="24"/>
        </w:rPr>
        <w:t>.</w:t>
      </w:r>
      <w:r w:rsidRPr="007B3049">
        <w:rPr>
          <w:rFonts w:ascii="Times" w:hAnsi="Times"/>
          <w:i/>
          <w:sz w:val="24"/>
          <w:szCs w:val="24"/>
        </w:rPr>
        <w:t xml:space="preserve"> Comparison of Near-Infrared reflectance</w:t>
      </w:r>
      <w:r w:rsidR="00217C52" w:rsidRPr="007B3049">
        <w:rPr>
          <w:rFonts w:ascii="Times" w:hAnsi="Times"/>
          <w:i/>
          <w:sz w:val="24"/>
          <w:szCs w:val="24"/>
        </w:rPr>
        <w:t xml:space="preserve"> intensity signals</w:t>
      </w:r>
      <w:r w:rsidRPr="007B3049">
        <w:rPr>
          <w:rFonts w:ascii="Times" w:hAnsi="Times"/>
          <w:i/>
          <w:sz w:val="24"/>
          <w:szCs w:val="24"/>
        </w:rPr>
        <w:t xml:space="preserve"> </w:t>
      </w:r>
      <w:r w:rsidR="00217C52" w:rsidRPr="007B3049">
        <w:rPr>
          <w:rFonts w:ascii="Times" w:hAnsi="Times"/>
          <w:i/>
          <w:sz w:val="24"/>
          <w:szCs w:val="24"/>
        </w:rPr>
        <w:t xml:space="preserve">between </w:t>
      </w:r>
      <w:r w:rsidRPr="007B3049">
        <w:rPr>
          <w:rFonts w:ascii="Times" w:hAnsi="Times"/>
          <w:i/>
          <w:sz w:val="24"/>
          <w:szCs w:val="24"/>
        </w:rPr>
        <w:t>dementia subtype</w:t>
      </w:r>
      <w:r w:rsidR="00217C52" w:rsidRPr="007B3049">
        <w:rPr>
          <w:rFonts w:ascii="Times" w:hAnsi="Times"/>
          <w:i/>
          <w:sz w:val="24"/>
          <w:szCs w:val="24"/>
        </w:rPr>
        <w:t>s</w:t>
      </w:r>
      <w:r w:rsidRPr="007B3049">
        <w:rPr>
          <w:rFonts w:ascii="Times" w:hAnsi="Times"/>
          <w:i/>
          <w:sz w:val="24"/>
          <w:szCs w:val="24"/>
        </w:rPr>
        <w:t xml:space="preserve"> </w:t>
      </w:r>
      <w:r w:rsidRPr="007B3049">
        <w:rPr>
          <w:rFonts w:ascii="Times" w:hAnsi="Times"/>
          <w:b/>
          <w:sz w:val="24"/>
          <w:szCs w:val="24"/>
        </w:rPr>
        <w:t xml:space="preserve">A. </w:t>
      </w:r>
      <w:proofErr w:type="spellStart"/>
      <w:r w:rsidRPr="007B3049">
        <w:rPr>
          <w:rFonts w:ascii="Times" w:hAnsi="Times"/>
          <w:sz w:val="24"/>
          <w:szCs w:val="24"/>
        </w:rPr>
        <w:t>Pictoral</w:t>
      </w:r>
      <w:proofErr w:type="spellEnd"/>
      <w:r w:rsidRPr="007B3049">
        <w:rPr>
          <w:rFonts w:ascii="Times" w:hAnsi="Times"/>
          <w:sz w:val="24"/>
          <w:szCs w:val="24"/>
        </w:rPr>
        <w:t xml:space="preserve"> example of analysis completed </w:t>
      </w:r>
      <w:r w:rsidR="00EE24DA">
        <w:rPr>
          <w:rFonts w:ascii="Times" w:hAnsi="Times"/>
          <w:sz w:val="24"/>
          <w:szCs w:val="24"/>
        </w:rPr>
        <w:t>using</w:t>
      </w:r>
      <w:r w:rsidR="00EE24DA" w:rsidRPr="007B3049">
        <w:rPr>
          <w:rFonts w:ascii="Times" w:hAnsi="Times"/>
          <w:sz w:val="24"/>
          <w:szCs w:val="24"/>
        </w:rPr>
        <w:t xml:space="preserve"> </w:t>
      </w:r>
      <w:r w:rsidRPr="007B3049">
        <w:rPr>
          <w:rFonts w:ascii="Times" w:hAnsi="Times"/>
          <w:sz w:val="24"/>
          <w:szCs w:val="24"/>
        </w:rPr>
        <w:t xml:space="preserve">ImageJ software. A standardized area centered on the macula was chosen (green box) and each image was </w:t>
      </w:r>
      <w:proofErr w:type="spellStart"/>
      <w:r w:rsidRPr="007B3049">
        <w:rPr>
          <w:rFonts w:ascii="Times" w:hAnsi="Times"/>
          <w:sz w:val="24"/>
          <w:szCs w:val="24"/>
        </w:rPr>
        <w:t>thresholded</w:t>
      </w:r>
      <w:proofErr w:type="spellEnd"/>
      <w:r w:rsidR="00C469A4">
        <w:rPr>
          <w:rFonts w:ascii="Times" w:hAnsi="Times"/>
          <w:sz w:val="24"/>
          <w:szCs w:val="24"/>
        </w:rPr>
        <w:t xml:space="preserve"> using identical parameters</w:t>
      </w:r>
      <w:r w:rsidRPr="007B3049">
        <w:rPr>
          <w:rFonts w:ascii="Times" w:hAnsi="Times"/>
          <w:sz w:val="24"/>
          <w:szCs w:val="24"/>
        </w:rPr>
        <w:t xml:space="preserve">. Signal intensity was measured as a representation of retinal blood flow. </w:t>
      </w:r>
      <w:r w:rsidRPr="007B3049">
        <w:rPr>
          <w:rFonts w:ascii="Times" w:hAnsi="Times"/>
          <w:b/>
          <w:sz w:val="24"/>
          <w:szCs w:val="24"/>
        </w:rPr>
        <w:t>B.</w:t>
      </w:r>
      <w:r w:rsidRPr="007B3049">
        <w:rPr>
          <w:rFonts w:ascii="Times" w:hAnsi="Times"/>
          <w:sz w:val="24"/>
          <w:szCs w:val="24"/>
        </w:rPr>
        <w:t xml:space="preserve"> Near-infrared reflectance measurements </w:t>
      </w:r>
      <w:r w:rsidR="00217C52" w:rsidRPr="007B3049">
        <w:rPr>
          <w:rFonts w:ascii="Times" w:hAnsi="Times"/>
          <w:sz w:val="24"/>
          <w:szCs w:val="24"/>
        </w:rPr>
        <w:t>were not related to dementia subtype</w:t>
      </w:r>
      <w:r w:rsidRPr="007B3049">
        <w:rPr>
          <w:rFonts w:ascii="Times" w:hAnsi="Times"/>
          <w:sz w:val="24"/>
          <w:szCs w:val="24"/>
        </w:rPr>
        <w:t xml:space="preserve">. Data from one FTD eye was removed due to blurriness of the image. Abbreviations: NIR, near-infrared </w:t>
      </w:r>
    </w:p>
    <w:p w14:paraId="3A28BAD8" w14:textId="77777777" w:rsidR="00E90F43" w:rsidRPr="007B3049" w:rsidRDefault="00E90F43">
      <w:pPr>
        <w:rPr>
          <w:rFonts w:ascii="Times" w:hAnsi="Times"/>
          <w:sz w:val="24"/>
          <w:szCs w:val="24"/>
        </w:rPr>
      </w:pPr>
    </w:p>
    <w:p w14:paraId="4794B2EE" w14:textId="77777777" w:rsidR="00E90F43" w:rsidRPr="007B3049" w:rsidRDefault="00E90F43">
      <w:pPr>
        <w:rPr>
          <w:rFonts w:ascii="Times" w:hAnsi="Times"/>
          <w:sz w:val="24"/>
          <w:szCs w:val="24"/>
        </w:rPr>
      </w:pPr>
    </w:p>
    <w:p w14:paraId="2EA132B9" w14:textId="77777777" w:rsidR="00E90F43" w:rsidRPr="007B3049" w:rsidRDefault="00E90F43">
      <w:pPr>
        <w:rPr>
          <w:rFonts w:ascii="Times" w:hAnsi="Times"/>
          <w:b/>
          <w:sz w:val="24"/>
          <w:szCs w:val="24"/>
        </w:rPr>
      </w:pPr>
    </w:p>
    <w:sectPr w:rsidR="00E90F43" w:rsidRPr="007B3049"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5F4F79" w16cex:dateUtc="2021-05-31T16:05:00Z"/>
  <w16cex:commentExtensible w16cex:durableId="245F7DCC" w16cex:dateUtc="2021-05-31T19:22:00Z"/>
  <w16cex:commentExtensible w16cex:durableId="245F7DE6" w16cex:dateUtc="2021-05-31T19:23:00Z"/>
  <w16cex:commentExtensible w16cex:durableId="245F7E10" w16cex:dateUtc="2021-05-31T19:24:00Z"/>
  <w16cex:commentExtensible w16cex:durableId="245F79A4" w16cex:dateUtc="2021-05-31T19:05:00Z"/>
  <w16cex:commentExtensible w16cex:durableId="245F7C3D" w16cex:dateUtc="2021-05-31T19:16:00Z"/>
  <w16cex:commentExtensible w16cex:durableId="245F7E2F" w16cex:dateUtc="2021-05-31T19:24:00Z"/>
  <w16cex:commentExtensible w16cex:durableId="245F7E58" w16cex:dateUtc="2021-05-31T19:25:00Z"/>
  <w16cex:commentExtensible w16cex:durableId="245F7E89" w16cex:dateUtc="2021-05-31T19:26:00Z"/>
  <w16cex:commentExtensible w16cex:durableId="245F8128" w16cex:dateUtc="2021-05-31T19:37:00Z"/>
  <w16cex:commentExtensible w16cex:durableId="245F823C" w16cex:dateUtc="2021-05-31T19:41:00Z"/>
  <w16cex:commentExtensible w16cex:durableId="245F822F" w16cex:dateUtc="2021-05-31T19:41:00Z"/>
  <w16cex:commentExtensible w16cex:durableId="245F82F3" w16cex:dateUtc="2021-05-31T19:44:00Z"/>
  <w16cex:commentExtensible w16cex:durableId="245F832D" w16cex:dateUtc="2021-05-31T19:45:00Z"/>
  <w16cex:commentExtensible w16cex:durableId="245F839F" w16cex:dateUtc="2021-05-31T19:4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C6C757" w14:textId="77777777" w:rsidR="006D0B53" w:rsidRDefault="006D0B53">
      <w:pPr>
        <w:spacing w:line="240" w:lineRule="auto"/>
      </w:pPr>
      <w:r>
        <w:separator/>
      </w:r>
    </w:p>
  </w:endnote>
  <w:endnote w:type="continuationSeparator" w:id="0">
    <w:p w14:paraId="15FCFAA3" w14:textId="77777777" w:rsidR="006D0B53" w:rsidRDefault="006D0B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07E0A4" w14:textId="77777777" w:rsidR="00FF1D67" w:rsidRDefault="00FF1D67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638465" w14:textId="77777777" w:rsidR="006D0B53" w:rsidRDefault="006D0B53">
      <w:pPr>
        <w:spacing w:line="240" w:lineRule="auto"/>
      </w:pPr>
      <w:r>
        <w:separator/>
      </w:r>
    </w:p>
  </w:footnote>
  <w:footnote w:type="continuationSeparator" w:id="0">
    <w:p w14:paraId="1F0591B2" w14:textId="77777777" w:rsidR="006D0B53" w:rsidRDefault="006D0B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700E65"/>
    <w:multiLevelType w:val="multilevel"/>
    <w:tmpl w:val="DADA6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2215D6"/>
    <w:multiLevelType w:val="hybridMultilevel"/>
    <w:tmpl w:val="599A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F43"/>
    <w:rsid w:val="0000000D"/>
    <w:rsid w:val="0000079B"/>
    <w:rsid w:val="000009B4"/>
    <w:rsid w:val="00010B78"/>
    <w:rsid w:val="0002249E"/>
    <w:rsid w:val="00040B40"/>
    <w:rsid w:val="000600A4"/>
    <w:rsid w:val="000651A9"/>
    <w:rsid w:val="000679D6"/>
    <w:rsid w:val="00087937"/>
    <w:rsid w:val="00087CE6"/>
    <w:rsid w:val="000901F6"/>
    <w:rsid w:val="000A1B61"/>
    <w:rsid w:val="000A7A5D"/>
    <w:rsid w:val="000B35FD"/>
    <w:rsid w:val="000B657C"/>
    <w:rsid w:val="000B71D3"/>
    <w:rsid w:val="000C7095"/>
    <w:rsid w:val="000E19BC"/>
    <w:rsid w:val="000F5A4A"/>
    <w:rsid w:val="0011223E"/>
    <w:rsid w:val="00120B44"/>
    <w:rsid w:val="001313A1"/>
    <w:rsid w:val="0015335C"/>
    <w:rsid w:val="001627F8"/>
    <w:rsid w:val="00182108"/>
    <w:rsid w:val="001A1AFF"/>
    <w:rsid w:val="001B7E17"/>
    <w:rsid w:val="001D1817"/>
    <w:rsid w:val="001D7CF1"/>
    <w:rsid w:val="00200AE4"/>
    <w:rsid w:val="00217C52"/>
    <w:rsid w:val="0025267A"/>
    <w:rsid w:val="00264829"/>
    <w:rsid w:val="00292EFE"/>
    <w:rsid w:val="002A6D55"/>
    <w:rsid w:val="002B0841"/>
    <w:rsid w:val="002B3AF5"/>
    <w:rsid w:val="002C11E0"/>
    <w:rsid w:val="002C5D2D"/>
    <w:rsid w:val="002E0EE4"/>
    <w:rsid w:val="002F71EA"/>
    <w:rsid w:val="00300749"/>
    <w:rsid w:val="003270CC"/>
    <w:rsid w:val="003353B2"/>
    <w:rsid w:val="0033552E"/>
    <w:rsid w:val="003362DF"/>
    <w:rsid w:val="00362132"/>
    <w:rsid w:val="0038754D"/>
    <w:rsid w:val="00390399"/>
    <w:rsid w:val="0039312B"/>
    <w:rsid w:val="00393DC5"/>
    <w:rsid w:val="003F3F40"/>
    <w:rsid w:val="00404291"/>
    <w:rsid w:val="004304A7"/>
    <w:rsid w:val="00432641"/>
    <w:rsid w:val="00451A94"/>
    <w:rsid w:val="0046713D"/>
    <w:rsid w:val="004706ED"/>
    <w:rsid w:val="00484E4F"/>
    <w:rsid w:val="004876D9"/>
    <w:rsid w:val="004929B8"/>
    <w:rsid w:val="00495053"/>
    <w:rsid w:val="004A0B95"/>
    <w:rsid w:val="004B079B"/>
    <w:rsid w:val="004C3E14"/>
    <w:rsid w:val="004D352D"/>
    <w:rsid w:val="004E1F33"/>
    <w:rsid w:val="004F0D4C"/>
    <w:rsid w:val="005020AE"/>
    <w:rsid w:val="00505CB6"/>
    <w:rsid w:val="0052443F"/>
    <w:rsid w:val="0056080F"/>
    <w:rsid w:val="0056672C"/>
    <w:rsid w:val="005A40DE"/>
    <w:rsid w:val="005A5DA9"/>
    <w:rsid w:val="005A6FE3"/>
    <w:rsid w:val="005B3C59"/>
    <w:rsid w:val="00625FEE"/>
    <w:rsid w:val="006616D2"/>
    <w:rsid w:val="00672950"/>
    <w:rsid w:val="00672AEC"/>
    <w:rsid w:val="006A5066"/>
    <w:rsid w:val="006B3FED"/>
    <w:rsid w:val="006C0BF7"/>
    <w:rsid w:val="006D0B53"/>
    <w:rsid w:val="006D4C83"/>
    <w:rsid w:val="00703C01"/>
    <w:rsid w:val="0072583B"/>
    <w:rsid w:val="007271C1"/>
    <w:rsid w:val="007317FF"/>
    <w:rsid w:val="0073565A"/>
    <w:rsid w:val="007365DA"/>
    <w:rsid w:val="00747B2C"/>
    <w:rsid w:val="0076448D"/>
    <w:rsid w:val="00776F16"/>
    <w:rsid w:val="00784C14"/>
    <w:rsid w:val="00786BBE"/>
    <w:rsid w:val="007A5E95"/>
    <w:rsid w:val="007B24F2"/>
    <w:rsid w:val="007B3049"/>
    <w:rsid w:val="007B661A"/>
    <w:rsid w:val="007C0BDF"/>
    <w:rsid w:val="007C4D53"/>
    <w:rsid w:val="007D612E"/>
    <w:rsid w:val="007D6362"/>
    <w:rsid w:val="007F3AAF"/>
    <w:rsid w:val="00815636"/>
    <w:rsid w:val="00824382"/>
    <w:rsid w:val="00825F84"/>
    <w:rsid w:val="00832005"/>
    <w:rsid w:val="00837817"/>
    <w:rsid w:val="00843A21"/>
    <w:rsid w:val="0087372F"/>
    <w:rsid w:val="00884A1E"/>
    <w:rsid w:val="008A6DE0"/>
    <w:rsid w:val="008C6767"/>
    <w:rsid w:val="00906E8C"/>
    <w:rsid w:val="009353AA"/>
    <w:rsid w:val="00937569"/>
    <w:rsid w:val="0095583C"/>
    <w:rsid w:val="00965E00"/>
    <w:rsid w:val="00967CDE"/>
    <w:rsid w:val="00971A17"/>
    <w:rsid w:val="009760A8"/>
    <w:rsid w:val="00980F1E"/>
    <w:rsid w:val="00981C96"/>
    <w:rsid w:val="0099671A"/>
    <w:rsid w:val="009A6AB6"/>
    <w:rsid w:val="009B3513"/>
    <w:rsid w:val="009C64AB"/>
    <w:rsid w:val="009D2BB1"/>
    <w:rsid w:val="009D5211"/>
    <w:rsid w:val="009E1E79"/>
    <w:rsid w:val="009E1EF9"/>
    <w:rsid w:val="009E24EE"/>
    <w:rsid w:val="009E4AF3"/>
    <w:rsid w:val="009E52A5"/>
    <w:rsid w:val="00A0747B"/>
    <w:rsid w:val="00A07C70"/>
    <w:rsid w:val="00A4403C"/>
    <w:rsid w:val="00A74EFC"/>
    <w:rsid w:val="00A9499A"/>
    <w:rsid w:val="00AC0ECB"/>
    <w:rsid w:val="00AC3372"/>
    <w:rsid w:val="00AD514F"/>
    <w:rsid w:val="00AF1C7C"/>
    <w:rsid w:val="00B02417"/>
    <w:rsid w:val="00B04B73"/>
    <w:rsid w:val="00B26CA9"/>
    <w:rsid w:val="00B31F93"/>
    <w:rsid w:val="00B3658D"/>
    <w:rsid w:val="00B4086D"/>
    <w:rsid w:val="00B437B2"/>
    <w:rsid w:val="00B47BE4"/>
    <w:rsid w:val="00B563F0"/>
    <w:rsid w:val="00B802D2"/>
    <w:rsid w:val="00B91E2C"/>
    <w:rsid w:val="00BC0B22"/>
    <w:rsid w:val="00BD794F"/>
    <w:rsid w:val="00BF4D2B"/>
    <w:rsid w:val="00C16F6A"/>
    <w:rsid w:val="00C17135"/>
    <w:rsid w:val="00C17702"/>
    <w:rsid w:val="00C30C25"/>
    <w:rsid w:val="00C436AE"/>
    <w:rsid w:val="00C469A4"/>
    <w:rsid w:val="00C574EF"/>
    <w:rsid w:val="00C6050C"/>
    <w:rsid w:val="00C90637"/>
    <w:rsid w:val="00C97631"/>
    <w:rsid w:val="00CA5A06"/>
    <w:rsid w:val="00CC34A4"/>
    <w:rsid w:val="00CD6D0E"/>
    <w:rsid w:val="00CE7033"/>
    <w:rsid w:val="00CF21FA"/>
    <w:rsid w:val="00CF441C"/>
    <w:rsid w:val="00D01D7E"/>
    <w:rsid w:val="00D1739B"/>
    <w:rsid w:val="00D46FD5"/>
    <w:rsid w:val="00D64F45"/>
    <w:rsid w:val="00D6670E"/>
    <w:rsid w:val="00D77DC2"/>
    <w:rsid w:val="00D77F4C"/>
    <w:rsid w:val="00D97C04"/>
    <w:rsid w:val="00DB7E13"/>
    <w:rsid w:val="00DC3E1A"/>
    <w:rsid w:val="00DD3501"/>
    <w:rsid w:val="00DE5934"/>
    <w:rsid w:val="00DF0AEA"/>
    <w:rsid w:val="00E07E1C"/>
    <w:rsid w:val="00E4505B"/>
    <w:rsid w:val="00E51458"/>
    <w:rsid w:val="00E53994"/>
    <w:rsid w:val="00E53F8F"/>
    <w:rsid w:val="00E71CFC"/>
    <w:rsid w:val="00E80988"/>
    <w:rsid w:val="00E85863"/>
    <w:rsid w:val="00E90F43"/>
    <w:rsid w:val="00EA0F0A"/>
    <w:rsid w:val="00EA18D9"/>
    <w:rsid w:val="00EA3D0C"/>
    <w:rsid w:val="00ED4709"/>
    <w:rsid w:val="00EE0C99"/>
    <w:rsid w:val="00EE24DA"/>
    <w:rsid w:val="00EF6570"/>
    <w:rsid w:val="00F100EF"/>
    <w:rsid w:val="00F15FA4"/>
    <w:rsid w:val="00F20756"/>
    <w:rsid w:val="00F23C9D"/>
    <w:rsid w:val="00F31270"/>
    <w:rsid w:val="00F54F67"/>
    <w:rsid w:val="00F70461"/>
    <w:rsid w:val="00F767C6"/>
    <w:rsid w:val="00F81974"/>
    <w:rsid w:val="00F869D7"/>
    <w:rsid w:val="00F9683A"/>
    <w:rsid w:val="00FA0453"/>
    <w:rsid w:val="00FB1DAD"/>
    <w:rsid w:val="00FE228D"/>
    <w:rsid w:val="00FE3D43"/>
    <w:rsid w:val="00FF1D67"/>
    <w:rsid w:val="00FF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6F270B"/>
  <w15:docId w15:val="{0CF838CF-77A9-4947-82CC-AFADB09AA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EE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132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132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9E1E79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D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D0E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9D2BB1"/>
    <w:rPr>
      <w:color w:val="808080"/>
    </w:rPr>
  </w:style>
  <w:style w:type="paragraph" w:styleId="Revision">
    <w:name w:val="Revision"/>
    <w:hidden/>
    <w:uiPriority w:val="99"/>
    <w:semiHidden/>
    <w:rsid w:val="006B3FED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FF62F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F62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81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FFD1B6-23F3-084D-829D-ED3F7E660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515</Words>
  <Characters>2881</Characters>
  <Application>Microsoft Office Word</Application>
  <DocSecurity>0</DocSecurity>
  <Lines>47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Young, Kelly</cp:lastModifiedBy>
  <cp:revision>4</cp:revision>
  <dcterms:created xsi:type="dcterms:W3CDTF">2021-08-06T20:20:00Z</dcterms:created>
  <dcterms:modified xsi:type="dcterms:W3CDTF">2021-08-06T20:24:00Z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id="http://www.zotero.org/styles/neurology"/&gt;&lt;format class="21"/&gt;&lt;count citations="54" publications="48"/&gt;&lt;/info&gt;PAPERS2_INFO_END</vt:lpwstr>
  </property>
</Properties>
</file>