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4B0" w:rsidRDefault="00267F51">
      <w:r>
        <w:rPr>
          <w:noProof/>
        </w:rPr>
        <w:drawing>
          <wp:inline distT="0" distB="0" distL="0" distR="0">
            <wp:extent cx="9288171" cy="4963218"/>
            <wp:effectExtent l="0" t="0" r="825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ignor ouput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8171" cy="496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4B0" w:rsidRDefault="003854B0" w:rsidP="003854B0"/>
    <w:p w:rsidR="00F91577" w:rsidRDefault="006112E3" w:rsidP="00DC1195">
      <w:pPr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Style w:val="Strong"/>
          <w:rFonts w:ascii="Segoe UI" w:hAnsi="Segoe UI" w:cs="Segoe UI"/>
          <w:color w:val="404040"/>
        </w:rPr>
        <w:t>Supplementary Figure 1. Signaling interactions of differentially expressed genes (DEGs) mapped to the SIGNOR database.</w:t>
      </w:r>
      <w:r>
        <w:rPr>
          <w:rFonts w:ascii="Segoe UI" w:hAnsi="Segoe UI" w:cs="Segoe UI"/>
          <w:color w:val="404040"/>
        </w:rPr>
        <w:br/>
        <w:t>Direct signaling interactions for DEGs were queried in the SIGNOR database (</w:t>
      </w:r>
      <w:hyperlink r:id="rId8" w:tgtFrame="_blank" w:history="1">
        <w:r>
          <w:rPr>
            <w:rStyle w:val="Hyperlink"/>
            <w:rFonts w:ascii="Segoe UI" w:hAnsi="Segoe UI" w:cs="Segoe UI"/>
            <w:u w:val="none"/>
          </w:rPr>
          <w:t>https://signor.uniroma2.it</w:t>
        </w:r>
      </w:hyperlink>
      <w:r>
        <w:rPr>
          <w:rFonts w:ascii="Segoe UI" w:hAnsi="Segoe UI" w:cs="Segoe UI"/>
          <w:color w:val="404040"/>
        </w:rPr>
        <w:t>) using all available interaction scores. Arrows denote signaling relationships between genes. </w:t>
      </w:r>
      <w:r>
        <w:rPr>
          <w:rStyle w:val="Emphasis"/>
          <w:rFonts w:ascii="Segoe UI" w:hAnsi="Segoe UI" w:cs="Segoe UI"/>
          <w:color w:val="404040"/>
        </w:rPr>
        <w:t>PFKFB4</w:t>
      </w:r>
      <w:r>
        <w:rPr>
          <w:rFonts w:ascii="Segoe UI" w:hAnsi="Segoe UI" w:cs="Segoe UI"/>
          <w:color w:val="404040"/>
        </w:rPr>
        <w:t>, </w:t>
      </w:r>
      <w:r>
        <w:rPr>
          <w:rStyle w:val="Emphasis"/>
          <w:rFonts w:ascii="Segoe UI" w:hAnsi="Segoe UI" w:cs="Segoe UI"/>
          <w:color w:val="404040"/>
        </w:rPr>
        <w:t>TACC3</w:t>
      </w:r>
      <w:r>
        <w:rPr>
          <w:rFonts w:ascii="Segoe UI" w:hAnsi="Segoe UI" w:cs="Segoe UI"/>
          <w:color w:val="404040"/>
        </w:rPr>
        <w:t>, and </w:t>
      </w:r>
      <w:r>
        <w:rPr>
          <w:rStyle w:val="Emphasis"/>
          <w:rFonts w:ascii="Segoe UI" w:hAnsi="Segoe UI" w:cs="Segoe UI"/>
          <w:color w:val="404040"/>
        </w:rPr>
        <w:t>VCAN</w:t>
      </w:r>
      <w:r>
        <w:rPr>
          <w:rFonts w:ascii="Segoe UI" w:hAnsi="Segoe UI" w:cs="Segoe UI"/>
          <w:color w:val="404040"/>
        </w:rPr>
        <w:t> were present in SIGNOR, while </w:t>
      </w:r>
      <w:r>
        <w:rPr>
          <w:rStyle w:val="Emphasis"/>
          <w:rFonts w:ascii="Segoe UI" w:hAnsi="Segoe UI" w:cs="Segoe UI"/>
          <w:color w:val="404040"/>
        </w:rPr>
        <w:t>TNFRSF9</w:t>
      </w:r>
      <w:r>
        <w:rPr>
          <w:rFonts w:ascii="Segoe UI" w:hAnsi="Segoe UI" w:cs="Segoe UI"/>
          <w:color w:val="404040"/>
        </w:rPr>
        <w:t>, </w:t>
      </w:r>
      <w:r>
        <w:rPr>
          <w:rStyle w:val="Emphasis"/>
          <w:rFonts w:ascii="Segoe UI" w:hAnsi="Segoe UI" w:cs="Segoe UI"/>
          <w:color w:val="404040"/>
        </w:rPr>
        <w:t>ASCL2</w:t>
      </w:r>
      <w:r>
        <w:rPr>
          <w:rFonts w:ascii="Segoe UI" w:hAnsi="Segoe UI" w:cs="Segoe UI"/>
          <w:color w:val="404040"/>
        </w:rPr>
        <w:t>, and </w:t>
      </w:r>
      <w:r>
        <w:rPr>
          <w:rStyle w:val="Emphasis"/>
          <w:rFonts w:ascii="Segoe UI" w:hAnsi="Segoe UI" w:cs="Segoe UI"/>
          <w:color w:val="404040"/>
        </w:rPr>
        <w:t>GRAMD1A</w:t>
      </w:r>
      <w:r>
        <w:rPr>
          <w:rFonts w:ascii="Segoe UI" w:hAnsi="Segoe UI" w:cs="Segoe UI"/>
          <w:color w:val="404040"/>
        </w:rPr>
        <w:t xml:space="preserve"> were </w:t>
      </w:r>
      <w:r w:rsidRPr="00DC1195">
        <w:rPr>
          <w:rFonts w:ascii="Segoe UI" w:hAnsi="Segoe UI" w:cs="Segoe UI"/>
        </w:rPr>
        <w:t xml:space="preserve">absent, </w:t>
      </w:r>
      <w:r w:rsidR="00DC1195" w:rsidRPr="00DC1195">
        <w:rPr>
          <w:rFonts w:asciiTheme="majorBidi" w:hAnsiTheme="majorBidi" w:cstheme="majorBidi"/>
          <w:sz w:val="24"/>
          <w:szCs w:val="24"/>
        </w:rPr>
        <w:t>highlighting gaps in understanding their signaling roles</w:t>
      </w:r>
    </w:p>
    <w:p w:rsidR="003535C1" w:rsidRDefault="003535C1" w:rsidP="00DC1195">
      <w:pPr>
        <w:ind w:firstLine="720"/>
        <w:sectPr w:rsidR="003535C1" w:rsidSect="00E160CF">
          <w:pgSz w:w="20639" w:h="14572" w:orient="landscape" w:code="12"/>
          <w:pgMar w:top="1440" w:right="1440" w:bottom="1440" w:left="1440" w:header="720" w:footer="720" w:gutter="0"/>
          <w:cols w:space="720"/>
          <w:docGrid w:linePitch="360"/>
        </w:sectPr>
      </w:pPr>
    </w:p>
    <w:p w:rsidR="003535C1" w:rsidRDefault="00355D4E" w:rsidP="00DC1195">
      <w:pPr>
        <w:ind w:firstLine="720"/>
      </w:pPr>
      <w:r>
        <w:rPr>
          <w:rFonts w:ascii="TimesNewRoman,Bold" w:hAnsi="TimesNewRoman,Bold" w:cs="TimesNewRoman,Bold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58240" behindDoc="0" locked="0" layoutInCell="1" allowOverlap="1" wp14:anchorId="61504D36" wp14:editId="60AF0355">
            <wp:simplePos x="0" y="0"/>
            <wp:positionH relativeFrom="column">
              <wp:posOffset>593725</wp:posOffset>
            </wp:positionH>
            <wp:positionV relativeFrom="paragraph">
              <wp:posOffset>0</wp:posOffset>
            </wp:positionV>
            <wp:extent cx="10627995" cy="10112375"/>
            <wp:effectExtent l="0" t="0" r="1905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 VCAN-imageonline.co-merged(1)-imageonline.co-merge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7995" cy="1011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35C1" w:rsidRDefault="003535C1" w:rsidP="00DC1195">
      <w:pPr>
        <w:ind w:firstLine="720"/>
      </w:pPr>
    </w:p>
    <w:p w:rsidR="006B3498" w:rsidRDefault="006B3498" w:rsidP="00DC1195">
      <w:pPr>
        <w:ind w:firstLine="720"/>
      </w:pPr>
    </w:p>
    <w:p w:rsidR="003535C1" w:rsidRDefault="006B3498" w:rsidP="006B3498">
      <w:pPr>
        <w:ind w:firstLine="720"/>
      </w:pPr>
      <w:r>
        <w:rPr>
          <w:rFonts w:ascii="TimesNewRoman,Bold" w:hAnsi="TimesNewRoman,Bold" w:cs="TimesNewRoman,Bold"/>
          <w:b/>
          <w:bCs/>
          <w:sz w:val="26"/>
          <w:szCs w:val="26"/>
        </w:rPr>
        <w:t xml:space="preserve">Supplementary Figure 2. </w:t>
      </w:r>
      <w:r>
        <w:rPr>
          <w:rStyle w:val="hgkelc"/>
          <w:lang w:val="en"/>
        </w:rPr>
        <w:t xml:space="preserve">A protein-protein interaction (PPI) network from  </w:t>
      </w:r>
      <w:r>
        <w:rPr>
          <w:rFonts w:ascii="URWPalladioL-Roma" w:eastAsia="URWPalladioL-Roma" w:cs="URWPalladioL-Roma"/>
          <w:sz w:val="20"/>
          <w:szCs w:val="20"/>
        </w:rPr>
        <w:t>the STRING database</w:t>
      </w:r>
      <w:r>
        <w:rPr>
          <w:rStyle w:val="hgkelc"/>
          <w:lang w:val="en"/>
        </w:rPr>
        <w:t xml:space="preserve"> </w:t>
      </w:r>
    </w:p>
    <w:p w:rsidR="00DD4860" w:rsidRDefault="00DD4860" w:rsidP="003535C1">
      <w:pPr>
        <w:pStyle w:val="NormalWeb"/>
        <w:rPr>
          <w:b/>
          <w:bCs/>
          <w:noProof/>
        </w:rPr>
      </w:pPr>
    </w:p>
    <w:p w:rsidR="00DD4860" w:rsidRDefault="00DD4860" w:rsidP="003535C1">
      <w:pPr>
        <w:pStyle w:val="NormalWeb"/>
        <w:rPr>
          <w:b/>
          <w:bCs/>
          <w:noProof/>
        </w:rPr>
      </w:pPr>
    </w:p>
    <w:p w:rsidR="00DD4860" w:rsidRDefault="00DD4860" w:rsidP="003535C1">
      <w:pPr>
        <w:pStyle w:val="NormalWeb"/>
        <w:rPr>
          <w:b/>
          <w:bCs/>
          <w:noProof/>
        </w:rPr>
      </w:pPr>
    </w:p>
    <w:p w:rsidR="00DD4860" w:rsidRDefault="00DD4860" w:rsidP="00DD4860">
      <w:pPr>
        <w:pStyle w:val="NormalWeb"/>
        <w:rPr>
          <w:rStyle w:val="Strong"/>
          <w:sz w:val="72"/>
          <w:szCs w:val="72"/>
        </w:rPr>
        <w:sectPr w:rsidR="00DD4860" w:rsidSect="00EA3CEB">
          <w:pgSz w:w="23616" w:h="31104" w:code="12"/>
          <w:pgMar w:top="1440" w:right="1440" w:bottom="1440" w:left="1440" w:header="720" w:footer="720" w:gutter="0"/>
          <w:cols w:space="720"/>
          <w:docGrid w:linePitch="360"/>
        </w:sectPr>
      </w:pPr>
    </w:p>
    <w:p w:rsidR="00E81571" w:rsidRDefault="00DD4860" w:rsidP="00DD4860">
      <w:pPr>
        <w:pStyle w:val="NormalWeb"/>
        <w:rPr>
          <w:rStyle w:val="Strong"/>
          <w:sz w:val="72"/>
          <w:szCs w:val="72"/>
        </w:rPr>
      </w:pPr>
      <w:r>
        <w:rPr>
          <w:b/>
          <w:bCs/>
          <w:noProof/>
        </w:rPr>
        <w:lastRenderedPageBreak/>
        <w:drawing>
          <wp:inline distT="0" distB="0" distL="0" distR="0" wp14:anchorId="60D8213F" wp14:editId="5E80609A">
            <wp:extent cx="8106770" cy="8005449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CL2 HUBS-imageonline.co-merged-imageonline.co-merge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0029" cy="804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4860">
        <w:rPr>
          <w:rStyle w:val="Strong"/>
          <w:sz w:val="72"/>
          <w:szCs w:val="72"/>
        </w:rPr>
        <w:t xml:space="preserve"> </w:t>
      </w:r>
      <w:r w:rsidR="00E81571">
        <w:rPr>
          <w:rStyle w:val="Strong"/>
          <w:sz w:val="72"/>
          <w:szCs w:val="72"/>
        </w:rPr>
        <w:t xml:space="preserve">    </w:t>
      </w:r>
    </w:p>
    <w:p w:rsidR="00DD4860" w:rsidRDefault="00DD4860" w:rsidP="00DD4860">
      <w:pPr>
        <w:pStyle w:val="NormalWeb"/>
        <w:rPr>
          <w:rStyle w:val="Strong"/>
          <w:sz w:val="72"/>
          <w:szCs w:val="72"/>
        </w:rPr>
      </w:pPr>
      <w:r w:rsidRPr="00E81571">
        <w:rPr>
          <w:rStyle w:val="Strong"/>
          <w:sz w:val="96"/>
          <w:szCs w:val="96"/>
        </w:rPr>
        <w:t>A</w:t>
      </w:r>
    </w:p>
    <w:p w:rsidR="003535C1" w:rsidRDefault="00DD4860" w:rsidP="003535C1">
      <w:pPr>
        <w:pStyle w:val="NormalWeb"/>
        <w:rPr>
          <w:rStyle w:val="Strong"/>
        </w:rPr>
      </w:pPr>
      <w:r>
        <w:rPr>
          <w:noProof/>
        </w:rPr>
        <w:drawing>
          <wp:inline distT="0" distB="0" distL="0" distR="0" wp14:anchorId="70597748" wp14:editId="3342079C">
            <wp:extent cx="13118379" cy="7287905"/>
            <wp:effectExtent l="0" t="0" r="762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EGG FOR 5 DEG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414" cy="729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trong"/>
        </w:rPr>
        <w:br w:type="textWrapping" w:clear="all"/>
      </w:r>
    </w:p>
    <w:p w:rsidR="003535C1" w:rsidRPr="00DD4860" w:rsidRDefault="00DD4860" w:rsidP="003535C1">
      <w:pPr>
        <w:pStyle w:val="NormalWeb"/>
        <w:rPr>
          <w:rStyle w:val="Strong"/>
          <w:sz w:val="72"/>
          <w:szCs w:val="72"/>
        </w:rPr>
      </w:pPr>
      <w:r w:rsidRPr="00DD4860">
        <w:rPr>
          <w:rStyle w:val="Strong"/>
          <w:sz w:val="72"/>
          <w:szCs w:val="72"/>
        </w:rPr>
        <w:t>B</w:t>
      </w:r>
    </w:p>
    <w:p w:rsidR="003535C1" w:rsidRDefault="003535C1" w:rsidP="003535C1">
      <w:pPr>
        <w:pStyle w:val="NormalWeb"/>
        <w:rPr>
          <w:rStyle w:val="Strong"/>
        </w:rPr>
      </w:pPr>
    </w:p>
    <w:p w:rsidR="001C0752" w:rsidRDefault="00EA3CEB" w:rsidP="00DC1195">
      <w:pPr>
        <w:ind w:firstLine="720"/>
      </w:pPr>
      <w:r>
        <w:rPr>
          <w:noProof/>
        </w:rPr>
        <w:lastRenderedPageBreak/>
        <w:drawing>
          <wp:inline distT="0" distB="0" distL="0" distR="0">
            <wp:extent cx="13167360" cy="140671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o pathways of HUB GENES FOR six deg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7360" cy="140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C1" w:rsidRPr="00E81571" w:rsidRDefault="00E81571" w:rsidP="001C0752">
      <w:pPr>
        <w:tabs>
          <w:tab w:val="left" w:pos="10865"/>
        </w:tabs>
        <w:rPr>
          <w:b/>
          <w:bCs/>
          <w:sz w:val="72"/>
          <w:szCs w:val="72"/>
        </w:rPr>
      </w:pPr>
      <w:r w:rsidRPr="00E81571">
        <w:rPr>
          <w:b/>
          <w:bCs/>
          <w:sz w:val="72"/>
          <w:szCs w:val="72"/>
        </w:rPr>
        <w:t>C</w:t>
      </w:r>
      <w:r w:rsidR="001C0752" w:rsidRPr="00E81571">
        <w:rPr>
          <w:b/>
          <w:bCs/>
          <w:sz w:val="72"/>
          <w:szCs w:val="72"/>
        </w:rPr>
        <w:tab/>
      </w:r>
    </w:p>
    <w:p w:rsidR="001C0752" w:rsidRDefault="001C0752" w:rsidP="001C0752">
      <w:pPr>
        <w:tabs>
          <w:tab w:val="left" w:pos="10865"/>
        </w:tabs>
      </w:pPr>
    </w:p>
    <w:p w:rsidR="001C0752" w:rsidRDefault="001C0752" w:rsidP="00B119CF">
      <w:pPr>
        <w:tabs>
          <w:tab w:val="left" w:pos="10865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1C0752">
        <w:rPr>
          <w:rStyle w:val="Strong"/>
          <w:rFonts w:asciiTheme="majorBidi" w:hAnsiTheme="majorBidi" w:cstheme="majorBidi"/>
          <w:sz w:val="24"/>
          <w:szCs w:val="24"/>
        </w:rPr>
        <w:t xml:space="preserve">Supplementary Figure </w:t>
      </w:r>
      <w:r w:rsidR="00B119CF">
        <w:rPr>
          <w:rStyle w:val="Strong"/>
          <w:rFonts w:asciiTheme="majorBidi" w:hAnsiTheme="majorBidi" w:cstheme="majorBidi"/>
          <w:sz w:val="24"/>
          <w:szCs w:val="24"/>
        </w:rPr>
        <w:t>3</w:t>
      </w:r>
      <w:r w:rsidRPr="001C0752">
        <w:rPr>
          <w:rStyle w:val="Strong"/>
          <w:rFonts w:asciiTheme="majorBidi" w:hAnsiTheme="majorBidi" w:cstheme="majorBidi"/>
          <w:sz w:val="24"/>
          <w:szCs w:val="24"/>
        </w:rPr>
        <w:t>.</w:t>
      </w:r>
      <w:r w:rsidRPr="001C0752">
        <w:rPr>
          <w:rFonts w:asciiTheme="majorBidi" w:hAnsiTheme="majorBidi" w:cstheme="majorBidi"/>
          <w:sz w:val="24"/>
          <w:szCs w:val="24"/>
        </w:rPr>
        <w:t xml:space="preserve"> Screening results of the functional analysis for key DEGs. </w:t>
      </w:r>
      <w:r w:rsidRPr="001C0752">
        <w:rPr>
          <w:rStyle w:val="Strong"/>
          <w:rFonts w:asciiTheme="majorBidi" w:hAnsiTheme="majorBidi" w:cstheme="majorBidi"/>
          <w:sz w:val="24"/>
          <w:szCs w:val="24"/>
        </w:rPr>
        <w:t>(A)</w:t>
      </w:r>
      <w:r w:rsidRPr="001C0752">
        <w:rPr>
          <w:rFonts w:asciiTheme="majorBidi" w:hAnsiTheme="majorBidi" w:cstheme="majorBidi"/>
          <w:sz w:val="24"/>
          <w:szCs w:val="24"/>
        </w:rPr>
        <w:t xml:space="preserve"> Top 10 hub genes prioritized by CytoHubba using the Degree algorithm, highlighting genes with highest network connectivity. </w:t>
      </w:r>
      <w:r w:rsidRPr="001C0752">
        <w:rPr>
          <w:rStyle w:val="Strong"/>
          <w:rFonts w:asciiTheme="majorBidi" w:hAnsiTheme="majorBidi" w:cstheme="majorBidi"/>
          <w:sz w:val="24"/>
          <w:szCs w:val="24"/>
        </w:rPr>
        <w:t>(B)</w:t>
      </w:r>
      <w:r w:rsidRPr="001C0752">
        <w:rPr>
          <w:rFonts w:asciiTheme="majorBidi" w:hAnsiTheme="majorBidi" w:cstheme="majorBidi"/>
          <w:sz w:val="24"/>
          <w:szCs w:val="24"/>
        </w:rPr>
        <w:t xml:space="preserve"> Enriched KEGG pathways for hub genes, including terms such as </w:t>
      </w:r>
      <w:r w:rsidRPr="001C0752">
        <w:rPr>
          <w:rStyle w:val="Emphasis"/>
          <w:rFonts w:asciiTheme="majorBidi" w:hAnsiTheme="majorBidi" w:cstheme="majorBidi"/>
          <w:sz w:val="24"/>
          <w:szCs w:val="24"/>
        </w:rPr>
        <w:t>AGE-RAGE signaling (diabetic complications)</w:t>
      </w:r>
      <w:r w:rsidRPr="001C0752">
        <w:rPr>
          <w:rFonts w:asciiTheme="majorBidi" w:hAnsiTheme="majorBidi" w:cstheme="majorBidi"/>
          <w:sz w:val="24"/>
          <w:szCs w:val="24"/>
        </w:rPr>
        <w:t xml:space="preserve">, </w:t>
      </w:r>
      <w:r w:rsidRPr="001C0752">
        <w:rPr>
          <w:rStyle w:val="Emphasis"/>
          <w:rFonts w:asciiTheme="majorBidi" w:hAnsiTheme="majorBidi" w:cstheme="majorBidi"/>
          <w:sz w:val="24"/>
          <w:szCs w:val="24"/>
        </w:rPr>
        <w:t>T cell receptor signaling</w:t>
      </w:r>
      <w:r w:rsidRPr="001C0752">
        <w:rPr>
          <w:rFonts w:asciiTheme="majorBidi" w:hAnsiTheme="majorBidi" w:cstheme="majorBidi"/>
          <w:sz w:val="24"/>
          <w:szCs w:val="24"/>
        </w:rPr>
        <w:t xml:space="preserve">, and </w:t>
      </w:r>
      <w:r w:rsidRPr="001C0752">
        <w:rPr>
          <w:rStyle w:val="Emphasis"/>
          <w:rFonts w:asciiTheme="majorBidi" w:hAnsiTheme="majorBidi" w:cstheme="majorBidi"/>
          <w:sz w:val="24"/>
          <w:szCs w:val="24"/>
        </w:rPr>
        <w:t>ECM-receptor interaction</w:t>
      </w:r>
      <w:r w:rsidRPr="001C0752">
        <w:rPr>
          <w:rFonts w:asciiTheme="majorBidi" w:hAnsiTheme="majorBidi" w:cstheme="majorBidi"/>
          <w:sz w:val="24"/>
          <w:szCs w:val="24"/>
        </w:rPr>
        <w:t xml:space="preserve">. </w:t>
      </w:r>
      <w:r w:rsidRPr="001C0752">
        <w:rPr>
          <w:rStyle w:val="Strong"/>
          <w:rFonts w:asciiTheme="majorBidi" w:hAnsiTheme="majorBidi" w:cstheme="majorBidi"/>
          <w:sz w:val="24"/>
          <w:szCs w:val="24"/>
        </w:rPr>
        <w:t>(C)</w:t>
      </w:r>
      <w:r w:rsidRPr="001C0752">
        <w:rPr>
          <w:rFonts w:asciiTheme="majorBidi" w:hAnsiTheme="majorBidi" w:cstheme="majorBidi"/>
          <w:sz w:val="24"/>
          <w:szCs w:val="24"/>
        </w:rPr>
        <w:t xml:space="preserve"> Gene Ontology (GO) enrichment across biological processes (BP), cellular components (CC), and molecular functions (MF). Pathways and terms were filtered by significance (−</w:t>
      </w:r>
      <w:r w:rsidRPr="00EA3CEB">
        <w:rPr>
          <w:rFonts w:asciiTheme="majorBidi" w:hAnsiTheme="majorBidi" w:cstheme="majorBidi"/>
          <w:color w:val="FF0000"/>
          <w:sz w:val="24"/>
          <w:szCs w:val="24"/>
        </w:rPr>
        <w:t>log</w:t>
      </w:r>
      <w:r w:rsidR="00EA3CEB" w:rsidRPr="00EA3CEB">
        <w:rPr>
          <w:rStyle w:val="ds-markdown-html"/>
          <w:rFonts w:asciiTheme="majorBidi" w:hAnsiTheme="majorBidi" w:cstheme="majorBidi"/>
          <w:color w:val="FF0000"/>
          <w:sz w:val="24"/>
          <w:szCs w:val="24"/>
          <w:vertAlign w:val="subscript"/>
        </w:rPr>
        <w:t xml:space="preserve"> 10</w:t>
      </w:r>
      <w:r w:rsidRPr="00EA3CEB">
        <w:rPr>
          <w:rStyle w:val="ds-markdown-html"/>
          <w:rFonts w:asciiTheme="majorBidi" w:hAnsiTheme="majorBidi" w:cstheme="majorBidi"/>
          <w:color w:val="FF0000"/>
          <w:sz w:val="24"/>
          <w:szCs w:val="24"/>
        </w:rPr>
        <w:t xml:space="preserve"> (</w:t>
      </w:r>
      <w:r w:rsidRPr="00EA3CEB">
        <w:rPr>
          <w:rStyle w:val="Emphasis"/>
          <w:rFonts w:asciiTheme="majorBidi" w:hAnsiTheme="majorBidi" w:cstheme="majorBidi"/>
          <w:color w:val="FF0000"/>
          <w:sz w:val="24"/>
          <w:szCs w:val="24"/>
        </w:rPr>
        <w:t>p-</w:t>
      </w:r>
      <w:r w:rsidRPr="001C0752">
        <w:rPr>
          <w:rStyle w:val="Emphasis"/>
          <w:rFonts w:asciiTheme="majorBidi" w:hAnsiTheme="majorBidi" w:cstheme="majorBidi"/>
          <w:sz w:val="24"/>
          <w:szCs w:val="24"/>
        </w:rPr>
        <w:t>value</w:t>
      </w:r>
      <w:r w:rsidRPr="001C0752">
        <w:rPr>
          <w:rFonts w:asciiTheme="majorBidi" w:hAnsiTheme="majorBidi" w:cstheme="majorBidi"/>
          <w:sz w:val="24"/>
          <w:szCs w:val="24"/>
        </w:rPr>
        <w:t>)) and gene count.</w:t>
      </w:r>
    </w:p>
    <w:p w:rsidR="00742886" w:rsidRDefault="00742886" w:rsidP="00B119CF">
      <w:pPr>
        <w:tabs>
          <w:tab w:val="left" w:pos="10865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  <w:sectPr w:rsidR="00742886" w:rsidSect="00EA3CEB">
          <w:pgSz w:w="23616" w:h="31104" w:code="12"/>
          <w:pgMar w:top="1440" w:right="1440" w:bottom="1440" w:left="1440" w:header="720" w:footer="720" w:gutter="0"/>
          <w:cols w:space="720"/>
          <w:docGrid w:linePitch="360"/>
        </w:sectPr>
      </w:pPr>
    </w:p>
    <w:p w:rsidR="00DD4860" w:rsidRDefault="00DD4860" w:rsidP="00EE71FE">
      <w:pPr>
        <w:pStyle w:val="NormalWeb"/>
        <w:rPr>
          <w:rStyle w:val="Strong"/>
        </w:rPr>
      </w:pPr>
    </w:p>
    <w:p w:rsidR="00DD4860" w:rsidRDefault="00DD4860" w:rsidP="00EE71FE">
      <w:pPr>
        <w:pStyle w:val="NormalWeb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12375931" cy="819501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-1-2025 at 1.14.11 A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808" cy="820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trong"/>
        </w:rPr>
        <w:t xml:space="preserve"> </w:t>
      </w:r>
      <w:r w:rsidRPr="00DD4860">
        <w:rPr>
          <w:rStyle w:val="Strong"/>
          <w:sz w:val="96"/>
          <w:szCs w:val="96"/>
        </w:rPr>
        <w:t>A</w:t>
      </w:r>
    </w:p>
    <w:p w:rsidR="00DD4860" w:rsidRDefault="00DD4860" w:rsidP="00EE71FE">
      <w:pPr>
        <w:pStyle w:val="NormalWeb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12149292" cy="7630511"/>
            <wp:effectExtent l="0" t="0" r="508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x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4550" cy="769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4860">
        <w:rPr>
          <w:rStyle w:val="Strong"/>
          <w:sz w:val="96"/>
          <w:szCs w:val="96"/>
        </w:rPr>
        <w:t xml:space="preserve"> B</w:t>
      </w:r>
    </w:p>
    <w:p w:rsidR="00DD4860" w:rsidRDefault="00DD4860" w:rsidP="00EE71FE">
      <w:pPr>
        <w:pStyle w:val="NormalWeb"/>
        <w:rPr>
          <w:rStyle w:val="Strong"/>
          <w:b w:val="0"/>
          <w:bCs w:val="0"/>
        </w:rPr>
      </w:pPr>
      <w:r w:rsidRPr="00DD4860">
        <w:rPr>
          <w:rStyle w:val="Strong"/>
        </w:rPr>
        <w:t>Supplementary Figure 4</w:t>
      </w:r>
      <w:r w:rsidRPr="00DD4860">
        <w:rPr>
          <w:rStyle w:val="Strong"/>
          <w:b w:val="0"/>
          <w:bCs w:val="0"/>
        </w:rPr>
        <w:t>. Interaction network of miRNAs hsa-miR-27a-3p and hsa-miR-210-3p (yellow square nodes) targeting the down-regulated DEGs VCAN and TNFRSF9 (yellow circle nodes), generated using Mirnet. B: Network of miRNAs hsa-miR-335 and hsa-miR-34a (yellow square nodes) targeting the up-regulated oncogenes TACC3, GRAMD1A, PFKFB4, and ASCL2 (red circle nodes).  The edges symbolize the interaction between the DEGs and related miRNAs</w:t>
      </w:r>
    </w:p>
    <w:p w:rsidR="00DD4860" w:rsidRDefault="00C03583" w:rsidP="0009101C">
      <w:pPr>
        <w:pStyle w:val="NormalWeb"/>
        <w:rPr>
          <w:rStyle w:val="Strong"/>
          <w:b w:val="0"/>
          <w:bCs w:val="0"/>
        </w:rPr>
        <w:sectPr w:rsidR="00DD4860" w:rsidSect="00EA3CEB">
          <w:pgSz w:w="23616" w:h="31104" w:code="12"/>
          <w:pgMar w:top="1440" w:right="1440" w:bottom="1440" w:left="1440" w:header="720" w:footer="720" w:gutter="0"/>
          <w:cols w:space="720"/>
          <w:docGrid w:linePitch="360"/>
        </w:sectPr>
      </w:pPr>
      <w:r>
        <w:rPr>
          <w:rStyle w:val="Strong"/>
          <w:b w:val="0"/>
          <w:bCs w:val="0"/>
        </w:rPr>
        <w:t xml:space="preserve"> </w:t>
      </w:r>
    </w:p>
    <w:p w:rsidR="00DD4860" w:rsidRPr="002C67DC" w:rsidRDefault="00DD4860" w:rsidP="00DD4860">
      <w:pPr>
        <w:pStyle w:val="NormalWeb"/>
        <w:rPr>
          <w:rStyle w:val="Strong"/>
          <w:rFonts w:asciiTheme="majorBidi" w:hAnsiTheme="majorBidi" w:cstheme="majorBidi"/>
          <w:b w:val="0"/>
          <w:bCs w:val="0"/>
        </w:rPr>
      </w:pPr>
    </w:p>
    <w:p w:rsidR="00742886" w:rsidRPr="002C67DC" w:rsidRDefault="00355D4E" w:rsidP="00EE71FE">
      <w:pPr>
        <w:pStyle w:val="NormalWeb"/>
        <w:rPr>
          <w:rStyle w:val="Strong"/>
          <w:rFonts w:asciiTheme="majorBidi" w:hAnsiTheme="majorBidi" w:cstheme="majorBidi"/>
        </w:rPr>
      </w:pPr>
      <w:r w:rsidRPr="002C67DC">
        <w:rPr>
          <w:rStyle w:val="Strong"/>
          <w:rFonts w:asciiTheme="majorBidi" w:hAnsiTheme="majorBidi" w:cstheme="majorBidi"/>
        </w:rPr>
        <w:t>Supplementary</w:t>
      </w:r>
      <w:r w:rsidR="00742886" w:rsidRPr="002C67DC">
        <w:rPr>
          <w:rStyle w:val="Strong"/>
          <w:rFonts w:asciiTheme="majorBidi" w:hAnsiTheme="majorBidi" w:cstheme="majorBidi"/>
        </w:rPr>
        <w:t xml:space="preserve"> Table</w:t>
      </w:r>
      <w:r w:rsidRPr="002C67DC">
        <w:rPr>
          <w:rStyle w:val="Strong"/>
          <w:rFonts w:asciiTheme="majorBidi" w:hAnsiTheme="majorBidi" w:cstheme="majorBidi"/>
        </w:rPr>
        <w:t xml:space="preserve"> 1</w:t>
      </w:r>
      <w:r w:rsidR="00742886" w:rsidRPr="002C67DC">
        <w:rPr>
          <w:rStyle w:val="Strong"/>
          <w:rFonts w:asciiTheme="majorBidi" w:hAnsiTheme="majorBidi" w:cstheme="majorBidi"/>
        </w:rPr>
        <w:t>: miRNAs Targeting DEGs</w:t>
      </w:r>
      <w:r w:rsidRPr="002C67DC">
        <w:rPr>
          <w:rStyle w:val="Strong"/>
          <w:rFonts w:asciiTheme="majorBidi" w:hAnsiTheme="majorBidi" w:cstheme="majorBidi"/>
        </w:rPr>
        <w:t>:</w:t>
      </w:r>
      <w:r w:rsidRPr="002C67DC">
        <w:rPr>
          <w:rFonts w:asciiTheme="majorBidi" w:hAnsiTheme="majorBidi" w:cstheme="majorBidi"/>
          <w:color w:val="404040"/>
        </w:rPr>
        <w:t xml:space="preserve"> Compiled PubMed-supported functional annotations (source: </w:t>
      </w:r>
      <w:r w:rsidRPr="002C67DC">
        <w:rPr>
          <w:rStyle w:val="Strong"/>
          <w:rFonts w:asciiTheme="majorBidi" w:hAnsiTheme="majorBidi" w:cstheme="majorBidi"/>
          <w:color w:val="404040"/>
        </w:rPr>
        <w:t>mircancer.ecu.edu, March 2025)</w:t>
      </w:r>
      <w:r w:rsidRPr="002C67DC">
        <w:rPr>
          <w:rFonts w:asciiTheme="majorBidi" w:hAnsiTheme="majorBidi" w:cstheme="majorBidi"/>
          <w:color w:val="404040"/>
        </w:rPr>
        <w:t> </w:t>
      </w:r>
    </w:p>
    <w:tbl>
      <w:tblPr>
        <w:tblStyle w:val="PlainTable3"/>
        <w:tblpPr w:leftFromText="180" w:rightFromText="180" w:vertAnchor="text" w:horzAnchor="margin" w:tblpXSpec="center" w:tblpY="466"/>
        <w:tblW w:w="21600" w:type="dxa"/>
        <w:tblLayout w:type="fixed"/>
        <w:tblLook w:val="04A0" w:firstRow="1" w:lastRow="0" w:firstColumn="1" w:lastColumn="0" w:noHBand="0" w:noVBand="1"/>
      </w:tblPr>
      <w:tblGrid>
        <w:gridCol w:w="1795"/>
        <w:gridCol w:w="1763"/>
        <w:gridCol w:w="6792"/>
        <w:gridCol w:w="9476"/>
        <w:gridCol w:w="1774"/>
      </w:tblGrid>
      <w:tr w:rsidR="00355D4E" w:rsidRPr="005D3391" w:rsidTr="00CD6C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95" w:type="dxa"/>
            <w:hideMark/>
          </w:tcPr>
          <w:p w:rsidR="00355D4E" w:rsidRPr="005D3391" w:rsidRDefault="00355D4E" w:rsidP="00253B97">
            <w:pPr>
              <w:rPr>
                <w:rFonts w:asciiTheme="majorBidi" w:eastAsia="Times New Roman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5D3391">
              <w:rPr>
                <w:rFonts w:asciiTheme="majorBidi" w:eastAsia="Times New Roman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Mir Id</w:t>
            </w:r>
          </w:p>
        </w:tc>
        <w:tc>
          <w:tcPr>
            <w:tcW w:w="1763" w:type="dxa"/>
          </w:tcPr>
          <w:p w:rsidR="00355D4E" w:rsidRPr="005D3391" w:rsidRDefault="00355D4E" w:rsidP="00253B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5D3391">
              <w:rPr>
                <w:rFonts w:asciiTheme="majorBidi" w:eastAsia="Times New Roman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Target</w:t>
            </w:r>
          </w:p>
        </w:tc>
        <w:tc>
          <w:tcPr>
            <w:tcW w:w="6792" w:type="dxa"/>
            <w:hideMark/>
          </w:tcPr>
          <w:p w:rsidR="00355D4E" w:rsidRPr="005D3391" w:rsidRDefault="00355D4E" w:rsidP="00253B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sz w:val="24"/>
                <w:szCs w:val="24"/>
              </w:rPr>
            </w:pPr>
            <w:r w:rsidRPr="005D3391">
              <w:rPr>
                <w:rFonts w:asciiTheme="majorBidi" w:eastAsia="Times New Roman" w:hAnsiTheme="majorBidi" w:cstheme="majorBidi"/>
                <w:b w:val="0"/>
                <w:bCs w:val="0"/>
                <w:sz w:val="24"/>
                <w:szCs w:val="24"/>
              </w:rPr>
              <w:t>PubMed Article</w:t>
            </w:r>
          </w:p>
        </w:tc>
        <w:tc>
          <w:tcPr>
            <w:tcW w:w="9476" w:type="dxa"/>
          </w:tcPr>
          <w:p w:rsidR="00355D4E" w:rsidRPr="005D3391" w:rsidRDefault="00355D4E" w:rsidP="00253B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sz w:val="24"/>
                <w:szCs w:val="24"/>
              </w:rPr>
            </w:pPr>
            <w:r w:rsidRPr="005D3391">
              <w:rPr>
                <w:rFonts w:asciiTheme="majorBidi" w:eastAsia="Times New Roman" w:hAnsiTheme="majorBidi" w:cstheme="majorBidi"/>
                <w:b w:val="0"/>
                <w:bCs w:val="0"/>
                <w:sz w:val="24"/>
                <w:szCs w:val="24"/>
              </w:rPr>
              <w:t>More key findings</w:t>
            </w:r>
          </w:p>
        </w:tc>
        <w:tc>
          <w:tcPr>
            <w:tcW w:w="1774" w:type="dxa"/>
          </w:tcPr>
          <w:p w:rsidR="00355D4E" w:rsidRPr="005D3391" w:rsidRDefault="00DE7935" w:rsidP="00DE79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5D3391">
              <w:rPr>
                <w:rFonts w:asciiTheme="majorBidi" w:eastAsia="Times New Roman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C</w:t>
            </w:r>
            <w:r w:rsidR="00355D4E" w:rsidRPr="005D3391">
              <w:rPr>
                <w:rFonts w:asciiTheme="majorBidi" w:eastAsia="Times New Roman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onfirming</w:t>
            </w:r>
            <w:r w:rsidRPr="005D3391">
              <w:rPr>
                <w:rFonts w:asciiTheme="majorBidi" w:eastAsia="Times New Roman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 xml:space="preserve"> our findings</w:t>
            </w:r>
          </w:p>
        </w:tc>
      </w:tr>
      <w:tr w:rsidR="00355D4E" w:rsidRPr="005D3391" w:rsidTr="00CD6C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 w:val="restart"/>
            <w:hideMark/>
          </w:tcPr>
          <w:p w:rsidR="00355D4E" w:rsidRPr="005D3391" w:rsidRDefault="00355D4E" w:rsidP="00253B97">
            <w:pPr>
              <w:rPr>
                <w:rFonts w:asciiTheme="majorBidi" w:eastAsia="Times New Roman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5D3391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bdr w:val="none" w:sz="0" w:space="0" w:color="auto" w:frame="1"/>
              </w:rPr>
              <w:t>hsa-miR-27a</w:t>
            </w:r>
          </w:p>
          <w:p w:rsidR="00355D4E" w:rsidRPr="005D3391" w:rsidRDefault="00355D4E" w:rsidP="00253B97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763" w:type="dxa"/>
            <w:vMerge w:val="restart"/>
          </w:tcPr>
          <w:p w:rsidR="00355D4E" w:rsidRPr="005D3391" w:rsidRDefault="00355D4E" w:rsidP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  <w:r w:rsidRPr="005D3391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>VCAN TNFRSF9</w:t>
            </w:r>
          </w:p>
        </w:tc>
        <w:tc>
          <w:tcPr>
            <w:tcW w:w="6792" w:type="dxa"/>
            <w:hideMark/>
          </w:tcPr>
          <w:p w:rsidR="00355D4E" w:rsidRPr="005D3391" w:rsidRDefault="00355D4E" w:rsidP="008030D8">
            <w:pPr>
              <w:numPr>
                <w:ilvl w:val="0"/>
                <w:numId w:val="4"/>
              </w:numPr>
              <w:shd w:val="clear" w:color="auto" w:fill="FFFFFF"/>
              <w:spacing w:before="100" w:beforeAutospacing="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212121"/>
                <w:sz w:val="24"/>
                <w:szCs w:val="24"/>
              </w:rPr>
            </w:pPr>
            <w:r w:rsidRPr="005D3391">
              <w:rPr>
                <w:rFonts w:asciiTheme="majorBidi" w:eastAsia="Times New Roman" w:hAnsiTheme="majorBidi" w:cstheme="majorBidi"/>
                <w:sz w:val="24"/>
                <w:szCs w:val="24"/>
                <w:bdr w:val="none" w:sz="0" w:space="0" w:color="auto" w:frame="1"/>
              </w:rPr>
              <w:t>c-MYC regulated miR-23a~24-2~27a cluster promotes mammary carcinoma cell invasion and hepatic metastasis by targeting Sprouty2.</w:t>
            </w:r>
            <w:r w:rsidR="00F2088D" w:rsidRPr="005D3391">
              <w:rPr>
                <w:rFonts w:asciiTheme="majorBidi" w:eastAsia="Times New Roman" w:hAnsiTheme="majorBidi" w:cstheme="majorBidi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F2088D" w:rsidRPr="005D3391">
              <w:rPr>
                <w:rStyle w:val="id-label"/>
                <w:rFonts w:asciiTheme="majorBidi" w:hAnsiTheme="majorBidi" w:cstheme="majorBidi"/>
                <w:color w:val="212121"/>
                <w:sz w:val="24"/>
                <w:szCs w:val="24"/>
              </w:rPr>
              <w:t xml:space="preserve"> </w:t>
            </w:r>
            <w:r w:rsidR="00F2088D" w:rsidRPr="005D3391">
              <w:rPr>
                <w:rStyle w:val="id-label"/>
                <w:rFonts w:asciiTheme="majorBidi" w:hAnsiTheme="majorBidi" w:cstheme="majorBidi"/>
                <w:b/>
                <w:bCs/>
                <w:color w:val="212121"/>
                <w:sz w:val="24"/>
                <w:szCs w:val="24"/>
              </w:rPr>
              <w:t>(</w:t>
            </w:r>
            <w:r w:rsidR="00F2088D" w:rsidRPr="005D3391">
              <w:rPr>
                <w:rFonts w:asciiTheme="majorBidi" w:eastAsia="Times New Roman" w:hAnsiTheme="majorBidi" w:cstheme="majorBidi"/>
                <w:b/>
                <w:bCs/>
                <w:color w:val="212121"/>
                <w:sz w:val="24"/>
                <w:szCs w:val="24"/>
              </w:rPr>
              <w:t>PMID: 23649631)</w:t>
            </w:r>
          </w:p>
        </w:tc>
        <w:tc>
          <w:tcPr>
            <w:tcW w:w="9476" w:type="dxa"/>
          </w:tcPr>
          <w:p w:rsidR="00355D4E" w:rsidRPr="005D3391" w:rsidRDefault="00355D4E" w:rsidP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  <w:r w:rsidRPr="005D3391">
              <w:rPr>
                <w:rStyle w:val="Strong"/>
                <w:rFonts w:asciiTheme="majorBidi" w:hAnsiTheme="majorBidi" w:cstheme="majorBidi"/>
                <w:color w:val="000000" w:themeColor="text1"/>
                <w:sz w:val="24"/>
                <w:szCs w:val="24"/>
              </w:rPr>
              <w:t>Upregulation of hsa-miR27a</w:t>
            </w:r>
            <w:r w:rsidRPr="005D3391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 drives breast cancer metastasis,  by suppressing the tumor suppressor SPRY2, activating MAPK signaling, and enhancing cell invasion and metastasis (as shown in hepatic metastasis)</w:t>
            </w:r>
          </w:p>
        </w:tc>
        <w:tc>
          <w:tcPr>
            <w:tcW w:w="1774" w:type="dxa"/>
          </w:tcPr>
          <w:p w:rsidR="00355D4E" w:rsidRPr="005D3391" w:rsidRDefault="00355D4E" w:rsidP="00DE7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  <w:r w:rsidRPr="005D3391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>+</w:t>
            </w:r>
          </w:p>
        </w:tc>
      </w:tr>
      <w:tr w:rsidR="00355D4E" w:rsidRPr="005D3391" w:rsidTr="00CD6C6E">
        <w:trPr>
          <w:trHeight w:val="1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  <w:hideMark/>
          </w:tcPr>
          <w:p w:rsidR="00355D4E" w:rsidRPr="005D3391" w:rsidRDefault="00355D4E" w:rsidP="00253B97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763" w:type="dxa"/>
            <w:vMerge/>
          </w:tcPr>
          <w:p w:rsidR="00355D4E" w:rsidRPr="005D3391" w:rsidRDefault="00355D4E" w:rsidP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6792" w:type="dxa"/>
            <w:hideMark/>
          </w:tcPr>
          <w:p w:rsidR="00355D4E" w:rsidRPr="005D3391" w:rsidRDefault="00355D4E" w:rsidP="008030D8">
            <w:pPr>
              <w:numPr>
                <w:ilvl w:val="0"/>
                <w:numId w:val="5"/>
              </w:numPr>
              <w:shd w:val="clear" w:color="auto" w:fill="FFFFFF"/>
              <w:spacing w:before="100" w:beforeAutospacing="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212121"/>
                <w:sz w:val="24"/>
                <w:szCs w:val="24"/>
              </w:rPr>
            </w:pPr>
            <w:r w:rsidRPr="005D3391">
              <w:rPr>
                <w:rFonts w:asciiTheme="majorBidi" w:eastAsia="Times New Roman" w:hAnsiTheme="majorBidi" w:cstheme="majorBidi"/>
                <w:sz w:val="24"/>
                <w:szCs w:val="24"/>
                <w:bdr w:val="none" w:sz="0" w:space="0" w:color="auto" w:frame="1"/>
              </w:rPr>
              <w:t>Arsenic trioxide suppresses cell growth and migration via inhibition of miR-27a in breast cancer cells.</w:t>
            </w:r>
            <w:r w:rsidR="008030D8" w:rsidRPr="005D3391">
              <w:rPr>
                <w:rFonts w:asciiTheme="majorBidi" w:eastAsia="Times New Roman" w:hAnsiTheme="majorBidi" w:cstheme="majorBidi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8030D8" w:rsidRPr="005D339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bdr w:val="none" w:sz="0" w:space="0" w:color="auto" w:frame="1"/>
              </w:rPr>
              <w:t>(</w:t>
            </w:r>
            <w:r w:rsidR="008030D8" w:rsidRPr="005D339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PMID: 26592661</w:t>
            </w:r>
            <w:r w:rsidR="008030D8" w:rsidRPr="005D339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bdr w:val="none" w:sz="0" w:space="0" w:color="auto" w:frame="1"/>
              </w:rPr>
              <w:t>)</w:t>
            </w:r>
          </w:p>
        </w:tc>
        <w:tc>
          <w:tcPr>
            <w:tcW w:w="9476" w:type="dxa"/>
          </w:tcPr>
          <w:p w:rsidR="00355D4E" w:rsidRPr="005D3391" w:rsidRDefault="00355D4E" w:rsidP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  <w:r w:rsidRPr="005D3391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miR-27a inhibitor treatment potentiates arsenic trioxide -induced breast cancer cell growth inhibition, apoptosis and motility inhibition</w:t>
            </w:r>
          </w:p>
        </w:tc>
        <w:tc>
          <w:tcPr>
            <w:tcW w:w="1774" w:type="dxa"/>
          </w:tcPr>
          <w:p w:rsidR="00355D4E" w:rsidRPr="005D3391" w:rsidRDefault="00355D4E" w:rsidP="00DE7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  <w:r w:rsidRPr="005D3391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>+</w:t>
            </w:r>
          </w:p>
        </w:tc>
      </w:tr>
      <w:tr w:rsidR="00355D4E" w:rsidRPr="005D3391" w:rsidTr="00CD6C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  <w:hideMark/>
          </w:tcPr>
          <w:p w:rsidR="00355D4E" w:rsidRPr="005D3391" w:rsidRDefault="00355D4E" w:rsidP="00253B97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763" w:type="dxa"/>
            <w:vMerge/>
          </w:tcPr>
          <w:p w:rsidR="00355D4E" w:rsidRPr="005D3391" w:rsidRDefault="00355D4E" w:rsidP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6792" w:type="dxa"/>
            <w:hideMark/>
          </w:tcPr>
          <w:p w:rsidR="00355D4E" w:rsidRPr="005D3391" w:rsidRDefault="00355D4E" w:rsidP="00C9720F">
            <w:pPr>
              <w:numPr>
                <w:ilvl w:val="0"/>
                <w:numId w:val="6"/>
              </w:numPr>
              <w:shd w:val="clear" w:color="auto" w:fill="FFFFFF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212121"/>
                <w:sz w:val="24"/>
                <w:szCs w:val="24"/>
              </w:rPr>
            </w:pPr>
            <w:r w:rsidRPr="005D3391">
              <w:rPr>
                <w:rFonts w:asciiTheme="majorBidi" w:eastAsia="Times New Roman" w:hAnsiTheme="majorBidi" w:cstheme="majorBidi"/>
                <w:sz w:val="24"/>
                <w:szCs w:val="24"/>
                <w:bdr w:val="none" w:sz="0" w:space="0" w:color="auto" w:frame="1"/>
              </w:rPr>
              <w:t>miR-27a regulates the sensitivity of breast cancer cells to cisplatin treatment via BAK-SMAC/DIABLO-XIAP axis.</w:t>
            </w:r>
            <w:r w:rsidR="00C9720F" w:rsidRPr="005D3391">
              <w:rPr>
                <w:rFonts w:asciiTheme="majorBidi" w:eastAsia="Times New Roman" w:hAnsiTheme="majorBidi" w:cstheme="majorBidi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C9720F" w:rsidRPr="005D339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bdr w:val="none" w:sz="0" w:space="0" w:color="auto" w:frame="1"/>
              </w:rPr>
              <w:t>(</w:t>
            </w:r>
            <w:r w:rsidR="00C9720F" w:rsidRPr="005D3391">
              <w:rPr>
                <w:rFonts w:asciiTheme="majorBidi" w:eastAsia="Times New Roman" w:hAnsiTheme="majorBidi" w:cstheme="majorBidi"/>
                <w:b/>
                <w:bCs/>
                <w:color w:val="212121"/>
                <w:sz w:val="24"/>
                <w:szCs w:val="24"/>
              </w:rPr>
              <w:t>PMID: 26662313)</w:t>
            </w:r>
          </w:p>
        </w:tc>
        <w:tc>
          <w:tcPr>
            <w:tcW w:w="9476" w:type="dxa"/>
          </w:tcPr>
          <w:p w:rsidR="00355D4E" w:rsidRPr="005D3391" w:rsidRDefault="00355D4E" w:rsidP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D3391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miR-27a is an onco-microRNA, promoteing the growth and metastasis of breast cancer cells.</w:t>
            </w:r>
          </w:p>
          <w:p w:rsidR="00355D4E" w:rsidRPr="005D3391" w:rsidRDefault="00355D4E" w:rsidP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D3391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the knockdown of miR-27a promoted the apoptosis via mitochondrial pathway in T-47D cells treated with  cisplatin (CDDP)</w:t>
            </w:r>
          </w:p>
        </w:tc>
        <w:tc>
          <w:tcPr>
            <w:tcW w:w="1774" w:type="dxa"/>
          </w:tcPr>
          <w:p w:rsidR="00355D4E" w:rsidRPr="005D3391" w:rsidRDefault="00355D4E" w:rsidP="00DE7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  <w:r w:rsidRPr="005D3391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>+</w:t>
            </w:r>
          </w:p>
        </w:tc>
      </w:tr>
      <w:tr w:rsidR="00355D4E" w:rsidRPr="005D3391" w:rsidTr="00CD6C6E">
        <w:trPr>
          <w:trHeight w:val="10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:rsidR="00355D4E" w:rsidRPr="005D3391" w:rsidRDefault="00355D4E" w:rsidP="00253B97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  <w:r w:rsidRPr="005D3391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bdr w:val="none" w:sz="0" w:space="0" w:color="auto" w:frame="1"/>
              </w:rPr>
              <w:t>hsa-miR-210</w:t>
            </w:r>
          </w:p>
        </w:tc>
        <w:tc>
          <w:tcPr>
            <w:tcW w:w="1763" w:type="dxa"/>
          </w:tcPr>
          <w:p w:rsidR="00355D4E" w:rsidRPr="005D3391" w:rsidRDefault="00355D4E" w:rsidP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  <w:r w:rsidRPr="005D3391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>VCAN  TNFRSF9</w:t>
            </w:r>
          </w:p>
        </w:tc>
        <w:tc>
          <w:tcPr>
            <w:tcW w:w="6792" w:type="dxa"/>
          </w:tcPr>
          <w:p w:rsidR="00355D4E" w:rsidRPr="005D3391" w:rsidRDefault="00355D4E" w:rsidP="00FB7A6E">
            <w:pPr>
              <w:numPr>
                <w:ilvl w:val="0"/>
                <w:numId w:val="7"/>
              </w:numPr>
              <w:shd w:val="clear" w:color="auto" w:fill="FFFFFF"/>
              <w:spacing w:before="100" w:beforeAutospacing="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212121"/>
                <w:sz w:val="24"/>
                <w:szCs w:val="24"/>
              </w:rPr>
            </w:pPr>
            <w:r w:rsidRPr="005D3391">
              <w:rPr>
                <w:rFonts w:asciiTheme="majorBidi" w:eastAsia="Times New Roman" w:hAnsiTheme="majorBidi" w:cstheme="majorBidi"/>
                <w:sz w:val="24"/>
                <w:szCs w:val="24"/>
                <w:bdr w:val="none" w:sz="0" w:space="0" w:color="auto" w:frame="1"/>
              </w:rPr>
              <w:t>MicroRNA-210 interacts with FBXO31 to regulate cancer proliferation cell cycle and migration in human breast cancer.</w:t>
            </w:r>
            <w:r w:rsidR="00FB7A6E" w:rsidRPr="005D3391">
              <w:rPr>
                <w:rFonts w:asciiTheme="majorBidi" w:eastAsia="Times New Roman" w:hAnsiTheme="majorBidi" w:cstheme="majorBidi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FB7A6E" w:rsidRPr="005D3391">
              <w:rPr>
                <w:rStyle w:val="id-label"/>
                <w:rFonts w:asciiTheme="majorBidi" w:hAnsiTheme="majorBidi" w:cstheme="majorBidi"/>
                <w:color w:val="212121"/>
                <w:sz w:val="24"/>
                <w:szCs w:val="24"/>
              </w:rPr>
              <w:t xml:space="preserve"> </w:t>
            </w:r>
            <w:r w:rsidR="00FB7A6E" w:rsidRPr="005D339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(</w:t>
            </w:r>
            <w:r w:rsidR="00FB7A6E" w:rsidRPr="005D3391">
              <w:rPr>
                <w:rFonts w:asciiTheme="majorBidi" w:eastAsia="Times New Roman" w:hAnsiTheme="majorBidi" w:cstheme="majorBidi"/>
                <w:b/>
                <w:bCs/>
                <w:color w:val="212121"/>
                <w:sz w:val="24"/>
                <w:szCs w:val="24"/>
              </w:rPr>
              <w:t>PMID: 27601917)</w:t>
            </w:r>
          </w:p>
        </w:tc>
        <w:tc>
          <w:tcPr>
            <w:tcW w:w="9476" w:type="dxa"/>
          </w:tcPr>
          <w:p w:rsidR="00355D4E" w:rsidRPr="005D3391" w:rsidRDefault="00355D4E" w:rsidP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  <w:r w:rsidRPr="005D3391">
              <w:rPr>
                <w:rFonts w:asciiTheme="majorBidi" w:hAnsiTheme="majorBidi" w:cstheme="majorBidi"/>
                <w:color w:val="212121"/>
                <w:sz w:val="24"/>
                <w:szCs w:val="24"/>
                <w:shd w:val="clear" w:color="auto" w:fill="FFFFFF"/>
              </w:rPr>
              <w:t>miR-210 downregulation reduced cancer progression, induced cell cycle arrest, and inhibited cancer migration in T47D and MCF-7 cells.</w:t>
            </w:r>
          </w:p>
        </w:tc>
        <w:tc>
          <w:tcPr>
            <w:tcW w:w="1774" w:type="dxa"/>
          </w:tcPr>
          <w:p w:rsidR="00355D4E" w:rsidRPr="005D3391" w:rsidRDefault="00355D4E" w:rsidP="00DE7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  <w:r w:rsidRPr="005D3391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>+</w:t>
            </w:r>
          </w:p>
        </w:tc>
      </w:tr>
      <w:tr w:rsidR="00CD6C6E" w:rsidRPr="005D3391" w:rsidTr="00CD6C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 w:val="restart"/>
          </w:tcPr>
          <w:p w:rsidR="00355D4E" w:rsidRPr="005D3391" w:rsidRDefault="00355D4E" w:rsidP="00253B9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D3391">
              <w:rPr>
                <w:rFonts w:asciiTheme="majorBidi" w:hAnsiTheme="majorBidi" w:cstheme="majorBidi"/>
                <w:sz w:val="24"/>
                <w:szCs w:val="24"/>
                <w:bdr w:val="none" w:sz="0" w:space="0" w:color="auto" w:frame="1"/>
              </w:rPr>
              <w:t>hsa-miR-335</w:t>
            </w:r>
          </w:p>
        </w:tc>
        <w:tc>
          <w:tcPr>
            <w:tcW w:w="1763" w:type="dxa"/>
            <w:vMerge w:val="restart"/>
          </w:tcPr>
          <w:p w:rsidR="00355D4E" w:rsidRPr="005D3391" w:rsidRDefault="00355D4E" w:rsidP="00253B97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D3391">
              <w:rPr>
                <w:rFonts w:asciiTheme="majorBidi" w:eastAsia="Times New Roman" w:hAnsiTheme="majorBidi" w:cstheme="majorBidi"/>
                <w:sz w:val="24"/>
                <w:szCs w:val="24"/>
              </w:rPr>
              <w:t>PFKFB4, ASCL2, TACC3, GRAMD1A</w:t>
            </w:r>
          </w:p>
        </w:tc>
        <w:tc>
          <w:tcPr>
            <w:tcW w:w="6792" w:type="dxa"/>
          </w:tcPr>
          <w:p w:rsidR="00355D4E" w:rsidRPr="005D3391" w:rsidRDefault="00355D4E" w:rsidP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D3391">
              <w:rPr>
                <w:rFonts w:asciiTheme="majorBidi" w:hAnsiTheme="majorBidi" w:cstheme="majorBidi"/>
                <w:sz w:val="24"/>
                <w:szCs w:val="24"/>
                <w:bdr w:val="none" w:sz="0" w:space="0" w:color="auto" w:frame="1"/>
              </w:rPr>
              <w:t>MicroRNA-335 inhibits tumor reinitiation and is silenced through genetic and epigenetic mechanisms in human breast cancer.</w:t>
            </w:r>
            <w:r w:rsidR="002C67DC" w:rsidRPr="005D3391">
              <w:rPr>
                <w:rFonts w:asciiTheme="majorBidi" w:hAnsiTheme="majorBidi" w:cstheme="majorBidi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4B3CE9" w:rsidRPr="005D3391">
              <w:rPr>
                <w:rFonts w:asciiTheme="majorBidi" w:hAnsiTheme="majorBidi" w:cstheme="majorBidi"/>
                <w:sz w:val="24"/>
                <w:szCs w:val="24"/>
                <w:bdr w:val="none" w:sz="0" w:space="0" w:color="auto" w:frame="1"/>
              </w:rPr>
              <w:t>(</w:t>
            </w:r>
            <w:r w:rsidR="004B3CE9" w:rsidRPr="005D3391">
              <w:rPr>
                <w:rFonts w:asciiTheme="majorBidi" w:hAnsiTheme="majorBidi" w:cstheme="majorBidi"/>
                <w:color w:val="1B1B1B"/>
                <w:sz w:val="24"/>
                <w:szCs w:val="24"/>
                <w:shd w:val="clear" w:color="auto" w:fill="FFFFFF"/>
              </w:rPr>
              <w:t>PMID: </w:t>
            </w:r>
            <w:r w:rsidR="004B3CE9" w:rsidRPr="005D3391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t>21289068</w:t>
            </w:r>
            <w:r w:rsidR="004B3CE9" w:rsidRPr="005D3391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9476" w:type="dxa"/>
          </w:tcPr>
          <w:p w:rsidR="00355D4E" w:rsidRPr="005D3391" w:rsidRDefault="00355D4E" w:rsidP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  <w:r w:rsidRPr="005D3391">
              <w:rPr>
                <w:rFonts w:asciiTheme="majorBidi" w:hAnsiTheme="majorBidi" w:cstheme="majorBidi"/>
                <w:color w:val="404040"/>
                <w:sz w:val="24"/>
                <w:szCs w:val="24"/>
              </w:rPr>
              <w:t>miR-335 acts as a potent metastasis suppressor in breast cancer by inhibiting migration, invasion, and metastatic colonization. It targets genes like </w:t>
            </w:r>
            <w:r w:rsidRPr="005D3391">
              <w:rPr>
                <w:rStyle w:val="Strong"/>
                <w:rFonts w:asciiTheme="majorBidi" w:hAnsiTheme="majorBidi" w:cstheme="majorBidi"/>
                <w:color w:val="404040"/>
                <w:sz w:val="24"/>
                <w:szCs w:val="24"/>
              </w:rPr>
              <w:t>SOX4</w:t>
            </w:r>
            <w:r w:rsidRPr="005D3391">
              <w:rPr>
                <w:rFonts w:asciiTheme="majorBidi" w:hAnsiTheme="majorBidi" w:cstheme="majorBidi"/>
                <w:color w:val="404040"/>
                <w:sz w:val="24"/>
                <w:szCs w:val="24"/>
              </w:rPr>
              <w:t> (a transcription factor) and </w:t>
            </w:r>
            <w:r w:rsidRPr="005D3391">
              <w:rPr>
                <w:rStyle w:val="Strong"/>
                <w:rFonts w:asciiTheme="majorBidi" w:hAnsiTheme="majorBidi" w:cstheme="majorBidi"/>
                <w:color w:val="404040"/>
                <w:sz w:val="24"/>
                <w:szCs w:val="24"/>
              </w:rPr>
              <w:t>Tenascin-C (TNC)</w:t>
            </w:r>
            <w:r w:rsidRPr="005D3391">
              <w:rPr>
                <w:rFonts w:asciiTheme="majorBidi" w:hAnsiTheme="majorBidi" w:cstheme="majorBidi"/>
                <w:color w:val="404040"/>
                <w:sz w:val="24"/>
                <w:szCs w:val="24"/>
              </w:rPr>
              <w:t> (an extracellular matrix protein), which drive metastatic processes when miR-335 is downregulated.</w:t>
            </w:r>
          </w:p>
        </w:tc>
        <w:tc>
          <w:tcPr>
            <w:tcW w:w="1774" w:type="dxa"/>
          </w:tcPr>
          <w:p w:rsidR="00355D4E" w:rsidRPr="005D3391" w:rsidRDefault="00355D4E" w:rsidP="00DE7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D3391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>+</w:t>
            </w:r>
          </w:p>
        </w:tc>
      </w:tr>
      <w:tr w:rsidR="00355D4E" w:rsidRPr="005D3391" w:rsidTr="00CD6C6E">
        <w:trPr>
          <w:trHeight w:val="10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</w:tcPr>
          <w:p w:rsidR="00355D4E" w:rsidRPr="005D3391" w:rsidRDefault="00355D4E" w:rsidP="00253B9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63" w:type="dxa"/>
            <w:vMerge/>
          </w:tcPr>
          <w:p w:rsidR="00355D4E" w:rsidRPr="005D3391" w:rsidRDefault="00355D4E" w:rsidP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6792" w:type="dxa"/>
          </w:tcPr>
          <w:p w:rsidR="00355D4E" w:rsidRPr="005D3391" w:rsidRDefault="00355D4E" w:rsidP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D3391">
              <w:rPr>
                <w:rFonts w:asciiTheme="majorBidi" w:hAnsiTheme="majorBidi" w:cstheme="majorBidi"/>
                <w:sz w:val="24"/>
                <w:szCs w:val="24"/>
                <w:bdr w:val="none" w:sz="0" w:space="0" w:color="auto" w:frame="1"/>
              </w:rPr>
              <w:t>Analysis of miR-205 and miR-155 expression in the blood of breast cancer patients.</w:t>
            </w:r>
            <w:r w:rsidR="00A11E40" w:rsidRPr="005D3391">
              <w:rPr>
                <w:rFonts w:asciiTheme="majorBidi" w:hAnsiTheme="majorBidi" w:cstheme="majorBidi"/>
                <w:sz w:val="24"/>
                <w:szCs w:val="24"/>
                <w:bdr w:val="none" w:sz="0" w:space="0" w:color="auto" w:frame="1"/>
              </w:rPr>
              <w:t xml:space="preserve"> (</w:t>
            </w:r>
            <w:r w:rsidR="00A11E40" w:rsidRPr="005D3391">
              <w:rPr>
                <w:rFonts w:asciiTheme="majorBidi" w:hAnsiTheme="majorBidi" w:cstheme="majorBidi"/>
                <w:color w:val="1B1B1B"/>
                <w:sz w:val="24"/>
                <w:szCs w:val="24"/>
                <w:shd w:val="clear" w:color="auto" w:fill="FFFFFF"/>
              </w:rPr>
              <w:t>PMID: </w:t>
            </w:r>
            <w:r w:rsidR="00A11E40" w:rsidRPr="005D3391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t>23372341</w:t>
            </w:r>
            <w:r w:rsidR="00A11E40" w:rsidRPr="005D3391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9476" w:type="dxa"/>
          </w:tcPr>
          <w:p w:rsidR="00355D4E" w:rsidRPr="005D3391" w:rsidRDefault="00355D4E" w:rsidP="00253B97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404040"/>
              </w:rPr>
            </w:pPr>
            <w:r w:rsidRPr="005D3391">
              <w:rPr>
                <w:rFonts w:asciiTheme="majorBidi" w:hAnsiTheme="majorBidi" w:cstheme="majorBidi"/>
                <w:color w:val="404040"/>
              </w:rPr>
              <w:t>- Restoring miR-335 could suppress metastasis and tumor growth.</w:t>
            </w:r>
          </w:p>
          <w:p w:rsidR="00355D4E" w:rsidRPr="005D3391" w:rsidRDefault="00355D4E" w:rsidP="00253B97">
            <w:pPr>
              <w:pStyle w:val="NormalWeb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404040"/>
              </w:rPr>
            </w:pPr>
            <w:r w:rsidRPr="005D3391">
              <w:rPr>
                <w:rFonts w:asciiTheme="majorBidi" w:hAnsiTheme="majorBidi" w:cstheme="majorBidi"/>
              </w:rPr>
              <w:t>-low miR-335 levels correlate with shorter median time to metastatic relapse</w:t>
            </w:r>
            <w:r w:rsidRPr="005D3391">
              <w:rPr>
                <w:rFonts w:asciiTheme="majorBidi" w:hAnsiTheme="majorBidi" w:cstheme="majorBidi"/>
                <w:color w:val="404040"/>
              </w:rPr>
              <w:t> in BC patients(Ref.: Tavazoie et al., 2008)</w:t>
            </w:r>
          </w:p>
        </w:tc>
        <w:tc>
          <w:tcPr>
            <w:tcW w:w="1774" w:type="dxa"/>
          </w:tcPr>
          <w:p w:rsidR="00355D4E" w:rsidRPr="005D3391" w:rsidRDefault="00355D4E" w:rsidP="00DE7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D3391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>+</w:t>
            </w:r>
          </w:p>
        </w:tc>
      </w:tr>
      <w:tr w:rsidR="00CD6C6E" w:rsidRPr="005D3391" w:rsidTr="00CD6C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</w:tcPr>
          <w:p w:rsidR="00355D4E" w:rsidRPr="005D3391" w:rsidRDefault="00355D4E" w:rsidP="00253B9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63" w:type="dxa"/>
            <w:vMerge/>
          </w:tcPr>
          <w:p w:rsidR="00355D4E" w:rsidRPr="005D3391" w:rsidRDefault="00355D4E" w:rsidP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6792" w:type="dxa"/>
          </w:tcPr>
          <w:p w:rsidR="00355D4E" w:rsidRPr="005D3391" w:rsidRDefault="00355D4E" w:rsidP="003C2788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212121"/>
                <w:sz w:val="24"/>
                <w:szCs w:val="24"/>
              </w:rPr>
            </w:pPr>
            <w:r w:rsidRPr="005D3391">
              <w:rPr>
                <w:rFonts w:asciiTheme="majorBidi" w:hAnsiTheme="majorBidi" w:cstheme="majorBidi"/>
                <w:sz w:val="24"/>
                <w:szCs w:val="24"/>
                <w:bdr w:val="none" w:sz="0" w:space="0" w:color="auto" w:frame="1"/>
              </w:rPr>
              <w:t>MiR-335 inhibits migration of breast cancer cells through targeting oncoprotein c-Met.</w:t>
            </w:r>
            <w:r w:rsidR="003C2788" w:rsidRPr="005D3391">
              <w:rPr>
                <w:rFonts w:asciiTheme="majorBidi" w:hAnsiTheme="majorBidi" w:cstheme="majorBidi"/>
                <w:sz w:val="24"/>
                <w:szCs w:val="24"/>
                <w:bdr w:val="none" w:sz="0" w:space="0" w:color="auto" w:frame="1"/>
              </w:rPr>
              <w:t xml:space="preserve"> (</w:t>
            </w:r>
            <w:r w:rsidR="003C2788" w:rsidRPr="005D3391">
              <w:rPr>
                <w:rFonts w:asciiTheme="majorBidi" w:eastAsia="Times New Roman" w:hAnsiTheme="majorBidi" w:cstheme="majorBidi"/>
                <w:color w:val="212121"/>
                <w:sz w:val="24"/>
                <w:szCs w:val="24"/>
              </w:rPr>
              <w:t>PMID: 25492484)</w:t>
            </w:r>
          </w:p>
        </w:tc>
        <w:tc>
          <w:tcPr>
            <w:tcW w:w="9476" w:type="dxa"/>
          </w:tcPr>
          <w:p w:rsidR="00355D4E" w:rsidRPr="005D3391" w:rsidRDefault="00355D4E" w:rsidP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  <w:r w:rsidRPr="005D3391">
              <w:rPr>
                <w:rFonts w:asciiTheme="majorBidi" w:hAnsiTheme="majorBidi" w:cstheme="majorBidi"/>
                <w:color w:val="212121"/>
                <w:sz w:val="24"/>
                <w:szCs w:val="24"/>
                <w:shd w:val="clear" w:color="auto" w:fill="FFFFFF"/>
              </w:rPr>
              <w:t>miR-335 suppresses breast cancer cell migration by negatively regulating the HGF/c-Met pathway</w:t>
            </w:r>
          </w:p>
        </w:tc>
        <w:tc>
          <w:tcPr>
            <w:tcW w:w="1774" w:type="dxa"/>
          </w:tcPr>
          <w:p w:rsidR="00355D4E" w:rsidRPr="005D3391" w:rsidRDefault="00355D4E" w:rsidP="00DE7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D3391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>+</w:t>
            </w:r>
          </w:p>
        </w:tc>
      </w:tr>
      <w:tr w:rsidR="00355D4E" w:rsidRPr="005D3391" w:rsidTr="00CD6C6E">
        <w:trPr>
          <w:trHeight w:val="10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</w:tcPr>
          <w:p w:rsidR="00355D4E" w:rsidRPr="005D3391" w:rsidRDefault="00355D4E" w:rsidP="00253B9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63" w:type="dxa"/>
            <w:vMerge/>
          </w:tcPr>
          <w:p w:rsidR="00355D4E" w:rsidRPr="005D3391" w:rsidRDefault="00355D4E" w:rsidP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6792" w:type="dxa"/>
          </w:tcPr>
          <w:p w:rsidR="00355D4E" w:rsidRPr="005D3391" w:rsidRDefault="00355D4E" w:rsidP="004069A9">
            <w:pPr>
              <w:numPr>
                <w:ilvl w:val="0"/>
                <w:numId w:val="9"/>
              </w:numPr>
              <w:shd w:val="clear" w:color="auto" w:fill="FFFFFF"/>
              <w:spacing w:before="100" w:beforeAutospacing="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212121"/>
                <w:sz w:val="24"/>
                <w:szCs w:val="24"/>
              </w:rPr>
            </w:pPr>
            <w:r w:rsidRPr="005D3391">
              <w:rPr>
                <w:rFonts w:asciiTheme="majorBidi" w:hAnsiTheme="majorBidi" w:cstheme="majorBidi"/>
                <w:sz w:val="24"/>
                <w:szCs w:val="24"/>
                <w:bdr w:val="none" w:sz="0" w:space="0" w:color="auto" w:frame="1"/>
              </w:rPr>
              <w:t>MicroRNA-335 suppresses the proliferation, migration, and invasion of breast cancer cells by targeting EphA4.</w:t>
            </w:r>
            <w:r w:rsidR="005B14F6" w:rsidRPr="005D3391">
              <w:rPr>
                <w:rFonts w:asciiTheme="majorBidi" w:hAnsiTheme="majorBidi" w:cstheme="majorBidi"/>
                <w:sz w:val="24"/>
                <w:szCs w:val="24"/>
                <w:bdr w:val="none" w:sz="0" w:space="0" w:color="auto" w:frame="1"/>
              </w:rPr>
              <w:t xml:space="preserve"> (</w:t>
            </w:r>
            <w:r w:rsidR="005B14F6" w:rsidRPr="005D3391">
              <w:rPr>
                <w:rFonts w:asciiTheme="majorBidi" w:eastAsia="Times New Roman" w:hAnsiTheme="majorBidi" w:cstheme="majorBidi"/>
                <w:color w:val="212121"/>
                <w:sz w:val="24"/>
                <w:szCs w:val="24"/>
              </w:rPr>
              <w:t>PMID: 28795314)</w:t>
            </w:r>
          </w:p>
        </w:tc>
        <w:tc>
          <w:tcPr>
            <w:tcW w:w="9476" w:type="dxa"/>
          </w:tcPr>
          <w:p w:rsidR="00355D4E" w:rsidRPr="005D3391" w:rsidRDefault="00355D4E" w:rsidP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  <w:r w:rsidRPr="005D3391">
              <w:rPr>
                <w:rFonts w:asciiTheme="majorBidi" w:hAnsiTheme="majorBidi" w:cstheme="majorBidi"/>
                <w:color w:val="212121"/>
                <w:sz w:val="24"/>
                <w:szCs w:val="24"/>
                <w:shd w:val="clear" w:color="auto" w:fill="FFFFFF"/>
              </w:rPr>
              <w:t> -</w:t>
            </w:r>
          </w:p>
        </w:tc>
        <w:tc>
          <w:tcPr>
            <w:tcW w:w="1774" w:type="dxa"/>
          </w:tcPr>
          <w:p w:rsidR="00355D4E" w:rsidRPr="005D3391" w:rsidRDefault="00355D4E" w:rsidP="00DE7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D3391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>+</w:t>
            </w:r>
          </w:p>
        </w:tc>
      </w:tr>
      <w:tr w:rsidR="00355D4E" w:rsidRPr="005D3391" w:rsidTr="00CD6C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 w:val="restart"/>
          </w:tcPr>
          <w:p w:rsidR="00355D4E" w:rsidRPr="005D3391" w:rsidRDefault="00355D4E" w:rsidP="00253B9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D3391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>hsa-miR-34a</w:t>
            </w:r>
          </w:p>
        </w:tc>
        <w:tc>
          <w:tcPr>
            <w:tcW w:w="1763" w:type="dxa"/>
            <w:vMerge w:val="restart"/>
          </w:tcPr>
          <w:p w:rsidR="00355D4E" w:rsidRPr="005D3391" w:rsidRDefault="008B7B16" w:rsidP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D3391">
              <w:rPr>
                <w:rFonts w:asciiTheme="majorBidi" w:eastAsia="Times New Roman" w:hAnsiTheme="majorBidi" w:cstheme="majorBidi"/>
                <w:sz w:val="24"/>
                <w:szCs w:val="24"/>
              </w:rPr>
              <w:t>PFKFB4, ASCL2, TACC3, GRAMD1A</w:t>
            </w:r>
          </w:p>
        </w:tc>
        <w:tc>
          <w:tcPr>
            <w:tcW w:w="6792" w:type="dxa"/>
          </w:tcPr>
          <w:p w:rsidR="00355D4E" w:rsidRPr="005D3391" w:rsidRDefault="00355D4E" w:rsidP="004069A9">
            <w:pPr>
              <w:numPr>
                <w:ilvl w:val="0"/>
                <w:numId w:val="10"/>
              </w:numPr>
              <w:shd w:val="clear" w:color="auto" w:fill="FFFFFF"/>
              <w:spacing w:before="100" w:beforeAutospacing="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212121"/>
                <w:sz w:val="24"/>
                <w:szCs w:val="24"/>
              </w:rPr>
            </w:pPr>
            <w:r w:rsidRPr="005D3391">
              <w:rPr>
                <w:rFonts w:asciiTheme="majorBidi" w:hAnsiTheme="majorBidi" w:cstheme="majorBidi"/>
                <w:sz w:val="24"/>
                <w:szCs w:val="24"/>
                <w:bdr w:val="none" w:sz="0" w:space="0" w:color="auto" w:frame="1"/>
              </w:rPr>
              <w:t>MicroRNA-34 suppresses breast cancer invasion and metastasis by directly targeting Fra-1.</w:t>
            </w:r>
            <w:r w:rsidR="00AC32B8" w:rsidRPr="005D3391">
              <w:rPr>
                <w:rFonts w:asciiTheme="majorBidi" w:hAnsiTheme="majorBidi" w:cstheme="majorBidi"/>
                <w:sz w:val="24"/>
                <w:szCs w:val="24"/>
                <w:bdr w:val="none" w:sz="0" w:space="0" w:color="auto" w:frame="1"/>
              </w:rPr>
              <w:t xml:space="preserve"> (</w:t>
            </w:r>
            <w:r w:rsidR="00AC32B8" w:rsidRPr="005D3391">
              <w:rPr>
                <w:rFonts w:asciiTheme="majorBidi" w:eastAsia="Times New Roman" w:hAnsiTheme="majorBidi" w:cstheme="majorBidi"/>
                <w:color w:val="212121"/>
                <w:sz w:val="24"/>
                <w:szCs w:val="24"/>
              </w:rPr>
              <w:t>PMID: 23001043)</w:t>
            </w:r>
          </w:p>
        </w:tc>
        <w:tc>
          <w:tcPr>
            <w:tcW w:w="9476" w:type="dxa"/>
          </w:tcPr>
          <w:p w:rsidR="00355D4E" w:rsidRPr="005D3391" w:rsidRDefault="00355D4E" w:rsidP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D3391">
              <w:rPr>
                <w:rFonts w:asciiTheme="majorBidi" w:hAnsiTheme="majorBidi" w:cstheme="majorBidi"/>
                <w:color w:val="212121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774" w:type="dxa"/>
          </w:tcPr>
          <w:p w:rsidR="00355D4E" w:rsidRPr="005D3391" w:rsidRDefault="00355D4E" w:rsidP="00DE7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D3391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>+</w:t>
            </w:r>
          </w:p>
        </w:tc>
      </w:tr>
      <w:tr w:rsidR="00355D4E" w:rsidRPr="005D3391" w:rsidTr="00CD6C6E">
        <w:trPr>
          <w:trHeight w:val="10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</w:tcPr>
          <w:p w:rsidR="00355D4E" w:rsidRPr="005D3391" w:rsidRDefault="00355D4E" w:rsidP="00253B9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63" w:type="dxa"/>
            <w:vMerge/>
          </w:tcPr>
          <w:p w:rsidR="00355D4E" w:rsidRPr="005D3391" w:rsidRDefault="00355D4E" w:rsidP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6792" w:type="dxa"/>
          </w:tcPr>
          <w:p w:rsidR="00355D4E" w:rsidRPr="005D3391" w:rsidRDefault="00355D4E" w:rsidP="004069A9">
            <w:pPr>
              <w:numPr>
                <w:ilvl w:val="0"/>
                <w:numId w:val="11"/>
              </w:numPr>
              <w:shd w:val="clear" w:color="auto" w:fill="FFFFFF"/>
              <w:spacing w:before="100" w:beforeAutospacing="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212121"/>
                <w:sz w:val="24"/>
                <w:szCs w:val="24"/>
              </w:rPr>
            </w:pPr>
            <w:r w:rsidRPr="005D3391">
              <w:rPr>
                <w:rFonts w:asciiTheme="majorBidi" w:hAnsiTheme="majorBidi" w:cstheme="majorBidi"/>
                <w:sz w:val="24"/>
                <w:szCs w:val="24"/>
                <w:bdr w:val="none" w:sz="0" w:space="0" w:color="auto" w:frame="1"/>
              </w:rPr>
              <w:t>Targeted Expression of miR-34a Using the T-VISA System Suppresses Breast Cancer Cell Growth and Invasion.</w:t>
            </w:r>
            <w:r w:rsidR="00533CA9" w:rsidRPr="005D3391">
              <w:rPr>
                <w:rFonts w:asciiTheme="majorBidi" w:hAnsiTheme="majorBidi" w:cstheme="majorBidi"/>
                <w:sz w:val="24"/>
                <w:szCs w:val="24"/>
                <w:bdr w:val="none" w:sz="0" w:space="0" w:color="auto" w:frame="1"/>
              </w:rPr>
              <w:t xml:space="preserve"> (</w:t>
            </w:r>
            <w:r w:rsidR="00533CA9" w:rsidRPr="005D3391">
              <w:rPr>
                <w:rFonts w:asciiTheme="majorBidi" w:eastAsia="Times New Roman" w:hAnsiTheme="majorBidi" w:cstheme="majorBidi"/>
                <w:color w:val="212121"/>
                <w:sz w:val="24"/>
                <w:szCs w:val="24"/>
              </w:rPr>
              <w:t>PMID: 23032974)</w:t>
            </w:r>
          </w:p>
        </w:tc>
        <w:tc>
          <w:tcPr>
            <w:tcW w:w="9476" w:type="dxa"/>
          </w:tcPr>
          <w:p w:rsidR="00355D4E" w:rsidRPr="005D3391" w:rsidRDefault="00355D4E" w:rsidP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D3391">
              <w:rPr>
                <w:rFonts w:asciiTheme="majorBidi" w:hAnsiTheme="majorBidi" w:cstheme="majorBidi"/>
                <w:color w:val="212121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774" w:type="dxa"/>
          </w:tcPr>
          <w:p w:rsidR="00355D4E" w:rsidRPr="005D3391" w:rsidRDefault="00355D4E" w:rsidP="00DE7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D3391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>+</w:t>
            </w:r>
          </w:p>
        </w:tc>
      </w:tr>
      <w:tr w:rsidR="00355D4E" w:rsidRPr="005D3391" w:rsidTr="00CD6C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</w:tcPr>
          <w:p w:rsidR="00355D4E" w:rsidRPr="005D3391" w:rsidRDefault="00355D4E" w:rsidP="00253B9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63" w:type="dxa"/>
            <w:vMerge/>
          </w:tcPr>
          <w:p w:rsidR="00355D4E" w:rsidRPr="005D3391" w:rsidRDefault="00355D4E" w:rsidP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6792" w:type="dxa"/>
          </w:tcPr>
          <w:p w:rsidR="00355D4E" w:rsidRPr="005D3391" w:rsidRDefault="00355D4E" w:rsidP="004069A9">
            <w:pPr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212121"/>
                <w:sz w:val="24"/>
                <w:szCs w:val="24"/>
              </w:rPr>
            </w:pPr>
            <w:r w:rsidRPr="005D3391">
              <w:rPr>
                <w:rFonts w:asciiTheme="majorBidi" w:hAnsiTheme="majorBidi" w:cstheme="majorBidi"/>
                <w:sz w:val="24"/>
                <w:szCs w:val="24"/>
                <w:bdr w:val="none" w:sz="0" w:space="0" w:color="auto" w:frame="1"/>
              </w:rPr>
              <w:t>Tumor-suppressive microRNA-34a inhibits breast cancer cell migration and invasion via targeting oncogenic TPD52.</w:t>
            </w:r>
            <w:r w:rsidR="005078EF" w:rsidRPr="005D3391">
              <w:rPr>
                <w:rFonts w:asciiTheme="majorBidi" w:hAnsiTheme="majorBidi" w:cstheme="majorBidi"/>
                <w:sz w:val="24"/>
                <w:szCs w:val="24"/>
                <w:bdr w:val="none" w:sz="0" w:space="0" w:color="auto" w:frame="1"/>
              </w:rPr>
              <w:t xml:space="preserve"> (</w:t>
            </w:r>
            <w:r w:rsidR="005078EF" w:rsidRPr="005D3391">
              <w:rPr>
                <w:rFonts w:asciiTheme="majorBidi" w:eastAsia="Times New Roman" w:hAnsiTheme="majorBidi" w:cstheme="majorBidi"/>
                <w:color w:val="212121"/>
                <w:sz w:val="24"/>
                <w:szCs w:val="24"/>
              </w:rPr>
              <w:t>PMID: 26678891)</w:t>
            </w:r>
          </w:p>
        </w:tc>
        <w:tc>
          <w:tcPr>
            <w:tcW w:w="9476" w:type="dxa"/>
          </w:tcPr>
          <w:p w:rsidR="00355D4E" w:rsidRPr="005D3391" w:rsidRDefault="00355D4E" w:rsidP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D3391">
              <w:rPr>
                <w:rFonts w:asciiTheme="majorBidi" w:hAnsiTheme="majorBidi" w:cstheme="majorBidi"/>
                <w:color w:val="212121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774" w:type="dxa"/>
          </w:tcPr>
          <w:p w:rsidR="00355D4E" w:rsidRPr="005D3391" w:rsidRDefault="00355D4E" w:rsidP="00DE7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D3391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>+</w:t>
            </w:r>
          </w:p>
        </w:tc>
      </w:tr>
      <w:tr w:rsidR="00355D4E" w:rsidRPr="005D3391" w:rsidTr="00CD6C6E">
        <w:trPr>
          <w:trHeight w:val="1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</w:tcPr>
          <w:p w:rsidR="00355D4E" w:rsidRPr="005D3391" w:rsidRDefault="00355D4E" w:rsidP="00253B9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63" w:type="dxa"/>
            <w:vMerge/>
          </w:tcPr>
          <w:p w:rsidR="00355D4E" w:rsidRPr="005D3391" w:rsidRDefault="00355D4E" w:rsidP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6792" w:type="dxa"/>
          </w:tcPr>
          <w:p w:rsidR="00355D4E" w:rsidRPr="005D3391" w:rsidRDefault="00355D4E" w:rsidP="004069A9">
            <w:pPr>
              <w:numPr>
                <w:ilvl w:val="0"/>
                <w:numId w:val="13"/>
              </w:numPr>
              <w:shd w:val="clear" w:color="auto" w:fill="FFFFFF"/>
              <w:spacing w:before="100" w:beforeAutospacing="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212121"/>
                <w:sz w:val="24"/>
                <w:szCs w:val="24"/>
              </w:rPr>
            </w:pPr>
            <w:r w:rsidRPr="005D3391">
              <w:rPr>
                <w:rFonts w:asciiTheme="majorBidi" w:hAnsiTheme="majorBidi" w:cstheme="majorBidi"/>
                <w:sz w:val="24"/>
                <w:szCs w:val="24"/>
                <w:bdr w:val="none" w:sz="0" w:space="0" w:color="auto" w:frame="1"/>
              </w:rPr>
              <w:t>MiR-34a Inhibits Breast Cancer Proliferation and Progression by Targeting Wnt1 in Wnt/?-Catenin Signaling Pathway.</w:t>
            </w:r>
            <w:r w:rsidR="00F5405A" w:rsidRPr="005D3391">
              <w:rPr>
                <w:rFonts w:asciiTheme="majorBidi" w:hAnsiTheme="majorBidi" w:cstheme="majorBidi"/>
                <w:sz w:val="24"/>
                <w:szCs w:val="24"/>
                <w:bdr w:val="none" w:sz="0" w:space="0" w:color="auto" w:frame="1"/>
              </w:rPr>
              <w:t xml:space="preserve"> (</w:t>
            </w:r>
            <w:r w:rsidR="00F5405A" w:rsidRPr="005D3391">
              <w:rPr>
                <w:rFonts w:asciiTheme="majorBidi" w:eastAsia="Times New Roman" w:hAnsiTheme="majorBidi" w:cstheme="majorBidi"/>
                <w:color w:val="212121"/>
                <w:sz w:val="24"/>
                <w:szCs w:val="24"/>
              </w:rPr>
              <w:t>PMID: 27524218)</w:t>
            </w:r>
          </w:p>
        </w:tc>
        <w:tc>
          <w:tcPr>
            <w:tcW w:w="9476" w:type="dxa"/>
          </w:tcPr>
          <w:p w:rsidR="00355D4E" w:rsidRPr="005D3391" w:rsidRDefault="00355D4E" w:rsidP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D3391">
              <w:rPr>
                <w:rFonts w:asciiTheme="majorBidi" w:hAnsiTheme="majorBidi" w:cstheme="majorBidi"/>
                <w:color w:val="212121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774" w:type="dxa"/>
          </w:tcPr>
          <w:p w:rsidR="00355D4E" w:rsidRPr="005D3391" w:rsidRDefault="00355D4E" w:rsidP="00DE7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D3391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>+</w:t>
            </w:r>
          </w:p>
        </w:tc>
      </w:tr>
      <w:tr w:rsidR="00355D4E" w:rsidRPr="005D3391" w:rsidTr="00CD6C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</w:tcPr>
          <w:p w:rsidR="00355D4E" w:rsidRPr="005D3391" w:rsidRDefault="00355D4E" w:rsidP="00253B9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63" w:type="dxa"/>
            <w:vMerge/>
          </w:tcPr>
          <w:p w:rsidR="00355D4E" w:rsidRPr="005D3391" w:rsidRDefault="00355D4E" w:rsidP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6792" w:type="dxa"/>
          </w:tcPr>
          <w:p w:rsidR="00355D4E" w:rsidRPr="005D3391" w:rsidRDefault="00355D4E" w:rsidP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D3391">
              <w:rPr>
                <w:rFonts w:asciiTheme="majorBidi" w:hAnsiTheme="majorBidi" w:cstheme="majorBidi"/>
                <w:sz w:val="24"/>
                <w:szCs w:val="24"/>
                <w:bdr w:val="none" w:sz="0" w:space="0" w:color="auto" w:frame="1"/>
              </w:rPr>
              <w:t>miR-34a expression in human breast cancer is associated with drug resistance.</w:t>
            </w:r>
            <w:r w:rsidR="00F5405A" w:rsidRPr="005D3391">
              <w:rPr>
                <w:rFonts w:asciiTheme="majorBidi" w:hAnsiTheme="majorBidi" w:cstheme="majorBidi"/>
                <w:sz w:val="24"/>
                <w:szCs w:val="24"/>
                <w:bdr w:val="none" w:sz="0" w:space="0" w:color="auto" w:frame="1"/>
              </w:rPr>
              <w:t xml:space="preserve"> (</w:t>
            </w:r>
            <w:r w:rsidR="00F5405A" w:rsidRPr="005D3391">
              <w:rPr>
                <w:rFonts w:asciiTheme="majorBidi" w:hAnsiTheme="majorBidi" w:cstheme="majorBidi"/>
                <w:color w:val="1B1B1B"/>
                <w:sz w:val="24"/>
                <w:szCs w:val="24"/>
                <w:shd w:val="clear" w:color="auto" w:fill="FFFFFF"/>
              </w:rPr>
              <w:t> PMID: </w:t>
            </w:r>
            <w:r w:rsidR="00F5405A" w:rsidRPr="005D3391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t>29290947</w:t>
            </w:r>
            <w:r w:rsidR="00F5405A" w:rsidRPr="005D3391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9476" w:type="dxa"/>
          </w:tcPr>
          <w:p w:rsidR="00355D4E" w:rsidRPr="005D3391" w:rsidRDefault="00355D4E" w:rsidP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D3391">
              <w:rPr>
                <w:rFonts w:asciiTheme="majorBidi" w:hAnsiTheme="majorBidi" w:cstheme="majorBidi"/>
                <w:color w:val="212121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774" w:type="dxa"/>
          </w:tcPr>
          <w:p w:rsidR="00355D4E" w:rsidRPr="005D3391" w:rsidRDefault="00355D4E" w:rsidP="00DE7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D3391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>+</w:t>
            </w:r>
          </w:p>
        </w:tc>
      </w:tr>
      <w:tr w:rsidR="00355D4E" w:rsidRPr="005D3391" w:rsidTr="00CD6C6E">
        <w:trPr>
          <w:trHeight w:val="9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</w:tcPr>
          <w:p w:rsidR="00355D4E" w:rsidRPr="005D3391" w:rsidRDefault="00355D4E" w:rsidP="00253B9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63" w:type="dxa"/>
            <w:vMerge/>
          </w:tcPr>
          <w:p w:rsidR="00355D4E" w:rsidRPr="005D3391" w:rsidRDefault="00355D4E" w:rsidP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6792" w:type="dxa"/>
          </w:tcPr>
          <w:p w:rsidR="00355D4E" w:rsidRPr="005D3391" w:rsidRDefault="00355D4E" w:rsidP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D3391">
              <w:rPr>
                <w:rFonts w:asciiTheme="majorBidi" w:hAnsiTheme="majorBidi" w:cstheme="majorBidi"/>
                <w:sz w:val="24"/>
                <w:szCs w:val="24"/>
                <w:bdr w:val="none" w:sz="0" w:space="0" w:color="auto" w:frame="1"/>
              </w:rPr>
              <w:t>MicroRNA-34a suppresses breast cancer cell proliferation and invasion by targeting Notch1.</w:t>
            </w:r>
            <w:r w:rsidR="005D3391" w:rsidRPr="005D3391">
              <w:rPr>
                <w:rFonts w:asciiTheme="majorBidi" w:hAnsiTheme="majorBidi" w:cstheme="majorBidi"/>
                <w:sz w:val="24"/>
                <w:szCs w:val="24"/>
                <w:bdr w:val="none" w:sz="0" w:space="0" w:color="auto" w:frame="1"/>
              </w:rPr>
              <w:t xml:space="preserve"> (</w:t>
            </w:r>
            <w:r w:rsidR="005D3391" w:rsidRPr="005D3391">
              <w:rPr>
                <w:rFonts w:asciiTheme="majorBidi" w:hAnsiTheme="majorBidi" w:cstheme="majorBidi"/>
                <w:color w:val="1B1B1B"/>
                <w:sz w:val="24"/>
                <w:szCs w:val="24"/>
                <w:shd w:val="clear" w:color="auto" w:fill="FFFFFF"/>
              </w:rPr>
              <w:t>PMID: </w:t>
            </w:r>
            <w:r w:rsidR="005D3391" w:rsidRPr="005D3391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t>30542388</w:t>
            </w:r>
            <w:r w:rsidR="005D3391" w:rsidRPr="005D3391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9476" w:type="dxa"/>
          </w:tcPr>
          <w:p w:rsidR="00355D4E" w:rsidRPr="005D3391" w:rsidRDefault="00355D4E" w:rsidP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D3391">
              <w:rPr>
                <w:rFonts w:asciiTheme="majorBidi" w:hAnsiTheme="majorBidi" w:cstheme="majorBidi"/>
                <w:color w:val="212121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774" w:type="dxa"/>
          </w:tcPr>
          <w:p w:rsidR="00355D4E" w:rsidRPr="005D3391" w:rsidRDefault="00355D4E" w:rsidP="00DE7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D3391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>+</w:t>
            </w:r>
          </w:p>
        </w:tc>
      </w:tr>
    </w:tbl>
    <w:p w:rsidR="00A759CC" w:rsidRDefault="00A759CC" w:rsidP="00742886">
      <w:pPr>
        <w:pStyle w:val="NormalWeb"/>
      </w:pPr>
    </w:p>
    <w:p w:rsidR="00A759CC" w:rsidRPr="00A759CC" w:rsidRDefault="00A759CC" w:rsidP="00A759CC"/>
    <w:p w:rsidR="00A759CC" w:rsidRPr="00A759CC" w:rsidRDefault="00A759CC" w:rsidP="00A759CC"/>
    <w:p w:rsidR="00A759CC" w:rsidRPr="00A759CC" w:rsidRDefault="00A759CC" w:rsidP="00A759CC"/>
    <w:p w:rsidR="00AA379F" w:rsidRDefault="00AA379F" w:rsidP="00A759CC">
      <w:pPr>
        <w:rPr>
          <w:sz w:val="28"/>
          <w:szCs w:val="28"/>
        </w:rPr>
        <w:sectPr w:rsidR="00AA379F" w:rsidSect="00EA3CEB">
          <w:pgSz w:w="23616" w:h="31104" w:code="12"/>
          <w:pgMar w:top="1440" w:right="1440" w:bottom="1440" w:left="1440" w:header="720" w:footer="720" w:gutter="0"/>
          <w:cols w:space="720"/>
          <w:docGrid w:linePitch="360"/>
        </w:sectPr>
      </w:pPr>
    </w:p>
    <w:p w:rsidR="00A759CC" w:rsidRPr="00A759CC" w:rsidRDefault="00A759CC" w:rsidP="00A759CC">
      <w:pPr>
        <w:rPr>
          <w:sz w:val="28"/>
          <w:szCs w:val="28"/>
        </w:rPr>
      </w:pPr>
    </w:p>
    <w:p w:rsidR="00A759CC" w:rsidRDefault="00A759CC" w:rsidP="00FE1DD0">
      <w:pPr>
        <w:ind w:firstLine="720"/>
        <w:rPr>
          <w:rFonts w:asciiTheme="majorBidi" w:eastAsia="Times New Roman" w:hAnsiTheme="majorBidi" w:cstheme="majorBidi"/>
          <w:sz w:val="32"/>
          <w:szCs w:val="32"/>
        </w:rPr>
      </w:pPr>
      <w:r w:rsidRPr="00FE1DD0">
        <w:rPr>
          <w:rStyle w:val="Strong"/>
          <w:rFonts w:asciiTheme="majorBidi" w:hAnsiTheme="majorBidi" w:cstheme="majorBidi"/>
          <w:sz w:val="32"/>
          <w:szCs w:val="32"/>
        </w:rPr>
        <w:t xml:space="preserve">Supplementary Table 2: </w:t>
      </w:r>
      <w:r w:rsidRPr="00FE1DD0">
        <w:rPr>
          <w:rFonts w:asciiTheme="majorBidi" w:eastAsia="Times New Roman" w:hAnsiTheme="majorBidi" w:cstheme="majorBidi"/>
          <w:sz w:val="32"/>
          <w:szCs w:val="32"/>
        </w:rPr>
        <w:t xml:space="preserve">Pathway mapping via </w:t>
      </w:r>
      <w:r w:rsidRPr="00FE1DD0">
        <w:rPr>
          <w:rFonts w:asciiTheme="majorBidi" w:eastAsia="Times New Roman" w:hAnsiTheme="majorBidi" w:cstheme="majorBidi"/>
          <w:b/>
          <w:bCs/>
          <w:sz w:val="32"/>
          <w:szCs w:val="32"/>
        </w:rPr>
        <w:t>miRPathDB</w:t>
      </w:r>
    </w:p>
    <w:p w:rsidR="0090488F" w:rsidRDefault="0090488F" w:rsidP="00247281">
      <w:pPr>
        <w:ind w:firstLine="720"/>
        <w:rPr>
          <w:rFonts w:asciiTheme="majorBidi" w:eastAsia="Times New Roman" w:hAnsiTheme="majorBidi" w:cstheme="majorBidi"/>
          <w:sz w:val="32"/>
          <w:szCs w:val="32"/>
        </w:rPr>
      </w:pPr>
    </w:p>
    <w:p w:rsidR="0090488F" w:rsidRPr="0090488F" w:rsidRDefault="0090488F" w:rsidP="0090488F">
      <w:p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04040"/>
          <w:sz w:val="24"/>
          <w:szCs w:val="24"/>
        </w:rPr>
      </w:pPr>
    </w:p>
    <w:p w:rsidR="00253B97" w:rsidRDefault="00253B97" w:rsidP="00253B97"/>
    <w:tbl>
      <w:tblPr>
        <w:tblStyle w:val="PlainTable3"/>
        <w:tblW w:w="0" w:type="auto"/>
        <w:tblLook w:val="04A0" w:firstRow="1" w:lastRow="0" w:firstColumn="1" w:lastColumn="0" w:noHBand="0" w:noVBand="1"/>
      </w:tblPr>
      <w:tblGrid>
        <w:gridCol w:w="1081"/>
        <w:gridCol w:w="3065"/>
        <w:gridCol w:w="5272"/>
        <w:gridCol w:w="2019"/>
        <w:gridCol w:w="1056"/>
        <w:gridCol w:w="8243"/>
      </w:tblGrid>
      <w:tr w:rsidR="00253B97" w:rsidTr="000910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b w:val="0"/>
                <w:bCs w:val="0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miRNA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bCs w:val="0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Database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bCs w:val="0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Pathway/Process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bCs w:val="0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Evidence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bCs w:val="0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P-value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bCs w:val="0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Rationale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miR-34a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KEGG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Colorectal cancer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1.96E-06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Direct links to miR-34a’s role in tumor suppression via p53 activation, Wnt inhibition, and oncogene silencing.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miR-34a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KEGG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MicroRNAs in cancer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1.32E-05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Direct links to miR-34a’s role in tumor suppression via p53 activation, Wnt inhibition, and oncogene silencing.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miR-34a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KEGG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p53 signaling pathway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0.017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Direct links to miR-34a’s role in tumor suppression via p53 activation, Wnt inhibition, and oncogene silencing.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miR-34a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KEGG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Wnt signaling pathway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0.019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Direct links to miR-34a’s role in tumor suppression via p53 activation, Wnt inhibition, and oncogene silencing.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miR-34a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WikiPathways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Breast cancer pathway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2.16E-06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EMT inhibition (via SNAIL repression), TGF-β signaling, and hypoxia adaptation block metastasis.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miR-34a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WikiPathways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Epithelial to mesenchymal transition in colorectal cancer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0.007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EMT inhibition (via SNAIL repression), TGF-β signaling, and hypoxia adaptation block metastasis.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miR-34a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WikiPathways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TGF-beta Signaling Pathway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0.033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EMT inhibition (via SNAIL repression), TGF-β signaling, and hypoxia adaptation block metastasis.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miR-34a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WikiPathways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HIF-1 signaling pathway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0.047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EMT inhibition (via SNAIL repression), TGF-β signaling, and hypoxia adaptation block metastasis.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miR-34a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Reactome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Signaling by NOTCH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0.002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NOTCH and PI3K-AKT are pro-metastatic pathways targeted by miR-34a. Autophagy supports survival under stress.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miR-34a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Reactome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PI3K/AKT signaling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0.035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NOTCH and PI3K-AKT are pro-metastatic pathways targeted by miR-34a. Autophagy supports survival under stress.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miR-34a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Reactome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Autophagy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0.005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NOTCH and PI3K-AKT are pro-metastatic pathways targeted by miR-34a. Autophagy supports survival under stress.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miR-34a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Reactome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PIP3 activates AKT signaling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0.035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NOTCH and PI3K-AKT are pro-metastatic pathways targeted by miR-34a. Autophagy supports survival under stress.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miR-34a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Biological 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apoptotic 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0.006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miR-34a induces apoptosis, inhibits proliferation, and suppresses Wnt/β-catenin signaling to block metastasis.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miR-34a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Biological 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negative regulation of cell death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0.003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miR-34a induces apoptosis, inhibits proliferation, and suppresses Wnt/β-catenin signaling to block metastasis.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miR-34a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Biological 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regulation of cell population proliferation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0.002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miR-34a induces apoptosis, inhibits proliferation, and suppresses Wnt/β-catenin signaling to block metastasis.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miR-34a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Biological 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Wnt signaling pathway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0.019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miR-34a induces apoptosis, inhibits proliferation, and suppresses Wnt/β-catenin signaling to block metastasis.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miR-34a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Biological 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response to hypoxia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0.014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Hypoxia and oxidative stress resistance are hallmarks of metastatic cells; miR-34a modulates these pathways.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miR-34a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Biological 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cellular response to oxidative stress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0.004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Hypoxia and oxidative stress resistance are hallmarks of metastatic cells; miR-34a modulates these pathways.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miR-34a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Biological 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regulation of autophagy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0.003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Hypoxia and oxidative stress resistance are hallmarks of metastatic cells; miR-34a modulates these pathways.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miR-335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Cellular Component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extracellular matrix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(any)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3.01E-06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miR-335 targets ECM components (e.g., collagen), disrupting matrix integrity and hindering tumor invasion.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miR-335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Cellular Component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collagen-containing extracellular matrix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(any)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1.89E-05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miR-335 targets ECM components (e.g., collagen), disrupting matrix integrity and hindering tumor invasion.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miR-335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Molecular Function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extracellular matrix structural constituent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(any)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8.71E-04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Binds ECM structural proteins to limit matrix stiffness and blocks receptor signaling critical for migration.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miR-335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Molecular Function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signaling receptor activity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(any)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4.65E-12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Binds ECM structural proteins to limit matrix stiffness and blocks receptor signaling critical for migration.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miR-335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Reactome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Extracellular matrix organization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(any)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0.008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Suppresses ECM remodeling (e.g., collagen degradation) and inhibits GPCR/chemokine-driven migration.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miR-335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Reactome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Signaling by GPCR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(any)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9.64E-05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Suppresses ECM remodeling (e.g., collagen degradation) and inhibits GPCR/chemokine-driven migration.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miR-335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Reactome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Chemokine receptors bind chemokines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(any)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0.006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Suppresses ECM remodeling (e.g., collagen degradation) and inhibits GPCR/chemokine-driven migration.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miR-335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KEGG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Cytokine-cytokine receptor interaction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(any)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0.003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Modulates cytokine signaling (e.g., IL-6/STAT3) to reduce pro-metastatic inflammation.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miR-335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KEGG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Complement and coagulation cascades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(any)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0.012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Modulates cytokine signaling (e.g., IL-6/STAT3) to reduce pro-metastatic inflammation.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miR-335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KEGG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MicroRNAs in cancer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0.003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Modulates cytokine signaling (e.g., IL-6/STAT3) to reduce pro-metastatic inflammation.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miR-335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WikiPathways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TGF-beta Signaling Pathway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0.01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Inhibits TGF-β-induced EMT and metastasis in breast cancer by targeting SMAD2/3 or other effectors.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miR-335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WikiPathways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Breast cancer pathway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0.017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Inhibits TGF-β-induced EMT and metastasis in breast cancer by targeting SMAD2/3 or other effectors.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miR-335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Biological 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cell migration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(any)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0.012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Directly suppresses migration (via RHOA/ROCK inhibition) and angiogenesis.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miR-335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Biological 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angiogenesis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(any)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0.01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Directly suppresses migration (via RHOA/ROCK inhibition) and angiogenesis.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miR-335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Biological 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regulation of cell motility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(any)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0.039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Directly suppresses migration (via RHOA/ROCK inhibition) and angiogenesis.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miR-210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Biological 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cellular response to hypoxia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(any)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0.01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Hypoxia drives metastasis by promoting angiogenesis, invasion, and EMT.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miR-210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Biological 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cellular response to oxygen levels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(any)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0.007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Hypoxia drives metastasis by promoting angiogenesis, invasion, and EMT.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miR-210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Biological 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response to oxidative stress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(any)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0.025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Hypoxia drives metastasis by promoting angiogenesis, invasion, and EMT.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miR-210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Biological 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regulation of cell differentiation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(any)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0.007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EMT and dedifferentiation are critical for metastatic spread.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miR-210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Biological 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negative regulation of gene expression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(any)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0.008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EMT and dedifferentiation are critical for metastatic spread.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miR-210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Biological 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cell migration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(any)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0.012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EMT and dedifferentiation are critical for metastatic spread.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miR-210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KEGG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Transcriptional misregulation in cancer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(any)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0.015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Direct link to oncogenic transcriptional dysregulation, including miRNA roles in metastasis.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miR-210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WikiPathways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Cell migration and invasion through p75NTR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(any)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0.031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p75NTR promotes invasion; HIF-1α stabilizes under hypoxia to drive glycolysis and metastasis.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lastRenderedPageBreak/>
              <w:t>miR-210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WikiPathways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HIF1A and PPARG regulation of glycolysis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(any)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0.031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p75NTR promotes invasion; HIF-1α stabilizes under hypoxia to drive glycolysis and metastasis.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miR-210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Biological 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apoptotic 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(any)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0.016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Evasion of apoptosis is a hallmark of metastatic cells surviving oxidative stress.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miR-210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Biological 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intrinsic apoptotic signaling pathway in response to oxidative stress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(any)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0.044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Evasion of apoptosis is a hallmark of metastatic cells surviving oxidative stress.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miR-210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Biological 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oxidation-reduction 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0.043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Metabolic reprogramming (Warburg effect) fuels metastasis. Strong experimental evidence.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miR-210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Biological 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aerobic respiration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0.043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Metabolic reprogramming (Warburg effect) fuels metastasis. Strong experimental evidence.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miR-210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Reactome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Pyruvate metabolism and Citric Acid (TCA) cycle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0.048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Mitochondrial metabolism supports metastatic cell survival.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miR-210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Reactome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Respiratory electron transport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0.048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Mitochondrial metabolism supports metastatic cell survival.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miR-210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Molecular Function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oxidoreductase activity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0.031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Lactate production (via LDH) acidifies microenvironment, promoting invasion.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miR-210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Molecular Function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L-lactate dehydrogenase activity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0.031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Lactate production (via LDH) acidifies microenvironment, promoting invasion.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miR-210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Biological 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regulation of angiogenesis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(any)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0.034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Angiogenesis is essential for nutrient supply to metastatic tumors.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miR-210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Biological 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vasculature development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(any)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0.043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Angiogenesis is essential for nutrient supply to metastatic tumors.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miR-210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Biological 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negative regulation of microtubule depolymerization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(any)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0.008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Microtubule dynamics regulate cell motility and invasion.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miR-27a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KEGG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MicroRNAs in cancer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0.041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Direct links to miRNA-driven oncogenesis. PI3K-AKT promotes survival/metastasis.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miR-27a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KEGG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PI3K-Akt signaling pathway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0.002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Direct links to miRNA-driven oncogenesis. PI3K-AKT promotes survival/metastasis.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miR-27a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KEGG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Transcriptional misregulation in cancer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0.006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Direct links to miRNA-driven oncogenesis. PI3K-AKT promotes survival/metastasis.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miR-27a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WikiPathways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Integrated Breast Cancer Pathway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8.76E-06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EMT is critical for invasion. TGF-β drives stromal interactions and metastasis.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miR-27a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WikiPathways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Epithelial to mesenchymal transition in colorectal cancer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0.007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EMT is critical for invasion. TGF-β drives stromal interactions and metastasis.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miR-27a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WikiPathways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TGF-beta Signaling Pathway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0.002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EMT is critical for invasion. TGF-β drives stromal interactions and metastasis.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miR-27a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Reactome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Signaling by EGFR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0.047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EGFR/PI3K-AKT are central to migration and survival. SUMOylation modifies HIF-1α for hypoxic adaptation.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miR-27a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Reactome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PI3K-AKT signaling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0.047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EGFR/PI3K-AKT are central to migration and survival. SUMOylation modifies HIF-1α for hypoxic adaptation.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miR-27a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Reactome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SUMOylation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0.029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EGFR/PI3K-AKT are central to migration and survival. SUMOylation modifies HIF-1α for hypoxic adaptation.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miR-27a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Biological 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cell migration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0.012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Direct roles in metastasis: proliferation sustains tumor growth; angiogenesis fuels nutrient supply.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miR-27a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Biological 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positive regulation of cell population proliferation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0.046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Direct roles in metastasis: proliferation sustains tumor growth; angiogenesis fuels nutrient supply.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miR-27a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Biological 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regulation of angiogenesis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0.023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Direct roles in metastasis: proliferation sustains tumor growth; angiogenesis fuels nutrient supply.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miR-27a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Biological 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apoptotic 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0.006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Evasion of apoptosis and hypoxia adaptation are hallmarks of metastatic cells.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miR-27a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Biological 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negative regulation of cell death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7.83E-04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Evasion of apoptosis and hypoxia adaptation are hallmarks of metastatic cells.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miR-27a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Biological 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response to hypoxia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0.021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Evasion of apoptosis and hypoxia adaptation are hallmarks of metastatic cells.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miR-27a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Molecular Function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phosphatase binding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2.01E-04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miR-27a may target phosphatases (e.g., PTEN) to activate PI3K-AKT.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miR-27a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Molecular Function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DNA-binding transcription factor activity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0.005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miR-27a may target phosphatases (e.g., PTEN) to activate PI3K-AKT.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miR-27a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Molecular Function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protein kinase activity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0.015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miR-27a may target phosphatases (e.g., PTEN) to activate PI3K-AKT.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miR-27a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WikiPathways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Cell migration and invasion through p75NTR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0.031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p75NTR promotes invasion; HIF-1α drives glycolysis under hypoxia.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miR-27a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WikiPathways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HIF1A and PPARG regulation of glycolysis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0.031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p75NTR promotes invasion; HIF-1α drives glycolysis under hypoxia.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miR-27a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KEGG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Prostate cancer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6.58E-04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Tissue-specific pathways where miR-27a is implicated in metastasis.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miR-27a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KEGG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Colorectal cancer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5.27E-04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Tissue-specific pathways where miR-27a is implicated in metastasis.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miR-27a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KEGG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Thyroid cancer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0.001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Tissue-specific pathways where miR-27a is implicated in metastasis.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miR-27a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Biological 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Wnt signaling pathway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0.019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Wnt signaling drives EMT and stemness. Differentiation regulation impacts metastatic plasticity.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miR-27a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Gene Ontology - Biological Process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regulation of cell differentiation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0.019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Wnt signaling drives EMT and stemness. Differentiation regulation impacts metastatic plasticity.</w:t>
            </w:r>
          </w:p>
        </w:tc>
      </w:tr>
      <w:tr w:rsidR="00253B97" w:rsidTr="000910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miR-27a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Reactome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Hemostasis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0.011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Platelets shield circulating tumor cells, aiding immune evasion and extravasation.</w:t>
            </w:r>
          </w:p>
        </w:tc>
      </w:tr>
      <w:tr w:rsidR="00253B97" w:rsidTr="00091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53B97" w:rsidRDefault="00253B97">
            <w:pPr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miR-27a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Reactome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Platelet activation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experimental (strong)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0.047</w:t>
            </w:r>
          </w:p>
        </w:tc>
        <w:tc>
          <w:tcPr>
            <w:tcW w:w="0" w:type="auto"/>
            <w:hideMark/>
          </w:tcPr>
          <w:p w:rsidR="00253B97" w:rsidRDefault="00253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/>
              </w:rPr>
            </w:pPr>
            <w:r>
              <w:rPr>
                <w:rFonts w:ascii="Segoe UI" w:hAnsi="Segoe UI" w:cs="Segoe UI"/>
                <w:color w:val="404040"/>
              </w:rPr>
              <w:t>Platelets shield circulating tumor cells, aiding immune evasion and extravasation.</w:t>
            </w:r>
          </w:p>
        </w:tc>
      </w:tr>
    </w:tbl>
    <w:p w:rsidR="00253B97" w:rsidRDefault="00FD66F4" w:rsidP="00253B97">
      <w:pPr>
        <w:rPr>
          <w:rFonts w:ascii="Times New Roman" w:hAnsi="Times New Roman" w:cs="Times New Roman"/>
        </w:rPr>
      </w:pPr>
      <w:r>
        <w:pict>
          <v:rect id="_x0000_i1025" style="width:0;height:.75pt" o:hralign="center" o:hrstd="t" o:hrnoshade="t" o:hr="t" fillcolor="#404040" stroked="f"/>
        </w:pict>
      </w:r>
    </w:p>
    <w:p w:rsidR="00A759CC" w:rsidRPr="00A759CC" w:rsidRDefault="00A759CC" w:rsidP="00A759CC"/>
    <w:p w:rsidR="00A759CC" w:rsidRPr="00A759CC" w:rsidRDefault="00A759CC" w:rsidP="00A759CC"/>
    <w:p w:rsidR="00A759CC" w:rsidRPr="00A759CC" w:rsidRDefault="00A759CC" w:rsidP="00A759CC"/>
    <w:p w:rsidR="00A759CC" w:rsidRPr="00A759CC" w:rsidRDefault="00A759CC" w:rsidP="00A759CC"/>
    <w:p w:rsidR="003F06D5" w:rsidRPr="00D237A7" w:rsidRDefault="003F06D5" w:rsidP="003F06D5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Supplementary </w:t>
      </w:r>
      <w:r w:rsidRPr="00D237A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Table </w:t>
      </w:r>
      <w:r>
        <w:rPr>
          <w:rFonts w:asciiTheme="majorBidi" w:eastAsia="Times New Roman" w:hAnsiTheme="majorBidi" w:cstheme="majorBidi"/>
          <w:b/>
          <w:bCs/>
          <w:sz w:val="24"/>
          <w:szCs w:val="24"/>
        </w:rPr>
        <w:t>3</w:t>
      </w:r>
      <w:r w:rsidRPr="00D237A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: </w:t>
      </w:r>
      <w:r w:rsidRPr="00D237A7">
        <w:rPr>
          <w:rFonts w:asciiTheme="majorBidi" w:eastAsia="Times New Roman" w:hAnsiTheme="majorBidi" w:cstheme="majorBidi"/>
          <w:sz w:val="24"/>
          <w:szCs w:val="24"/>
        </w:rPr>
        <w:t>Candidate Drugs Targeting DEGs</w:t>
      </w:r>
    </w:p>
    <w:tbl>
      <w:tblPr>
        <w:tblStyle w:val="PlainTable3"/>
        <w:tblW w:w="0" w:type="auto"/>
        <w:tblLook w:val="04A0" w:firstRow="1" w:lastRow="0" w:firstColumn="1" w:lastColumn="0" w:noHBand="0" w:noVBand="1"/>
      </w:tblPr>
      <w:tblGrid>
        <w:gridCol w:w="919"/>
        <w:gridCol w:w="1310"/>
        <w:gridCol w:w="2025"/>
        <w:gridCol w:w="3007"/>
        <w:gridCol w:w="2332"/>
      </w:tblGrid>
      <w:tr w:rsidR="003F06D5" w:rsidRPr="00D237A7" w:rsidTr="00AB27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:rsidR="003F06D5" w:rsidRPr="00D237A7" w:rsidRDefault="003F06D5" w:rsidP="00AB277B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D237A7">
              <w:rPr>
                <w:rFonts w:asciiTheme="majorBidi" w:eastAsia="Times New Roman" w:hAnsiTheme="majorBidi" w:cstheme="majorBidi"/>
                <w:sz w:val="16"/>
                <w:szCs w:val="16"/>
              </w:rPr>
              <w:t>GENE</w:t>
            </w:r>
          </w:p>
        </w:tc>
        <w:tc>
          <w:tcPr>
            <w:tcW w:w="0" w:type="auto"/>
            <w:hideMark/>
          </w:tcPr>
          <w:p w:rsidR="003F06D5" w:rsidRPr="00D237A7" w:rsidRDefault="003F06D5" w:rsidP="00AB27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D237A7">
              <w:rPr>
                <w:rFonts w:asciiTheme="majorBidi" w:eastAsia="Times New Roman" w:hAnsiTheme="majorBidi" w:cstheme="majorBidi"/>
                <w:sz w:val="16"/>
                <w:szCs w:val="16"/>
              </w:rPr>
              <w:t>REGULATION</w:t>
            </w:r>
          </w:p>
        </w:tc>
        <w:tc>
          <w:tcPr>
            <w:tcW w:w="0" w:type="auto"/>
            <w:hideMark/>
          </w:tcPr>
          <w:p w:rsidR="003F06D5" w:rsidRPr="00D237A7" w:rsidRDefault="003F06D5" w:rsidP="00AB27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D237A7">
              <w:rPr>
                <w:rFonts w:asciiTheme="majorBidi" w:eastAsia="Times New Roman" w:hAnsiTheme="majorBidi" w:cstheme="majorBidi"/>
                <w:sz w:val="16"/>
                <w:szCs w:val="16"/>
              </w:rPr>
              <w:t>CANDIDATE DRUGS</w:t>
            </w:r>
          </w:p>
        </w:tc>
        <w:tc>
          <w:tcPr>
            <w:tcW w:w="0" w:type="auto"/>
            <w:hideMark/>
          </w:tcPr>
          <w:p w:rsidR="003F06D5" w:rsidRPr="00D237A7" w:rsidRDefault="003F06D5" w:rsidP="00AB27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D237A7">
              <w:rPr>
                <w:rFonts w:asciiTheme="majorBidi" w:eastAsia="Times New Roman" w:hAnsiTheme="majorBidi" w:cstheme="majorBidi"/>
                <w:sz w:val="16"/>
                <w:szCs w:val="16"/>
              </w:rPr>
              <w:t>MECHANISM</w:t>
            </w:r>
          </w:p>
        </w:tc>
        <w:tc>
          <w:tcPr>
            <w:tcW w:w="0" w:type="auto"/>
            <w:hideMark/>
          </w:tcPr>
          <w:p w:rsidR="003F06D5" w:rsidRPr="00D237A7" w:rsidRDefault="003F06D5" w:rsidP="00AB27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D237A7">
              <w:rPr>
                <w:rFonts w:asciiTheme="majorBidi" w:eastAsia="Times New Roman" w:hAnsiTheme="majorBidi" w:cstheme="majorBidi"/>
                <w:sz w:val="16"/>
                <w:szCs w:val="16"/>
              </w:rPr>
              <w:t>CLINICAL RELEVANCE</w:t>
            </w:r>
          </w:p>
        </w:tc>
      </w:tr>
      <w:tr w:rsidR="003F06D5" w:rsidRPr="00D237A7" w:rsidTr="00AB2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3F06D5" w:rsidRPr="00D237A7" w:rsidRDefault="003F06D5" w:rsidP="00AB277B">
            <w:pPr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D237A7">
              <w:rPr>
                <w:rFonts w:asciiTheme="majorBidi" w:eastAsia="Times New Roman" w:hAnsiTheme="majorBidi" w:cstheme="majorBidi"/>
                <w:sz w:val="16"/>
                <w:szCs w:val="16"/>
              </w:rPr>
              <w:t>TACC3</w:t>
            </w:r>
          </w:p>
        </w:tc>
        <w:tc>
          <w:tcPr>
            <w:tcW w:w="0" w:type="auto"/>
            <w:hideMark/>
          </w:tcPr>
          <w:p w:rsidR="003F06D5" w:rsidRPr="00D237A7" w:rsidRDefault="003F06D5" w:rsidP="00AB27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D237A7">
              <w:rPr>
                <w:rFonts w:asciiTheme="majorBidi" w:eastAsia="Times New Roman" w:hAnsiTheme="majorBidi" w:cstheme="majorBidi"/>
                <w:sz w:val="16"/>
                <w:szCs w:val="16"/>
              </w:rPr>
              <w:t>Upregulated</w:t>
            </w:r>
          </w:p>
        </w:tc>
        <w:tc>
          <w:tcPr>
            <w:tcW w:w="0" w:type="auto"/>
            <w:hideMark/>
          </w:tcPr>
          <w:p w:rsidR="003F06D5" w:rsidRPr="00D237A7" w:rsidRDefault="003F06D5" w:rsidP="00AB27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D237A7">
              <w:rPr>
                <w:rFonts w:asciiTheme="majorBidi" w:eastAsia="Times New Roman" w:hAnsiTheme="majorBidi" w:cstheme="majorBidi"/>
                <w:sz w:val="16"/>
                <w:szCs w:val="16"/>
              </w:rPr>
              <w:t>Valproic Acid, Abemaciclib</w:t>
            </w:r>
          </w:p>
        </w:tc>
        <w:tc>
          <w:tcPr>
            <w:tcW w:w="0" w:type="auto"/>
            <w:hideMark/>
          </w:tcPr>
          <w:p w:rsidR="003F06D5" w:rsidRPr="00D237A7" w:rsidRDefault="003F06D5" w:rsidP="00AB27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D237A7">
              <w:rPr>
                <w:rFonts w:asciiTheme="majorBidi" w:eastAsia="Times New Roman" w:hAnsiTheme="majorBidi" w:cstheme="majorBidi"/>
                <w:sz w:val="16"/>
                <w:szCs w:val="16"/>
              </w:rPr>
              <w:t>Epigenetic silencing; CDK4/6 inhibition</w:t>
            </w:r>
          </w:p>
        </w:tc>
        <w:tc>
          <w:tcPr>
            <w:tcW w:w="0" w:type="auto"/>
            <w:hideMark/>
          </w:tcPr>
          <w:p w:rsidR="003F06D5" w:rsidRPr="00D237A7" w:rsidRDefault="003F06D5" w:rsidP="00AB27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D237A7">
              <w:rPr>
                <w:rFonts w:asciiTheme="majorBidi" w:eastAsia="Times New Roman" w:hAnsiTheme="majorBidi" w:cstheme="majorBidi"/>
                <w:sz w:val="16"/>
                <w:szCs w:val="16"/>
              </w:rPr>
              <w:t>FDA-approved for breast cancer</w:t>
            </w:r>
          </w:p>
        </w:tc>
      </w:tr>
      <w:tr w:rsidR="003F06D5" w:rsidRPr="00D237A7" w:rsidTr="00AB27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3F06D5" w:rsidRPr="00D237A7" w:rsidRDefault="003F06D5" w:rsidP="00AB277B">
            <w:pPr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D237A7">
              <w:rPr>
                <w:rFonts w:asciiTheme="majorBidi" w:eastAsia="Times New Roman" w:hAnsiTheme="majorBidi" w:cstheme="majorBidi"/>
                <w:sz w:val="16"/>
                <w:szCs w:val="16"/>
              </w:rPr>
              <w:t>ASCL2</w:t>
            </w:r>
          </w:p>
        </w:tc>
        <w:tc>
          <w:tcPr>
            <w:tcW w:w="0" w:type="auto"/>
            <w:hideMark/>
          </w:tcPr>
          <w:p w:rsidR="003F06D5" w:rsidRPr="00D237A7" w:rsidRDefault="003F06D5" w:rsidP="00AB27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D237A7">
              <w:rPr>
                <w:rFonts w:asciiTheme="majorBidi" w:eastAsia="Times New Roman" w:hAnsiTheme="majorBidi" w:cstheme="majorBidi"/>
                <w:sz w:val="16"/>
                <w:szCs w:val="16"/>
              </w:rPr>
              <w:t>Upregulated</w:t>
            </w:r>
          </w:p>
        </w:tc>
        <w:tc>
          <w:tcPr>
            <w:tcW w:w="0" w:type="auto"/>
            <w:hideMark/>
          </w:tcPr>
          <w:p w:rsidR="003F06D5" w:rsidRPr="00D237A7" w:rsidRDefault="003F06D5" w:rsidP="00AB27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D237A7">
              <w:rPr>
                <w:rFonts w:asciiTheme="majorBidi" w:eastAsia="Times New Roman" w:hAnsiTheme="majorBidi" w:cstheme="majorBidi"/>
                <w:sz w:val="16"/>
                <w:szCs w:val="16"/>
              </w:rPr>
              <w:t>Valproic Acid, Tretinoin</w:t>
            </w:r>
          </w:p>
        </w:tc>
        <w:tc>
          <w:tcPr>
            <w:tcW w:w="0" w:type="auto"/>
            <w:hideMark/>
          </w:tcPr>
          <w:p w:rsidR="003F06D5" w:rsidRPr="00D237A7" w:rsidRDefault="003F06D5" w:rsidP="00AB27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D237A7">
              <w:rPr>
                <w:rFonts w:asciiTheme="majorBidi" w:eastAsia="Times New Roman" w:hAnsiTheme="majorBidi" w:cstheme="majorBidi"/>
                <w:sz w:val="16"/>
                <w:szCs w:val="16"/>
              </w:rPr>
              <w:t>Methylation; differentiation induction</w:t>
            </w:r>
          </w:p>
        </w:tc>
        <w:tc>
          <w:tcPr>
            <w:tcW w:w="0" w:type="auto"/>
            <w:hideMark/>
          </w:tcPr>
          <w:p w:rsidR="003F06D5" w:rsidRPr="00D237A7" w:rsidRDefault="003F06D5" w:rsidP="00AB27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D237A7">
              <w:rPr>
                <w:rFonts w:asciiTheme="majorBidi" w:eastAsia="Times New Roman" w:hAnsiTheme="majorBidi" w:cstheme="majorBidi"/>
                <w:sz w:val="16"/>
                <w:szCs w:val="16"/>
              </w:rPr>
              <w:t>Epigenetic/APL therapy</w:t>
            </w:r>
          </w:p>
        </w:tc>
      </w:tr>
      <w:tr w:rsidR="003F06D5" w:rsidRPr="00D237A7" w:rsidTr="00AB2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3F06D5" w:rsidRPr="00D237A7" w:rsidRDefault="003F06D5" w:rsidP="00AB277B">
            <w:pPr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D237A7">
              <w:rPr>
                <w:rFonts w:asciiTheme="majorBidi" w:eastAsia="Times New Roman" w:hAnsiTheme="majorBidi" w:cstheme="majorBidi"/>
                <w:sz w:val="16"/>
                <w:szCs w:val="16"/>
              </w:rPr>
              <w:t>PFKFB4</w:t>
            </w:r>
          </w:p>
        </w:tc>
        <w:tc>
          <w:tcPr>
            <w:tcW w:w="0" w:type="auto"/>
            <w:hideMark/>
          </w:tcPr>
          <w:p w:rsidR="003F06D5" w:rsidRPr="00D237A7" w:rsidRDefault="003F06D5" w:rsidP="00AB27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D237A7">
              <w:rPr>
                <w:rFonts w:asciiTheme="majorBidi" w:eastAsia="Times New Roman" w:hAnsiTheme="majorBidi" w:cstheme="majorBidi"/>
                <w:sz w:val="16"/>
                <w:szCs w:val="16"/>
              </w:rPr>
              <w:t>Upregulated</w:t>
            </w:r>
          </w:p>
        </w:tc>
        <w:tc>
          <w:tcPr>
            <w:tcW w:w="0" w:type="auto"/>
            <w:hideMark/>
          </w:tcPr>
          <w:p w:rsidR="003F06D5" w:rsidRPr="00D237A7" w:rsidRDefault="003F06D5" w:rsidP="00AB27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D237A7">
              <w:rPr>
                <w:rFonts w:asciiTheme="majorBidi" w:eastAsia="Times New Roman" w:hAnsiTheme="majorBidi" w:cstheme="majorBidi"/>
                <w:sz w:val="16"/>
                <w:szCs w:val="16"/>
              </w:rPr>
              <w:t>Vorinostat, Doxorubicin</w:t>
            </w:r>
          </w:p>
        </w:tc>
        <w:tc>
          <w:tcPr>
            <w:tcW w:w="0" w:type="auto"/>
            <w:hideMark/>
          </w:tcPr>
          <w:p w:rsidR="003F06D5" w:rsidRPr="00D237A7" w:rsidRDefault="003F06D5" w:rsidP="00AB27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D237A7">
              <w:rPr>
                <w:rFonts w:asciiTheme="majorBidi" w:eastAsia="Times New Roman" w:hAnsiTheme="majorBidi" w:cstheme="majorBidi"/>
                <w:sz w:val="16"/>
                <w:szCs w:val="16"/>
              </w:rPr>
              <w:t>HDAC inhibition; glycolysis blockade</w:t>
            </w:r>
          </w:p>
        </w:tc>
        <w:tc>
          <w:tcPr>
            <w:tcW w:w="0" w:type="auto"/>
            <w:hideMark/>
          </w:tcPr>
          <w:p w:rsidR="003F06D5" w:rsidRPr="00D237A7" w:rsidRDefault="003F06D5" w:rsidP="00AB27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D237A7">
              <w:rPr>
                <w:rFonts w:asciiTheme="majorBidi" w:eastAsia="Times New Roman" w:hAnsiTheme="majorBidi" w:cstheme="majorBidi"/>
                <w:sz w:val="16"/>
                <w:szCs w:val="16"/>
              </w:rPr>
              <w:t>Lymphoma/breast cancer chemo</w:t>
            </w:r>
          </w:p>
        </w:tc>
      </w:tr>
      <w:tr w:rsidR="003F06D5" w:rsidRPr="00D237A7" w:rsidTr="00AB27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3F06D5" w:rsidRPr="00D237A7" w:rsidRDefault="003F06D5" w:rsidP="00AB277B">
            <w:pPr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D237A7">
              <w:rPr>
                <w:rFonts w:asciiTheme="majorBidi" w:eastAsia="Times New Roman" w:hAnsiTheme="majorBidi" w:cstheme="majorBidi"/>
                <w:sz w:val="16"/>
                <w:szCs w:val="16"/>
              </w:rPr>
              <w:t>TNFRSF9</w:t>
            </w:r>
          </w:p>
        </w:tc>
        <w:tc>
          <w:tcPr>
            <w:tcW w:w="0" w:type="auto"/>
            <w:hideMark/>
          </w:tcPr>
          <w:p w:rsidR="003F06D5" w:rsidRPr="00D237A7" w:rsidRDefault="003F06D5" w:rsidP="00AB27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D237A7">
              <w:rPr>
                <w:rFonts w:asciiTheme="majorBidi" w:eastAsia="Times New Roman" w:hAnsiTheme="majorBidi" w:cstheme="majorBidi"/>
                <w:sz w:val="16"/>
                <w:szCs w:val="16"/>
              </w:rPr>
              <w:t>Downregulated</w:t>
            </w:r>
          </w:p>
        </w:tc>
        <w:tc>
          <w:tcPr>
            <w:tcW w:w="0" w:type="auto"/>
            <w:hideMark/>
          </w:tcPr>
          <w:p w:rsidR="003F06D5" w:rsidRPr="00D237A7" w:rsidRDefault="003F06D5" w:rsidP="00AB27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D237A7">
              <w:rPr>
                <w:rFonts w:asciiTheme="majorBidi" w:eastAsia="Times New Roman" w:hAnsiTheme="majorBidi" w:cstheme="majorBidi"/>
                <w:sz w:val="16"/>
                <w:szCs w:val="16"/>
              </w:rPr>
              <w:t>Methotrexate, Cisplatin</w:t>
            </w:r>
          </w:p>
        </w:tc>
        <w:tc>
          <w:tcPr>
            <w:tcW w:w="0" w:type="auto"/>
            <w:hideMark/>
          </w:tcPr>
          <w:p w:rsidR="003F06D5" w:rsidRPr="00D237A7" w:rsidRDefault="003F06D5" w:rsidP="00AB27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D237A7">
              <w:rPr>
                <w:rFonts w:asciiTheme="majorBidi" w:eastAsia="Times New Roman" w:hAnsiTheme="majorBidi" w:cstheme="majorBidi"/>
                <w:sz w:val="16"/>
                <w:szCs w:val="16"/>
              </w:rPr>
              <w:t>Immune activation via mRNA upregulation</w:t>
            </w:r>
          </w:p>
        </w:tc>
        <w:tc>
          <w:tcPr>
            <w:tcW w:w="0" w:type="auto"/>
            <w:hideMark/>
          </w:tcPr>
          <w:p w:rsidR="003F06D5" w:rsidRPr="00D237A7" w:rsidRDefault="003F06D5" w:rsidP="00AB27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D237A7">
              <w:rPr>
                <w:rFonts w:asciiTheme="majorBidi" w:eastAsia="Times New Roman" w:hAnsiTheme="majorBidi" w:cstheme="majorBidi"/>
                <w:sz w:val="16"/>
                <w:szCs w:val="16"/>
              </w:rPr>
              <w:t>Standard solid tumor chemo</w:t>
            </w:r>
          </w:p>
        </w:tc>
      </w:tr>
      <w:tr w:rsidR="003F06D5" w:rsidRPr="00D237A7" w:rsidTr="00AB2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3F06D5" w:rsidRPr="00D237A7" w:rsidRDefault="003F06D5" w:rsidP="00AB277B">
            <w:pPr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D237A7">
              <w:rPr>
                <w:rFonts w:asciiTheme="majorBidi" w:eastAsia="Times New Roman" w:hAnsiTheme="majorBidi" w:cstheme="majorBidi"/>
                <w:sz w:val="16"/>
                <w:szCs w:val="16"/>
              </w:rPr>
              <w:t>VCAN</w:t>
            </w:r>
          </w:p>
        </w:tc>
        <w:tc>
          <w:tcPr>
            <w:tcW w:w="0" w:type="auto"/>
            <w:hideMark/>
          </w:tcPr>
          <w:p w:rsidR="003F06D5" w:rsidRPr="00D237A7" w:rsidRDefault="003F06D5" w:rsidP="00AB27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D237A7">
              <w:rPr>
                <w:rFonts w:asciiTheme="majorBidi" w:eastAsia="Times New Roman" w:hAnsiTheme="majorBidi" w:cstheme="majorBidi"/>
                <w:sz w:val="16"/>
                <w:szCs w:val="16"/>
              </w:rPr>
              <w:t>Downregulated</w:t>
            </w:r>
          </w:p>
        </w:tc>
        <w:tc>
          <w:tcPr>
            <w:tcW w:w="0" w:type="auto"/>
            <w:hideMark/>
          </w:tcPr>
          <w:p w:rsidR="003F06D5" w:rsidRPr="00D237A7" w:rsidRDefault="003F06D5" w:rsidP="00AB27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D237A7">
              <w:rPr>
                <w:rFonts w:asciiTheme="majorBidi" w:eastAsia="Times New Roman" w:hAnsiTheme="majorBidi" w:cstheme="majorBidi"/>
                <w:sz w:val="16"/>
                <w:szCs w:val="16"/>
              </w:rPr>
              <w:t>Valproic Acid, Vorinostat</w:t>
            </w:r>
          </w:p>
        </w:tc>
        <w:tc>
          <w:tcPr>
            <w:tcW w:w="0" w:type="auto"/>
            <w:hideMark/>
          </w:tcPr>
          <w:p w:rsidR="003F06D5" w:rsidRPr="00D237A7" w:rsidRDefault="003F06D5" w:rsidP="00AB27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D237A7">
              <w:rPr>
                <w:rFonts w:asciiTheme="majorBidi" w:eastAsia="Times New Roman" w:hAnsiTheme="majorBidi" w:cstheme="majorBidi"/>
                <w:sz w:val="16"/>
                <w:szCs w:val="16"/>
              </w:rPr>
              <w:t>Epigenetic restoration of expression</w:t>
            </w:r>
          </w:p>
        </w:tc>
        <w:tc>
          <w:tcPr>
            <w:tcW w:w="0" w:type="auto"/>
            <w:hideMark/>
          </w:tcPr>
          <w:p w:rsidR="003F06D5" w:rsidRPr="00D237A7" w:rsidRDefault="003F06D5" w:rsidP="00AB27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D237A7">
              <w:rPr>
                <w:rFonts w:asciiTheme="majorBidi" w:eastAsia="Times New Roman" w:hAnsiTheme="majorBidi" w:cstheme="majorBidi"/>
                <w:sz w:val="16"/>
                <w:szCs w:val="16"/>
              </w:rPr>
              <w:t>BBB-penetrant HDAC inhibitors</w:t>
            </w:r>
          </w:p>
        </w:tc>
      </w:tr>
    </w:tbl>
    <w:p w:rsidR="00A759CC" w:rsidRPr="00A759CC" w:rsidRDefault="00A759CC" w:rsidP="00A759CC"/>
    <w:p w:rsidR="00A759CC" w:rsidRPr="00A759CC" w:rsidRDefault="00A759CC" w:rsidP="00A759CC"/>
    <w:p w:rsidR="00355D4E" w:rsidRPr="00A759CC" w:rsidRDefault="00355D4E" w:rsidP="00A759CC">
      <w:bookmarkStart w:id="0" w:name="_GoBack"/>
      <w:bookmarkEnd w:id="0"/>
    </w:p>
    <w:sectPr w:rsidR="00355D4E" w:rsidRPr="00A759CC" w:rsidSect="00EA3CEB">
      <w:pgSz w:w="23616" w:h="31104" w:code="12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66F4" w:rsidRDefault="00FD66F4" w:rsidP="00FF38E0">
      <w:pPr>
        <w:spacing w:after="0" w:line="240" w:lineRule="auto"/>
      </w:pPr>
      <w:r>
        <w:separator/>
      </w:r>
    </w:p>
  </w:endnote>
  <w:endnote w:type="continuationSeparator" w:id="0">
    <w:p w:rsidR="00FD66F4" w:rsidRDefault="00FD66F4" w:rsidP="00FF3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RWPalladioL-Roma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66F4" w:rsidRDefault="00FD66F4" w:rsidP="00FF38E0">
      <w:pPr>
        <w:spacing w:after="0" w:line="240" w:lineRule="auto"/>
      </w:pPr>
      <w:r>
        <w:separator/>
      </w:r>
    </w:p>
  </w:footnote>
  <w:footnote w:type="continuationSeparator" w:id="0">
    <w:p w:rsidR="00FD66F4" w:rsidRDefault="00FD66F4" w:rsidP="00FF38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750CA"/>
    <w:multiLevelType w:val="multilevel"/>
    <w:tmpl w:val="517ED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F12F54"/>
    <w:multiLevelType w:val="multilevel"/>
    <w:tmpl w:val="B89AA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F50C77"/>
    <w:multiLevelType w:val="multilevel"/>
    <w:tmpl w:val="B9662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164AC9"/>
    <w:multiLevelType w:val="multilevel"/>
    <w:tmpl w:val="9D649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0F1F52"/>
    <w:multiLevelType w:val="multilevel"/>
    <w:tmpl w:val="92D43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493878"/>
    <w:multiLevelType w:val="multilevel"/>
    <w:tmpl w:val="07407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EB5E4F"/>
    <w:multiLevelType w:val="multilevel"/>
    <w:tmpl w:val="81B0A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C1439C"/>
    <w:multiLevelType w:val="multilevel"/>
    <w:tmpl w:val="0890F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C262C5"/>
    <w:multiLevelType w:val="multilevel"/>
    <w:tmpl w:val="BECE9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3431665"/>
    <w:multiLevelType w:val="multilevel"/>
    <w:tmpl w:val="B4CEF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FA41BFE"/>
    <w:multiLevelType w:val="multilevel"/>
    <w:tmpl w:val="14F45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F7848FC"/>
    <w:multiLevelType w:val="multilevel"/>
    <w:tmpl w:val="6EBEE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1D30DF6"/>
    <w:multiLevelType w:val="multilevel"/>
    <w:tmpl w:val="A23A1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5B74083"/>
    <w:multiLevelType w:val="multilevel"/>
    <w:tmpl w:val="5F2A4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11"/>
  </w:num>
  <w:num w:numId="5">
    <w:abstractNumId w:val="12"/>
  </w:num>
  <w:num w:numId="6">
    <w:abstractNumId w:val="4"/>
  </w:num>
  <w:num w:numId="7">
    <w:abstractNumId w:val="13"/>
  </w:num>
  <w:num w:numId="8">
    <w:abstractNumId w:val="2"/>
  </w:num>
  <w:num w:numId="9">
    <w:abstractNumId w:val="7"/>
  </w:num>
  <w:num w:numId="10">
    <w:abstractNumId w:val="6"/>
  </w:num>
  <w:num w:numId="11">
    <w:abstractNumId w:val="0"/>
  </w:num>
  <w:num w:numId="12">
    <w:abstractNumId w:val="3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A81"/>
    <w:rsid w:val="0007606B"/>
    <w:rsid w:val="0009101C"/>
    <w:rsid w:val="00096250"/>
    <w:rsid w:val="000D2543"/>
    <w:rsid w:val="001C0752"/>
    <w:rsid w:val="00216946"/>
    <w:rsid w:val="00247281"/>
    <w:rsid w:val="00253B97"/>
    <w:rsid w:val="00255313"/>
    <w:rsid w:val="00267F51"/>
    <w:rsid w:val="002C67DC"/>
    <w:rsid w:val="003535C1"/>
    <w:rsid w:val="00355D4E"/>
    <w:rsid w:val="003854B0"/>
    <w:rsid w:val="003C2788"/>
    <w:rsid w:val="003F06D5"/>
    <w:rsid w:val="004069A9"/>
    <w:rsid w:val="004B3CE9"/>
    <w:rsid w:val="005078EF"/>
    <w:rsid w:val="00533CA9"/>
    <w:rsid w:val="005B14F6"/>
    <w:rsid w:val="005D3391"/>
    <w:rsid w:val="006112E3"/>
    <w:rsid w:val="00697DF5"/>
    <w:rsid w:val="006B3498"/>
    <w:rsid w:val="006D486B"/>
    <w:rsid w:val="00742886"/>
    <w:rsid w:val="0078448B"/>
    <w:rsid w:val="008030D8"/>
    <w:rsid w:val="0080430C"/>
    <w:rsid w:val="008178B5"/>
    <w:rsid w:val="00821D4D"/>
    <w:rsid w:val="008938C9"/>
    <w:rsid w:val="008B7B16"/>
    <w:rsid w:val="0090488F"/>
    <w:rsid w:val="00912EF4"/>
    <w:rsid w:val="00913188"/>
    <w:rsid w:val="00A11E40"/>
    <w:rsid w:val="00A759CC"/>
    <w:rsid w:val="00AA379F"/>
    <w:rsid w:val="00AC32B8"/>
    <w:rsid w:val="00B119CF"/>
    <w:rsid w:val="00B41E42"/>
    <w:rsid w:val="00B81A81"/>
    <w:rsid w:val="00B93CA4"/>
    <w:rsid w:val="00BE7986"/>
    <w:rsid w:val="00C03583"/>
    <w:rsid w:val="00C50564"/>
    <w:rsid w:val="00C9720F"/>
    <w:rsid w:val="00CA4867"/>
    <w:rsid w:val="00CD6C6E"/>
    <w:rsid w:val="00D1169A"/>
    <w:rsid w:val="00D12E99"/>
    <w:rsid w:val="00D62FD9"/>
    <w:rsid w:val="00D7508F"/>
    <w:rsid w:val="00DC1195"/>
    <w:rsid w:val="00DD4860"/>
    <w:rsid w:val="00DE7935"/>
    <w:rsid w:val="00E160CF"/>
    <w:rsid w:val="00E81571"/>
    <w:rsid w:val="00EA3CEB"/>
    <w:rsid w:val="00EE71FE"/>
    <w:rsid w:val="00F2088D"/>
    <w:rsid w:val="00F36593"/>
    <w:rsid w:val="00F5405A"/>
    <w:rsid w:val="00F91577"/>
    <w:rsid w:val="00FB7A6E"/>
    <w:rsid w:val="00FD66F4"/>
    <w:rsid w:val="00FE1DD0"/>
    <w:rsid w:val="00FF3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6A4AB2-B688-418C-9581-829580CED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428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112E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112E3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6112E3"/>
    <w:rPr>
      <w:i/>
      <w:iCs/>
    </w:rPr>
  </w:style>
  <w:style w:type="paragraph" w:styleId="NormalWeb">
    <w:name w:val="Normal (Web)"/>
    <w:basedOn w:val="Normal"/>
    <w:uiPriority w:val="99"/>
    <w:unhideWhenUsed/>
    <w:rsid w:val="00353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F38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38E0"/>
  </w:style>
  <w:style w:type="paragraph" w:styleId="Footer">
    <w:name w:val="footer"/>
    <w:basedOn w:val="Normal"/>
    <w:link w:val="FooterChar"/>
    <w:uiPriority w:val="99"/>
    <w:unhideWhenUsed/>
    <w:rsid w:val="00FF38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38E0"/>
  </w:style>
  <w:style w:type="character" w:customStyle="1" w:styleId="ds-markdown-html">
    <w:name w:val="ds-markdown-html"/>
    <w:basedOn w:val="DefaultParagraphFont"/>
    <w:rsid w:val="001C0752"/>
  </w:style>
  <w:style w:type="character" w:customStyle="1" w:styleId="hgkelc">
    <w:name w:val="hgkelc"/>
    <w:basedOn w:val="DefaultParagraphFont"/>
    <w:rsid w:val="006B3498"/>
  </w:style>
  <w:style w:type="character" w:customStyle="1" w:styleId="Heading3Char">
    <w:name w:val="Heading 3 Char"/>
    <w:basedOn w:val="DefaultParagraphFont"/>
    <w:link w:val="Heading3"/>
    <w:uiPriority w:val="9"/>
    <w:rsid w:val="00742886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ba94db8a">
    <w:name w:val="ba94db8a"/>
    <w:basedOn w:val="Normal"/>
    <w:rsid w:val="00742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91318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">
    <w:name w:val="Table Grid"/>
    <w:basedOn w:val="TableNormal"/>
    <w:uiPriority w:val="39"/>
    <w:rsid w:val="00355D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d-label">
    <w:name w:val="id-label"/>
    <w:basedOn w:val="DefaultParagraphFont"/>
    <w:rsid w:val="00F2088D"/>
  </w:style>
  <w:style w:type="table" w:styleId="PlainTable1">
    <w:name w:val="Plain Table 1"/>
    <w:basedOn w:val="TableNormal"/>
    <w:uiPriority w:val="41"/>
    <w:rsid w:val="002472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5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8305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8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7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9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3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95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9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9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9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54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0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37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0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2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gnor.uniroma2.it/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8</Pages>
  <Words>3004</Words>
  <Characters>17126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CRDU</dc:creator>
  <cp:keywords/>
  <dc:description/>
  <cp:lastModifiedBy>CRDU</cp:lastModifiedBy>
  <cp:revision>54</cp:revision>
  <dcterms:created xsi:type="dcterms:W3CDTF">2025-03-29T08:09:00Z</dcterms:created>
  <dcterms:modified xsi:type="dcterms:W3CDTF">2025-04-07T19:33:00Z</dcterms:modified>
</cp:coreProperties>
</file>