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DA25" w14:textId="67E0EB1E" w:rsidR="00D372C5" w:rsidRPr="00262286" w:rsidRDefault="00262286" w:rsidP="00D372C5">
      <w:pPr>
        <w:rPr>
          <w:rFonts w:ascii="Times New Roman"/>
          <w:sz w:val="24"/>
          <w:szCs w:val="24"/>
        </w:rPr>
      </w:pPr>
      <w:r w:rsidRPr="00262286">
        <w:rPr>
          <w:rFonts w:ascii="Times New Roman"/>
          <w:sz w:val="24"/>
          <w:szCs w:val="24"/>
        </w:rPr>
        <w:t>Table 2. Antioxidant activity (ABTS and DPPH assays), total phenolic content, and flavonoid content of raw flours from different Peruvian fava bean (</w:t>
      </w:r>
      <w:r w:rsidRPr="00EA2786">
        <w:rPr>
          <w:rFonts w:ascii="Times New Roman"/>
          <w:i/>
          <w:iCs/>
          <w:sz w:val="24"/>
          <w:szCs w:val="24"/>
        </w:rPr>
        <w:t>Vicia faba</w:t>
      </w:r>
      <w:r w:rsidRPr="00262286">
        <w:rPr>
          <w:rFonts w:ascii="Times New Roman"/>
          <w:sz w:val="24"/>
          <w:szCs w:val="24"/>
        </w:rPr>
        <w:t>) cultivars</w:t>
      </w:r>
    </w:p>
    <w:tbl>
      <w:tblPr>
        <w:tblW w:w="808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843"/>
        <w:gridCol w:w="1559"/>
        <w:gridCol w:w="1843"/>
        <w:gridCol w:w="1701"/>
      </w:tblGrid>
      <w:tr w:rsidR="00F634B2" w:rsidRPr="007126B1" w14:paraId="2AE9AF7D" w14:textId="77777777" w:rsidTr="00262286">
        <w:trPr>
          <w:trHeight w:val="368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B7131" w14:textId="7BDB2A0A" w:rsidR="00F634B2" w:rsidRPr="00262286" w:rsidRDefault="00262286" w:rsidP="00117C93">
            <w:pPr>
              <w:spacing w:after="0"/>
              <w:rPr>
                <w:rFonts w:ascii="Times New Roman" w:eastAsia="Arial"/>
                <w:bCs/>
              </w:rPr>
            </w:pPr>
            <w:r w:rsidRPr="00262286">
              <w:rPr>
                <w:rFonts w:ascii="Times New Roman" w:eastAsia="Arial"/>
                <w:bCs/>
              </w:rPr>
              <w:t>Sample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EAC16" w14:textId="4D19A7E8" w:rsidR="00F634B2" w:rsidRPr="00F634B2" w:rsidRDefault="00262286" w:rsidP="00117C93">
            <w:pPr>
              <w:spacing w:after="0"/>
              <w:rPr>
                <w:rFonts w:ascii="Times New Roman" w:eastAsia="Arial"/>
              </w:rPr>
            </w:pPr>
            <w:r>
              <w:rPr>
                <w:rFonts w:ascii="Times New Roman" w:eastAsia="Arial"/>
              </w:rPr>
              <w:t>Antioxidant potential</w:t>
            </w:r>
            <w:r w:rsidR="00117C93">
              <w:rPr>
                <w:rFonts w:ascii="Times New Roman" w:eastAsia="Arial"/>
              </w:rPr>
              <w:t xml:space="preserve"> </w:t>
            </w:r>
            <w:r w:rsidR="00117C93" w:rsidRPr="00F634B2">
              <w:rPr>
                <w:rFonts w:ascii="Times New Roman" w:eastAsia="Arial"/>
              </w:rPr>
              <w:t xml:space="preserve">(µmol </w:t>
            </w:r>
            <w:r>
              <w:rPr>
                <w:rFonts w:ascii="Times New Roman" w:eastAsia="Arial"/>
              </w:rPr>
              <w:t>TE</w:t>
            </w:r>
            <w:r w:rsidR="00117C93" w:rsidRPr="00F634B2">
              <w:rPr>
                <w:rFonts w:ascii="Times New Roman" w:eastAsia="Arial"/>
              </w:rPr>
              <w:t>/g)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EF58B" w14:textId="5084C055" w:rsidR="00F634B2" w:rsidRPr="00117C93" w:rsidRDefault="00262286" w:rsidP="00262286">
            <w:pPr>
              <w:spacing w:after="0"/>
              <w:rPr>
                <w:rFonts w:ascii="Times New Roman" w:eastAsia="Arial"/>
                <w:lang w:val="pt-BR"/>
              </w:rPr>
            </w:pPr>
            <w:r>
              <w:rPr>
                <w:rFonts w:ascii="Times New Roman" w:eastAsia="Arial"/>
                <w:lang w:val="pt-BR"/>
              </w:rPr>
              <w:t xml:space="preserve">TPC </w:t>
            </w:r>
            <w:r w:rsidR="00F634B2" w:rsidRPr="00117C93">
              <w:rPr>
                <w:rFonts w:ascii="Times New Roman" w:eastAsia="Arial"/>
                <w:lang w:val="pt-BR"/>
              </w:rPr>
              <w:t>(mg EAG/g)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E9869" w14:textId="3FBC2398" w:rsidR="00F634B2" w:rsidRPr="00F634B2" w:rsidRDefault="00262286" w:rsidP="00117C93">
            <w:pPr>
              <w:spacing w:after="0"/>
              <w:rPr>
                <w:rFonts w:ascii="Times New Roman" w:eastAsia="Arial"/>
              </w:rPr>
            </w:pPr>
            <w:r>
              <w:rPr>
                <w:rFonts w:ascii="Times New Roman" w:eastAsia="Arial"/>
              </w:rPr>
              <w:t>TFC</w:t>
            </w:r>
            <w:r w:rsidR="00117C93">
              <w:rPr>
                <w:rFonts w:ascii="Times New Roman" w:eastAsia="Arial"/>
              </w:rPr>
              <w:t xml:space="preserve"> </w:t>
            </w:r>
            <w:r w:rsidR="00F634B2" w:rsidRPr="00F634B2">
              <w:rPr>
                <w:rFonts w:ascii="Times New Roman" w:eastAsia="Arial"/>
              </w:rPr>
              <w:t>(mg</w:t>
            </w:r>
            <w:r w:rsidR="001D3F8D">
              <w:rPr>
                <w:rFonts w:ascii="Times New Roman" w:eastAsia="Arial"/>
              </w:rPr>
              <w:t xml:space="preserve"> </w:t>
            </w:r>
            <w:r w:rsidR="00F634B2" w:rsidRPr="00F634B2">
              <w:rPr>
                <w:rFonts w:ascii="Times New Roman" w:eastAsia="Arial"/>
              </w:rPr>
              <w:t>EC/g)</w:t>
            </w:r>
          </w:p>
        </w:tc>
      </w:tr>
      <w:tr w:rsidR="00F634B2" w:rsidRPr="007126B1" w14:paraId="31BE6208" w14:textId="77777777" w:rsidTr="00262286">
        <w:trPr>
          <w:trHeight w:val="283"/>
          <w:jc w:val="center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FE22DB" w14:textId="77777777" w:rsidR="00F634B2" w:rsidRPr="00F634B2" w:rsidRDefault="00F634B2" w:rsidP="0011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8C05BB" w14:textId="77777777" w:rsidR="00F634B2" w:rsidRPr="00F634B2" w:rsidRDefault="00F634B2" w:rsidP="00117C93">
            <w:pPr>
              <w:spacing w:after="0"/>
              <w:rPr>
                <w:rFonts w:ascii="Times New Roman" w:eastAsia="Arial"/>
              </w:rPr>
            </w:pPr>
            <w:r w:rsidRPr="00F634B2">
              <w:rPr>
                <w:rFonts w:ascii="Times New Roman" w:eastAsia="Arial"/>
              </w:rPr>
              <w:t>ABTS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C4DB1C" w14:textId="77777777" w:rsidR="00F634B2" w:rsidRPr="00F634B2" w:rsidRDefault="00F634B2" w:rsidP="00117C93">
            <w:pPr>
              <w:spacing w:after="0"/>
              <w:rPr>
                <w:rFonts w:ascii="Times New Roman" w:eastAsia="Arial"/>
              </w:rPr>
            </w:pPr>
            <w:r w:rsidRPr="00F634B2">
              <w:rPr>
                <w:rFonts w:ascii="Times New Roman" w:eastAsia="Arial"/>
              </w:rPr>
              <w:t>DPPH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168489" w14:textId="77777777" w:rsidR="00F634B2" w:rsidRPr="00F634B2" w:rsidRDefault="00F634B2" w:rsidP="0011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73A90" w14:textId="77777777" w:rsidR="00F634B2" w:rsidRPr="00F634B2" w:rsidRDefault="00F634B2" w:rsidP="0011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/>
              </w:rPr>
            </w:pPr>
          </w:p>
        </w:tc>
      </w:tr>
      <w:tr w:rsidR="00F634B2" w:rsidRPr="007126B1" w14:paraId="3486CE2B" w14:textId="77777777" w:rsidTr="00262286">
        <w:trPr>
          <w:trHeight w:val="283"/>
          <w:jc w:val="center"/>
        </w:trPr>
        <w:tc>
          <w:tcPr>
            <w:tcW w:w="1134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6FC39DD4" w14:textId="4A951976" w:rsidR="00F634B2" w:rsidRPr="00F634B2" w:rsidRDefault="00262286" w:rsidP="00117C93">
            <w:pPr>
              <w:spacing w:after="0"/>
              <w:rPr>
                <w:rFonts w:ascii="Times New Roman" w:eastAsia="Arial"/>
              </w:rPr>
            </w:pPr>
            <w:r>
              <w:rPr>
                <w:rFonts w:ascii="Times New Roman" w:eastAsia="Arial"/>
              </w:rPr>
              <w:t>WF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8AAE73" w14:textId="1D2831D0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1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33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09</w:t>
            </w:r>
            <w:r w:rsidRPr="00F634B2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5342EC" w14:textId="7DB0EE51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22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03</w:t>
            </w:r>
            <w:r w:rsidRPr="00F634B2">
              <w:rPr>
                <w:rFonts w:ascii="Times New Roman" w:eastAsia="Arial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3B4D13" w14:textId="29E52182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30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02</w:t>
            </w:r>
            <w:r w:rsidRPr="00F634B2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1008969D" w14:textId="354A1FC5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40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02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F634B2" w:rsidRPr="007126B1" w14:paraId="756169AC" w14:textId="77777777" w:rsidTr="00262286">
        <w:trPr>
          <w:trHeight w:val="283"/>
          <w:jc w:val="center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2A005E3" w14:textId="464E41ED" w:rsidR="00F634B2" w:rsidRPr="00F634B2" w:rsidRDefault="00F634B2" w:rsidP="00117C93">
            <w:pPr>
              <w:spacing w:after="0"/>
              <w:rPr>
                <w:rFonts w:ascii="Times New Roman" w:eastAsia="Arial"/>
              </w:rPr>
            </w:pPr>
            <w:r w:rsidRPr="00F634B2">
              <w:rPr>
                <w:rFonts w:ascii="Times New Roman" w:eastAsia="Arial"/>
              </w:rPr>
              <w:t>V</w:t>
            </w:r>
            <w:r w:rsidR="00262286">
              <w:rPr>
                <w:rFonts w:ascii="Times New Roman" w:eastAsia="Arial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AD22" w14:textId="5DBC966F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23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78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99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B8C3" w14:textId="1601B1B0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55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04</w:t>
            </w:r>
            <w:r w:rsidRPr="00F634B2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C849" w14:textId="0EA7D48D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1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40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09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10823E" w14:textId="6DC9668F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79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02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F634B2" w:rsidRPr="007126B1" w14:paraId="012FFE06" w14:textId="77777777" w:rsidTr="00262286">
        <w:trPr>
          <w:trHeight w:val="283"/>
          <w:jc w:val="center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51FF3EE" w14:textId="23408C60" w:rsidR="00F634B2" w:rsidRPr="00F634B2" w:rsidRDefault="00F634B2" w:rsidP="00117C93">
            <w:pPr>
              <w:spacing w:after="0"/>
              <w:rPr>
                <w:rFonts w:ascii="Times New Roman" w:eastAsia="Arial"/>
              </w:rPr>
            </w:pPr>
            <w:r w:rsidRPr="00F634B2">
              <w:rPr>
                <w:rFonts w:ascii="Times New Roman" w:eastAsia="Arial"/>
              </w:rPr>
              <w:t>Q</w:t>
            </w:r>
            <w:r w:rsidR="00262286">
              <w:rPr>
                <w:rFonts w:ascii="Times New Roman" w:eastAsia="Arial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C276" w14:textId="716A492C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24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05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73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E9E8" w14:textId="6CFF0F24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77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54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363C" w14:textId="77996CCD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1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50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09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1A0642F" w14:textId="58214DC3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78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03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F634B2" w:rsidRPr="007126B1" w14:paraId="57B2E788" w14:textId="77777777" w:rsidTr="00262286">
        <w:trPr>
          <w:trHeight w:val="283"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30E055" w14:textId="47BFB8FF" w:rsidR="00F634B2" w:rsidRPr="00F634B2" w:rsidRDefault="00F634B2" w:rsidP="00117C93">
            <w:pPr>
              <w:spacing w:after="0"/>
              <w:rPr>
                <w:rFonts w:ascii="Times New Roman" w:eastAsia="Arial"/>
              </w:rPr>
            </w:pPr>
            <w:r w:rsidRPr="00F634B2">
              <w:rPr>
                <w:rFonts w:ascii="Times New Roman" w:eastAsia="Arial"/>
              </w:rPr>
              <w:t>P</w:t>
            </w:r>
            <w:r w:rsidR="00262286">
              <w:rPr>
                <w:rFonts w:ascii="Times New Roman" w:eastAsia="Arial"/>
              </w:rPr>
              <w:t>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AEC0A" w14:textId="71F900E4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26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13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93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E0DF1" w14:textId="042103FF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90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10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9B1AA" w14:textId="18593D98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1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61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08</w:t>
            </w:r>
            <w:r w:rsidRPr="00F634B2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B19BCE" w14:textId="2DA661B6" w:rsidR="00F634B2" w:rsidRPr="00F634B2" w:rsidRDefault="00F634B2" w:rsidP="00117C93">
            <w:pPr>
              <w:spacing w:after="0"/>
              <w:rPr>
                <w:rFonts w:ascii="Times New Roman" w:eastAsia="Arial"/>
                <w:vertAlign w:val="superscript"/>
              </w:rPr>
            </w:pPr>
            <w:r w:rsidRPr="00F634B2">
              <w:rPr>
                <w:rFonts w:ascii="Times New Roman" w:eastAsia="Arial"/>
              </w:rPr>
              <w:t>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80 ± 0</w:t>
            </w:r>
            <w:r w:rsidR="00262286">
              <w:rPr>
                <w:rFonts w:ascii="Times New Roman" w:eastAsia="Arial"/>
              </w:rPr>
              <w:t>.</w:t>
            </w:r>
            <w:r w:rsidRPr="00F634B2">
              <w:rPr>
                <w:rFonts w:ascii="Times New Roman" w:eastAsia="Arial"/>
              </w:rPr>
              <w:t>03</w:t>
            </w:r>
            <w:r w:rsidRPr="00F634B2">
              <w:rPr>
                <w:rFonts w:ascii="Times New Roman" w:eastAsia="Arial"/>
                <w:vertAlign w:val="superscript"/>
              </w:rPr>
              <w:t>b</w:t>
            </w:r>
          </w:p>
        </w:tc>
      </w:tr>
    </w:tbl>
    <w:p w14:paraId="6C2E38ED" w14:textId="7CCD56F0" w:rsidR="006F6754" w:rsidRPr="00262286" w:rsidRDefault="00262286" w:rsidP="00262286">
      <w:pPr>
        <w:jc w:val="both"/>
        <w:rPr>
          <w:rFonts w:ascii="Times New Roman" w:eastAsia="Arial Unicode MS"/>
          <w:color w:val="000000"/>
          <w:sz w:val="20"/>
          <w:szCs w:val="20"/>
        </w:rPr>
      </w:pPr>
      <w:r w:rsidRPr="00262286">
        <w:rPr>
          <w:rFonts w:ascii="Times New Roman" w:eastAsia="Arial Unicode MS"/>
          <w:color w:val="000000"/>
          <w:sz w:val="20"/>
          <w:szCs w:val="20"/>
        </w:rPr>
        <w:t xml:space="preserve">Leg.: </w:t>
      </w:r>
      <w:r>
        <w:rPr>
          <w:rFonts w:ascii="Times New Roman" w:eastAsia="Arial Unicode MS"/>
          <w:color w:val="000000"/>
          <w:sz w:val="20"/>
          <w:szCs w:val="20"/>
        </w:rPr>
        <w:t>WF</w:t>
      </w:r>
      <w:r w:rsidRPr="00262286">
        <w:rPr>
          <w:rFonts w:ascii="Times New Roman" w:eastAsia="Arial Unicode MS"/>
          <w:color w:val="000000"/>
          <w:sz w:val="20"/>
          <w:szCs w:val="20"/>
        </w:rPr>
        <w:t>: wheat flour; V</w:t>
      </w:r>
      <w:r>
        <w:rPr>
          <w:rFonts w:ascii="Times New Roman" w:eastAsia="Arial Unicode MS"/>
          <w:color w:val="000000"/>
          <w:sz w:val="20"/>
          <w:szCs w:val="20"/>
        </w:rPr>
        <w:t>F</w:t>
      </w:r>
      <w:r w:rsidRPr="00262286">
        <w:rPr>
          <w:rFonts w:ascii="Times New Roman" w:eastAsia="Arial Unicode MS"/>
          <w:color w:val="000000"/>
          <w:sz w:val="20"/>
          <w:szCs w:val="20"/>
        </w:rPr>
        <w:t>: Green fava bean flour; Q</w:t>
      </w:r>
      <w:r>
        <w:rPr>
          <w:rFonts w:ascii="Times New Roman" w:eastAsia="Arial Unicode MS"/>
          <w:color w:val="000000"/>
          <w:sz w:val="20"/>
          <w:szCs w:val="20"/>
        </w:rPr>
        <w:t>F</w:t>
      </w:r>
      <w:r w:rsidRPr="00262286">
        <w:rPr>
          <w:rFonts w:ascii="Times New Roman" w:eastAsia="Arial Unicode MS"/>
          <w:color w:val="000000"/>
          <w:sz w:val="20"/>
          <w:szCs w:val="20"/>
        </w:rPr>
        <w:t xml:space="preserve">: </w:t>
      </w:r>
      <w:proofErr w:type="spellStart"/>
      <w:r w:rsidRPr="00262286">
        <w:rPr>
          <w:rFonts w:ascii="Times New Roman" w:eastAsia="Arial Unicode MS"/>
          <w:color w:val="000000"/>
          <w:sz w:val="20"/>
          <w:szCs w:val="20"/>
        </w:rPr>
        <w:t>Chel</w:t>
      </w:r>
      <w:r>
        <w:rPr>
          <w:rFonts w:ascii="Times New Roman" w:eastAsia="Arial Unicode MS"/>
          <w:color w:val="000000"/>
          <w:sz w:val="20"/>
          <w:szCs w:val="20"/>
        </w:rPr>
        <w:t>cao</w:t>
      </w:r>
      <w:proofErr w:type="spellEnd"/>
      <w:r w:rsidRPr="00262286">
        <w:rPr>
          <w:rFonts w:ascii="Times New Roman" w:eastAsia="Arial Unicode MS"/>
          <w:color w:val="000000"/>
          <w:sz w:val="20"/>
          <w:szCs w:val="20"/>
        </w:rPr>
        <w:t xml:space="preserve"> fava bean flour; </w:t>
      </w:r>
      <w:proofErr w:type="spellStart"/>
      <w:r w:rsidRPr="00262286">
        <w:rPr>
          <w:rFonts w:ascii="Times New Roman" w:eastAsia="Arial Unicode MS"/>
          <w:color w:val="000000"/>
          <w:sz w:val="20"/>
          <w:szCs w:val="20"/>
        </w:rPr>
        <w:t>P</w:t>
      </w:r>
      <w:r>
        <w:rPr>
          <w:rFonts w:ascii="Times New Roman" w:eastAsia="Arial Unicode MS"/>
          <w:color w:val="000000"/>
          <w:sz w:val="20"/>
          <w:szCs w:val="20"/>
        </w:rPr>
        <w:t>f</w:t>
      </w:r>
      <w:proofErr w:type="spellEnd"/>
      <w:r w:rsidRPr="00262286">
        <w:rPr>
          <w:rFonts w:ascii="Times New Roman" w:eastAsia="Arial Unicode MS"/>
          <w:color w:val="000000"/>
          <w:sz w:val="20"/>
          <w:szCs w:val="20"/>
        </w:rPr>
        <w:t xml:space="preserve">: </w:t>
      </w:r>
      <w:proofErr w:type="spellStart"/>
      <w:r w:rsidRPr="00262286">
        <w:rPr>
          <w:rFonts w:ascii="Times New Roman" w:eastAsia="Arial Unicode MS"/>
          <w:color w:val="000000"/>
          <w:sz w:val="20"/>
          <w:szCs w:val="20"/>
        </w:rPr>
        <w:t>Peruanita</w:t>
      </w:r>
      <w:proofErr w:type="spellEnd"/>
      <w:r w:rsidRPr="00262286">
        <w:rPr>
          <w:rFonts w:ascii="Times New Roman" w:eastAsia="Arial Unicode MS"/>
          <w:color w:val="000000"/>
          <w:sz w:val="20"/>
          <w:szCs w:val="20"/>
        </w:rPr>
        <w:t xml:space="preserve"> fava bean flour; GAE: gallic acid equivalent; CE: catechin equivalent. Results are expressed as the ± standard deviation. Different letters within the same column indicate statistically significant differences according to analysis of variance (ANOVA) </w:t>
      </w:r>
      <w:r>
        <w:rPr>
          <w:rFonts w:ascii="Times New Roman" w:eastAsia="Arial Unicode MS"/>
          <w:color w:val="000000"/>
          <w:sz w:val="20"/>
          <w:szCs w:val="20"/>
        </w:rPr>
        <w:t>(</w:t>
      </w:r>
      <w:r w:rsidRPr="00262286">
        <w:rPr>
          <w:rFonts w:ascii="Times New Roman" w:eastAsia="Arial Unicode MS"/>
          <w:color w:val="000000"/>
          <w:sz w:val="20"/>
          <w:szCs w:val="20"/>
        </w:rPr>
        <w:t>p≤0.05</w:t>
      </w:r>
      <w:r>
        <w:rPr>
          <w:rFonts w:ascii="Times New Roman" w:eastAsia="Arial Unicode MS"/>
          <w:color w:val="000000"/>
          <w:sz w:val="20"/>
          <w:szCs w:val="20"/>
        </w:rPr>
        <w:t>)</w:t>
      </w:r>
      <w:r w:rsidRPr="00262286">
        <w:rPr>
          <w:rFonts w:ascii="Times New Roman" w:eastAsia="Arial Unicode MS"/>
          <w:color w:val="000000"/>
          <w:sz w:val="20"/>
          <w:szCs w:val="20"/>
        </w:rPr>
        <w:t xml:space="preserve">, followed by Tukey’s test </w:t>
      </w:r>
      <w:r>
        <w:rPr>
          <w:rFonts w:ascii="Times New Roman" w:eastAsia="Arial Unicode MS"/>
          <w:color w:val="000000"/>
          <w:sz w:val="20"/>
          <w:szCs w:val="20"/>
        </w:rPr>
        <w:t>(</w:t>
      </w:r>
      <w:r w:rsidRPr="00262286">
        <w:rPr>
          <w:rFonts w:ascii="Times New Roman" w:eastAsia="Arial Unicode MS"/>
          <w:color w:val="000000"/>
          <w:sz w:val="20"/>
          <w:szCs w:val="20"/>
        </w:rPr>
        <w:t>p≤0.05</w:t>
      </w:r>
      <w:r>
        <w:rPr>
          <w:rFonts w:ascii="Times New Roman" w:eastAsia="Arial Unicode MS"/>
          <w:color w:val="000000"/>
          <w:sz w:val="20"/>
          <w:szCs w:val="20"/>
        </w:rPr>
        <w:t>)</w:t>
      </w:r>
      <w:r w:rsidRPr="00262286">
        <w:rPr>
          <w:rFonts w:ascii="Times New Roman" w:eastAsia="Arial Unicode MS"/>
          <w:color w:val="000000"/>
          <w:sz w:val="20"/>
          <w:szCs w:val="20"/>
        </w:rPr>
        <w:t>.</w:t>
      </w:r>
    </w:p>
    <w:sectPr w:rsidR="006F6754" w:rsidRPr="00262286" w:rsidSect="001D3F8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59DB" w14:textId="77777777" w:rsidR="008B1B95" w:rsidRDefault="008B1B95">
      <w:pPr>
        <w:spacing w:after="0" w:line="240" w:lineRule="auto"/>
      </w:pPr>
      <w:r>
        <w:separator/>
      </w:r>
    </w:p>
  </w:endnote>
  <w:endnote w:type="continuationSeparator" w:id="0">
    <w:p w14:paraId="47192B56" w14:textId="77777777" w:rsidR="008B1B95" w:rsidRDefault="008B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2831" w14:textId="77777777" w:rsidR="00B45AAC" w:rsidRPr="00AF0A9E" w:rsidRDefault="00B4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2DD" w14:textId="77777777" w:rsidR="008B1B95" w:rsidRDefault="008B1B95">
      <w:pPr>
        <w:spacing w:after="0" w:line="240" w:lineRule="auto"/>
      </w:pPr>
      <w:r>
        <w:separator/>
      </w:r>
    </w:p>
  </w:footnote>
  <w:footnote w:type="continuationSeparator" w:id="0">
    <w:p w14:paraId="57F9AF2F" w14:textId="77777777" w:rsidR="008B1B95" w:rsidRDefault="008B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5"/>
    <w:rsid w:val="000277D4"/>
    <w:rsid w:val="00032BC4"/>
    <w:rsid w:val="000627A4"/>
    <w:rsid w:val="00065FC7"/>
    <w:rsid w:val="000679F7"/>
    <w:rsid w:val="000707FB"/>
    <w:rsid w:val="0008786A"/>
    <w:rsid w:val="00093F5D"/>
    <w:rsid w:val="00117C93"/>
    <w:rsid w:val="001A64D0"/>
    <w:rsid w:val="001D3F8D"/>
    <w:rsid w:val="002618D8"/>
    <w:rsid w:val="00262286"/>
    <w:rsid w:val="003266C2"/>
    <w:rsid w:val="00380E5F"/>
    <w:rsid w:val="00397616"/>
    <w:rsid w:val="003B2669"/>
    <w:rsid w:val="003C2F76"/>
    <w:rsid w:val="003C6D29"/>
    <w:rsid w:val="0040100C"/>
    <w:rsid w:val="004033AB"/>
    <w:rsid w:val="004769A6"/>
    <w:rsid w:val="004814BD"/>
    <w:rsid w:val="004E04DA"/>
    <w:rsid w:val="00666164"/>
    <w:rsid w:val="00674085"/>
    <w:rsid w:val="006F6754"/>
    <w:rsid w:val="00746337"/>
    <w:rsid w:val="007638ED"/>
    <w:rsid w:val="007653D9"/>
    <w:rsid w:val="00777A92"/>
    <w:rsid w:val="008714BE"/>
    <w:rsid w:val="00883AD8"/>
    <w:rsid w:val="0089288D"/>
    <w:rsid w:val="008A4E24"/>
    <w:rsid w:val="008B1B95"/>
    <w:rsid w:val="008E65A2"/>
    <w:rsid w:val="009033AA"/>
    <w:rsid w:val="00983419"/>
    <w:rsid w:val="00AC73AD"/>
    <w:rsid w:val="00AF5218"/>
    <w:rsid w:val="00B41C47"/>
    <w:rsid w:val="00B45AAC"/>
    <w:rsid w:val="00B55DCF"/>
    <w:rsid w:val="00C16F22"/>
    <w:rsid w:val="00C9620F"/>
    <w:rsid w:val="00C96DC3"/>
    <w:rsid w:val="00CC7C63"/>
    <w:rsid w:val="00CF0806"/>
    <w:rsid w:val="00D372C5"/>
    <w:rsid w:val="00D52EFA"/>
    <w:rsid w:val="00D5309F"/>
    <w:rsid w:val="00D541CC"/>
    <w:rsid w:val="00D766C5"/>
    <w:rsid w:val="00DE07C8"/>
    <w:rsid w:val="00DE63AD"/>
    <w:rsid w:val="00E10354"/>
    <w:rsid w:val="00E1768B"/>
    <w:rsid w:val="00E438B6"/>
    <w:rsid w:val="00E7638A"/>
    <w:rsid w:val="00EA2786"/>
    <w:rsid w:val="00ED7A69"/>
    <w:rsid w:val="00EE743A"/>
    <w:rsid w:val="00F31881"/>
    <w:rsid w:val="00F634B2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FA7D"/>
  <w15:docId w15:val="{12EDF563-FFE3-42C9-BD07-905241C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C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C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C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C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C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C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C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C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C5"/>
    <w:pPr>
      <w:spacing w:before="160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7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C5"/>
    <w:pPr>
      <w:ind w:left="720"/>
      <w:contextualSpacing/>
    </w:pPr>
    <w:rPr>
      <w:rFonts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7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37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rsid w:val="00D372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372C5"/>
  </w:style>
  <w:style w:type="paragraph" w:styleId="Textodebalo">
    <w:name w:val="Balloon Text"/>
    <w:basedOn w:val="Normal"/>
    <w:link w:val="TextodebaloChar"/>
    <w:uiPriority w:val="99"/>
    <w:semiHidden/>
    <w:unhideWhenUsed/>
    <w:rsid w:val="00777A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A92"/>
    <w:rPr>
      <w:rFonts w:ascii="Lucida Grande" w:eastAsia="Times New Roman" w:hAnsi="Lucida Grande" w:cs="Lucida Grande"/>
      <w:kern w:val="0"/>
      <w:sz w:val="18"/>
      <w:szCs w:val="18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D3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F8D"/>
    <w:rPr>
      <w:rFonts w:eastAsia="Times New Roman" w:hAnsi="Times New Roman" w:cs="Times New Roman"/>
      <w:kern w:val="0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Bruno Dala Paula</cp:lastModifiedBy>
  <cp:revision>5</cp:revision>
  <dcterms:created xsi:type="dcterms:W3CDTF">2024-09-25T19:34:00Z</dcterms:created>
  <dcterms:modified xsi:type="dcterms:W3CDTF">2025-09-03T18:32:00Z</dcterms:modified>
</cp:coreProperties>
</file>