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32" w:rsidRPr="004F1BBF" w:rsidRDefault="00260EFD">
      <w:pPr>
        <w:rPr>
          <w:rFonts w:ascii="Times New Roman"/>
          <w:sz w:val="20"/>
          <w:szCs w:val="20"/>
        </w:rPr>
      </w:pPr>
      <w:proofErr w:type="spellStart"/>
      <w:r w:rsidRPr="004F1BBF">
        <w:rPr>
          <w:rFonts w:ascii="Times New Roman"/>
          <w:sz w:val="20"/>
          <w:szCs w:val="20"/>
        </w:rPr>
        <w:t>Supplementary</w:t>
      </w:r>
      <w:proofErr w:type="spellEnd"/>
      <w:r w:rsidRPr="004F1BBF">
        <w:rPr>
          <w:rFonts w:ascii="Times New Roman"/>
          <w:sz w:val="20"/>
          <w:szCs w:val="20"/>
        </w:rPr>
        <w:t xml:space="preserve"> material 1</w:t>
      </w:r>
    </w:p>
    <w:p w:rsidR="00260EFD" w:rsidRPr="004F1BBF" w:rsidRDefault="00260EFD">
      <w:pPr>
        <w:rPr>
          <w:sz w:val="20"/>
          <w:szCs w:val="20"/>
        </w:rPr>
      </w:pPr>
    </w:p>
    <w:p w:rsidR="00260EFD" w:rsidRPr="004F1BBF" w:rsidRDefault="00260EFD" w:rsidP="004F1BBF">
      <w:pPr>
        <w:pStyle w:val="PargrafodaLista"/>
        <w:numPr>
          <w:ilvl w:val="0"/>
          <w:numId w:val="4"/>
        </w:numPr>
        <w:spacing w:after="0" w:line="480" w:lineRule="auto"/>
        <w:jc w:val="both"/>
        <w:rPr>
          <w:rFonts w:ascii="Times New Roman"/>
          <w:b/>
          <w:sz w:val="20"/>
          <w:szCs w:val="20"/>
        </w:rPr>
      </w:pPr>
      <w:proofErr w:type="spellStart"/>
      <w:r w:rsidRPr="004F1BBF">
        <w:rPr>
          <w:rFonts w:ascii="Times New Roman"/>
          <w:b/>
          <w:sz w:val="20"/>
          <w:szCs w:val="20"/>
        </w:rPr>
        <w:t>Determination</w:t>
      </w:r>
      <w:proofErr w:type="spellEnd"/>
      <w:r w:rsidRPr="004F1BBF">
        <w:rPr>
          <w:rFonts w:ascii="Times New Roman"/>
          <w:b/>
          <w:sz w:val="20"/>
          <w:szCs w:val="20"/>
        </w:rPr>
        <w:t xml:space="preserve"> of </w:t>
      </w:r>
      <w:proofErr w:type="spellStart"/>
      <w:r w:rsidRPr="004F1BBF">
        <w:rPr>
          <w:rFonts w:ascii="Times New Roman"/>
          <w:b/>
          <w:sz w:val="20"/>
          <w:szCs w:val="20"/>
        </w:rPr>
        <w:t>antioxidant</w:t>
      </w:r>
      <w:proofErr w:type="spellEnd"/>
      <w:r w:rsidRPr="004F1BBF">
        <w:rPr>
          <w:rFonts w:ascii="Times New Roman"/>
          <w:b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b/>
          <w:sz w:val="20"/>
          <w:szCs w:val="20"/>
        </w:rPr>
        <w:t>potential</w:t>
      </w:r>
      <w:proofErr w:type="spellEnd"/>
      <w:r w:rsidRPr="004F1BBF">
        <w:rPr>
          <w:rFonts w:ascii="Times New Roman"/>
          <w:b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b/>
          <w:sz w:val="20"/>
          <w:szCs w:val="20"/>
        </w:rPr>
        <w:t>by</w:t>
      </w:r>
      <w:proofErr w:type="spellEnd"/>
      <w:r w:rsidRPr="004F1BBF">
        <w:rPr>
          <w:rFonts w:ascii="Times New Roman"/>
          <w:b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b/>
          <w:sz w:val="20"/>
          <w:szCs w:val="20"/>
        </w:rPr>
        <w:t>the</w:t>
      </w:r>
      <w:proofErr w:type="spellEnd"/>
      <w:r w:rsidRPr="004F1BBF">
        <w:rPr>
          <w:rFonts w:ascii="Times New Roman"/>
          <w:b/>
          <w:sz w:val="20"/>
          <w:szCs w:val="20"/>
        </w:rPr>
        <w:t xml:space="preserve"> ABTS</w:t>
      </w:r>
      <w:r w:rsidRPr="004F1BBF">
        <w:rPr>
          <w:rFonts w:ascii="Times New Roman"/>
          <w:b/>
          <w:sz w:val="20"/>
          <w:szCs w:val="20"/>
        </w:rPr>
        <w:t>•⁺</w:t>
      </w:r>
      <w:r w:rsidRPr="004F1BBF">
        <w:rPr>
          <w:rFonts w:ascii="Times New Roman"/>
          <w:b/>
          <w:sz w:val="20"/>
          <w:szCs w:val="20"/>
        </w:rPr>
        <w:t xml:space="preserve"> radical </w:t>
      </w:r>
      <w:proofErr w:type="spellStart"/>
      <w:r w:rsidRPr="004F1BBF">
        <w:rPr>
          <w:rFonts w:ascii="Times New Roman"/>
          <w:b/>
          <w:sz w:val="20"/>
          <w:szCs w:val="20"/>
        </w:rPr>
        <w:t>scavenging</w:t>
      </w:r>
      <w:proofErr w:type="spellEnd"/>
      <w:r w:rsidRPr="004F1BBF">
        <w:rPr>
          <w:rFonts w:ascii="Times New Roman"/>
          <w:b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b/>
          <w:sz w:val="20"/>
          <w:szCs w:val="20"/>
        </w:rPr>
        <w:t>method</w:t>
      </w:r>
      <w:proofErr w:type="spellEnd"/>
    </w:p>
    <w:p w:rsidR="00260EFD" w:rsidRPr="004F1BBF" w:rsidRDefault="00260EFD" w:rsidP="004F1BBF">
      <w:pPr>
        <w:spacing w:after="0" w:line="480" w:lineRule="auto"/>
        <w:ind w:firstLine="709"/>
        <w:jc w:val="both"/>
        <w:rPr>
          <w:rFonts w:ascii="Times New Roman"/>
          <w:sz w:val="20"/>
          <w:szCs w:val="20"/>
        </w:rPr>
      </w:pPr>
      <w:r w:rsidRPr="004F1BBF">
        <w:rPr>
          <w:rFonts w:ascii="Times New Roman"/>
          <w:sz w:val="20"/>
          <w:szCs w:val="20"/>
        </w:rPr>
        <w:t xml:space="preserve">The </w:t>
      </w:r>
      <w:proofErr w:type="spellStart"/>
      <w:r w:rsidRPr="004F1BBF">
        <w:rPr>
          <w:rFonts w:ascii="Times New Roman"/>
          <w:sz w:val="20"/>
          <w:szCs w:val="20"/>
        </w:rPr>
        <w:t>antioxidant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potential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determined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using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spectrophotometric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method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based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on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discoloration</w:t>
      </w:r>
      <w:proofErr w:type="spellEnd"/>
      <w:r w:rsidRPr="004F1BBF">
        <w:rPr>
          <w:rFonts w:ascii="Times New Roman"/>
          <w:sz w:val="20"/>
          <w:szCs w:val="20"/>
        </w:rPr>
        <w:t xml:space="preserve"> of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ABTS</w:t>
      </w:r>
      <w:r w:rsidRPr="004F1BBF">
        <w:rPr>
          <w:rFonts w:ascii="Times New Roman"/>
          <w:sz w:val="20"/>
          <w:szCs w:val="20"/>
        </w:rPr>
        <w:t>•⁺</w:t>
      </w:r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cationic</w:t>
      </w:r>
      <w:proofErr w:type="spellEnd"/>
      <w:r w:rsidRPr="004F1BBF">
        <w:rPr>
          <w:rFonts w:ascii="Times New Roman"/>
          <w:sz w:val="20"/>
          <w:szCs w:val="20"/>
        </w:rPr>
        <w:t xml:space="preserve"> radical (2,2</w:t>
      </w:r>
      <w:r w:rsidRPr="004F1BBF">
        <w:rPr>
          <w:rFonts w:ascii="Times New Roman"/>
          <w:sz w:val="20"/>
          <w:szCs w:val="20"/>
        </w:rPr>
        <w:t>′</w:t>
      </w:r>
      <w:r w:rsidRPr="004F1BBF">
        <w:rPr>
          <w:rFonts w:ascii="Times New Roman"/>
          <w:sz w:val="20"/>
          <w:szCs w:val="20"/>
        </w:rPr>
        <w:t>-</w:t>
      </w:r>
      <w:proofErr w:type="gramStart"/>
      <w:r w:rsidRPr="004F1BBF">
        <w:rPr>
          <w:rFonts w:ascii="Times New Roman"/>
          <w:sz w:val="20"/>
          <w:szCs w:val="20"/>
        </w:rPr>
        <w:t>azinobis(</w:t>
      </w:r>
      <w:proofErr w:type="gramEnd"/>
      <w:r w:rsidRPr="004F1BBF">
        <w:rPr>
          <w:rFonts w:ascii="Times New Roman"/>
          <w:sz w:val="20"/>
          <w:szCs w:val="20"/>
        </w:rPr>
        <w:t xml:space="preserve">3-ethylbenzothiazoline-6-sulfonic </w:t>
      </w:r>
      <w:proofErr w:type="spellStart"/>
      <w:r w:rsidRPr="004F1BBF">
        <w:rPr>
          <w:rFonts w:ascii="Times New Roman"/>
          <w:sz w:val="20"/>
          <w:szCs w:val="20"/>
        </w:rPr>
        <w:t>acid</w:t>
      </w:r>
      <w:proofErr w:type="spellEnd"/>
      <w:r w:rsidRPr="004F1BBF">
        <w:rPr>
          <w:rFonts w:ascii="Times New Roman"/>
          <w:sz w:val="20"/>
          <w:szCs w:val="20"/>
        </w:rPr>
        <w:t xml:space="preserve">)), </w:t>
      </w:r>
      <w:proofErr w:type="spellStart"/>
      <w:r w:rsidRPr="004F1BBF">
        <w:rPr>
          <w:rFonts w:ascii="Times New Roman"/>
          <w:sz w:val="20"/>
          <w:szCs w:val="20"/>
        </w:rPr>
        <w:t>resulting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from</w:t>
      </w:r>
      <w:proofErr w:type="spellEnd"/>
      <w:r w:rsidRPr="004F1BBF">
        <w:rPr>
          <w:rFonts w:ascii="Times New Roman"/>
          <w:sz w:val="20"/>
          <w:szCs w:val="20"/>
        </w:rPr>
        <w:t xml:space="preserve"> its </w:t>
      </w:r>
      <w:proofErr w:type="spellStart"/>
      <w:r w:rsidRPr="004F1BBF">
        <w:rPr>
          <w:rFonts w:ascii="Times New Roman"/>
          <w:sz w:val="20"/>
          <w:szCs w:val="20"/>
        </w:rPr>
        <w:t>neutralization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by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antioxidant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compounds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present</w:t>
      </w:r>
      <w:proofErr w:type="spellEnd"/>
      <w:r w:rsidRPr="004F1BBF">
        <w:rPr>
          <w:rFonts w:ascii="Times New Roman"/>
          <w:sz w:val="20"/>
          <w:szCs w:val="20"/>
        </w:rPr>
        <w:t xml:space="preserve"> in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samples</w:t>
      </w:r>
      <w:proofErr w:type="spellEnd"/>
      <w:r w:rsidRPr="004F1BBF">
        <w:rPr>
          <w:rFonts w:ascii="Times New Roman"/>
          <w:sz w:val="20"/>
          <w:szCs w:val="20"/>
        </w:rPr>
        <w:t xml:space="preserve"> [</w:t>
      </w:r>
      <w:r w:rsidR="004F1BBF" w:rsidRPr="004F1BBF">
        <w:rPr>
          <w:rFonts w:ascii="Times New Roman"/>
          <w:sz w:val="20"/>
          <w:szCs w:val="20"/>
        </w:rPr>
        <w:t>1</w:t>
      </w:r>
      <w:r w:rsidRPr="004F1BBF">
        <w:rPr>
          <w:rFonts w:ascii="Times New Roman"/>
          <w:sz w:val="20"/>
          <w:szCs w:val="20"/>
        </w:rPr>
        <w:t>,</w:t>
      </w:r>
      <w:r w:rsidR="004F1BBF" w:rsidRPr="004F1BBF">
        <w:rPr>
          <w:rFonts w:ascii="Times New Roman"/>
          <w:sz w:val="20"/>
          <w:szCs w:val="20"/>
        </w:rPr>
        <w:t xml:space="preserve"> </w:t>
      </w:r>
      <w:r w:rsidRPr="004F1BBF">
        <w:rPr>
          <w:rFonts w:ascii="Times New Roman"/>
          <w:sz w:val="20"/>
          <w:szCs w:val="20"/>
        </w:rPr>
        <w:t>2]. The ABTS</w:t>
      </w:r>
      <w:r w:rsidRPr="004F1BBF">
        <w:rPr>
          <w:rFonts w:ascii="Times New Roman"/>
          <w:sz w:val="20"/>
          <w:szCs w:val="20"/>
        </w:rPr>
        <w:t>•⁺</w:t>
      </w:r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solution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prepared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by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mixing</w:t>
      </w:r>
      <w:proofErr w:type="spellEnd"/>
      <w:r w:rsidRPr="004F1BBF">
        <w:rPr>
          <w:rFonts w:ascii="Times New Roman"/>
          <w:sz w:val="20"/>
          <w:szCs w:val="20"/>
        </w:rPr>
        <w:t xml:space="preserve"> a 7 mM </w:t>
      </w:r>
      <w:proofErr w:type="spellStart"/>
      <w:r w:rsidRPr="004F1BBF">
        <w:rPr>
          <w:rFonts w:ascii="Times New Roman"/>
          <w:sz w:val="20"/>
          <w:szCs w:val="20"/>
        </w:rPr>
        <w:t>aqueous</w:t>
      </w:r>
      <w:proofErr w:type="spellEnd"/>
      <w:r w:rsidRPr="004F1BBF">
        <w:rPr>
          <w:rFonts w:ascii="Times New Roman"/>
          <w:sz w:val="20"/>
          <w:szCs w:val="20"/>
        </w:rPr>
        <w:t xml:space="preserve"> ABTS</w:t>
      </w:r>
      <w:r w:rsidRPr="004F1BBF">
        <w:rPr>
          <w:rFonts w:ascii="Times New Roman"/>
          <w:sz w:val="20"/>
          <w:szCs w:val="20"/>
        </w:rPr>
        <w:t>•⁺</w:t>
      </w:r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solution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with</w:t>
      </w:r>
      <w:proofErr w:type="spellEnd"/>
      <w:r w:rsidRPr="004F1BBF">
        <w:rPr>
          <w:rFonts w:ascii="Times New Roman"/>
          <w:sz w:val="20"/>
          <w:szCs w:val="20"/>
        </w:rPr>
        <w:t xml:space="preserve"> a 2.45 mM </w:t>
      </w:r>
      <w:proofErr w:type="spellStart"/>
      <w:r w:rsidRPr="004F1BBF">
        <w:rPr>
          <w:rFonts w:ascii="Times New Roman"/>
          <w:sz w:val="20"/>
          <w:szCs w:val="20"/>
        </w:rPr>
        <w:t>potassium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persulfate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solution</w:t>
      </w:r>
      <w:proofErr w:type="spellEnd"/>
      <w:r w:rsidRPr="004F1BBF">
        <w:rPr>
          <w:rFonts w:ascii="Times New Roman"/>
          <w:sz w:val="20"/>
          <w:szCs w:val="20"/>
        </w:rPr>
        <w:t xml:space="preserve">, </w:t>
      </w:r>
      <w:proofErr w:type="spellStart"/>
      <w:r w:rsidRPr="004F1BBF">
        <w:rPr>
          <w:rFonts w:ascii="Times New Roman"/>
          <w:sz w:val="20"/>
          <w:szCs w:val="20"/>
        </w:rPr>
        <w:t>followed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by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incubation</w:t>
      </w:r>
      <w:proofErr w:type="spellEnd"/>
      <w:r w:rsidRPr="004F1BBF">
        <w:rPr>
          <w:rFonts w:ascii="Times New Roman"/>
          <w:sz w:val="20"/>
          <w:szCs w:val="20"/>
        </w:rPr>
        <w:t xml:space="preserve"> in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dark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at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room</w:t>
      </w:r>
      <w:proofErr w:type="spellEnd"/>
      <w:r w:rsidRPr="004F1BBF">
        <w:rPr>
          <w:rFonts w:ascii="Times New Roman"/>
          <w:sz w:val="20"/>
          <w:szCs w:val="20"/>
        </w:rPr>
        <w:t xml:space="preserve"> temperature for 12 h. The </w:t>
      </w:r>
      <w:proofErr w:type="spellStart"/>
      <w:r w:rsidRPr="004F1BBF">
        <w:rPr>
          <w:rFonts w:ascii="Times New Roman"/>
          <w:sz w:val="20"/>
          <w:szCs w:val="20"/>
        </w:rPr>
        <w:t>resulting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solution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diluted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until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reaching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absorbance</w:t>
      </w:r>
      <w:proofErr w:type="spellEnd"/>
      <w:r w:rsidRPr="004F1BBF">
        <w:rPr>
          <w:rFonts w:ascii="Times New Roman"/>
          <w:sz w:val="20"/>
          <w:szCs w:val="20"/>
        </w:rPr>
        <w:t xml:space="preserve"> of 0.70 </w:t>
      </w:r>
      <w:r w:rsidRPr="004F1BBF">
        <w:rPr>
          <w:rFonts w:ascii="Times New Roman"/>
          <w:sz w:val="20"/>
          <w:szCs w:val="20"/>
        </w:rPr>
        <w:t>±</w:t>
      </w:r>
      <w:r w:rsidRPr="004F1BBF">
        <w:rPr>
          <w:rFonts w:ascii="Times New Roman"/>
          <w:sz w:val="20"/>
          <w:szCs w:val="20"/>
        </w:rPr>
        <w:t xml:space="preserve"> 0.05, </w:t>
      </w:r>
      <w:proofErr w:type="spellStart"/>
      <w:r w:rsidRPr="004F1BBF">
        <w:rPr>
          <w:rFonts w:ascii="Times New Roman"/>
          <w:sz w:val="20"/>
          <w:szCs w:val="20"/>
        </w:rPr>
        <w:t>measured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using</w:t>
      </w:r>
      <w:proofErr w:type="spellEnd"/>
      <w:r w:rsidRPr="004F1BBF">
        <w:rPr>
          <w:rFonts w:ascii="Times New Roman"/>
          <w:sz w:val="20"/>
          <w:szCs w:val="20"/>
        </w:rPr>
        <w:t xml:space="preserve"> a </w:t>
      </w:r>
      <w:proofErr w:type="spellStart"/>
      <w:r w:rsidRPr="004F1BBF">
        <w:rPr>
          <w:rFonts w:ascii="Times New Roman"/>
          <w:sz w:val="20"/>
          <w:szCs w:val="20"/>
        </w:rPr>
        <w:t>BelPhotonics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Ultraviolet</w:t>
      </w:r>
      <w:proofErr w:type="spellEnd"/>
      <w:r w:rsidRPr="004F1BBF">
        <w:rPr>
          <w:rFonts w:ascii="Times New Roman"/>
          <w:sz w:val="20"/>
          <w:szCs w:val="20"/>
        </w:rPr>
        <w:t xml:space="preserve">/Visible-M51 </w:t>
      </w:r>
      <w:proofErr w:type="spellStart"/>
      <w:r w:rsidRPr="004F1BBF">
        <w:rPr>
          <w:rFonts w:ascii="Times New Roman"/>
          <w:sz w:val="20"/>
          <w:szCs w:val="20"/>
        </w:rPr>
        <w:t>spectrophotometer</w:t>
      </w:r>
      <w:proofErr w:type="spellEnd"/>
      <w:r w:rsidRPr="004F1BBF">
        <w:rPr>
          <w:rFonts w:ascii="Times New Roman"/>
          <w:sz w:val="20"/>
          <w:szCs w:val="20"/>
        </w:rPr>
        <w:t xml:space="preserve"> (Monza, Milan, </w:t>
      </w:r>
      <w:proofErr w:type="spellStart"/>
      <w:r w:rsidRPr="004F1BBF">
        <w:rPr>
          <w:rFonts w:ascii="Times New Roman"/>
          <w:sz w:val="20"/>
          <w:szCs w:val="20"/>
        </w:rPr>
        <w:t>Italy</w:t>
      </w:r>
      <w:proofErr w:type="spellEnd"/>
      <w:r w:rsidRPr="004F1BBF">
        <w:rPr>
          <w:rFonts w:ascii="Times New Roman"/>
          <w:sz w:val="20"/>
          <w:szCs w:val="20"/>
        </w:rPr>
        <w:t xml:space="preserve">) set </w:t>
      </w:r>
      <w:proofErr w:type="spellStart"/>
      <w:r w:rsidRPr="004F1BBF">
        <w:rPr>
          <w:rFonts w:ascii="Times New Roman"/>
          <w:sz w:val="20"/>
          <w:szCs w:val="20"/>
        </w:rPr>
        <w:t>at</w:t>
      </w:r>
      <w:proofErr w:type="spellEnd"/>
      <w:r w:rsidRPr="004F1BBF">
        <w:rPr>
          <w:rFonts w:ascii="Times New Roman"/>
          <w:sz w:val="20"/>
          <w:szCs w:val="20"/>
        </w:rPr>
        <w:t xml:space="preserve"> a </w:t>
      </w:r>
      <w:proofErr w:type="spellStart"/>
      <w:r w:rsidRPr="004F1BBF">
        <w:rPr>
          <w:rFonts w:ascii="Times New Roman"/>
          <w:sz w:val="20"/>
          <w:szCs w:val="20"/>
        </w:rPr>
        <w:t>wavelength</w:t>
      </w:r>
      <w:proofErr w:type="spellEnd"/>
      <w:r w:rsidRPr="004F1BBF">
        <w:rPr>
          <w:rFonts w:ascii="Times New Roman"/>
          <w:sz w:val="20"/>
          <w:szCs w:val="20"/>
        </w:rPr>
        <w:t xml:space="preserve"> of 734 nm.</w:t>
      </w:r>
    </w:p>
    <w:p w:rsidR="00260EFD" w:rsidRPr="004F1BBF" w:rsidRDefault="00260EFD" w:rsidP="00260EFD">
      <w:pPr>
        <w:spacing w:after="0" w:line="480" w:lineRule="auto"/>
        <w:ind w:firstLine="709"/>
        <w:jc w:val="both"/>
        <w:rPr>
          <w:rFonts w:ascii="Times New Roman"/>
          <w:sz w:val="20"/>
          <w:szCs w:val="20"/>
        </w:rPr>
      </w:pPr>
      <w:r w:rsidRPr="004F1BBF">
        <w:rPr>
          <w:rFonts w:ascii="Times New Roman"/>
          <w:sz w:val="20"/>
          <w:szCs w:val="20"/>
        </w:rPr>
        <w:t xml:space="preserve">The color </w:t>
      </w:r>
      <w:proofErr w:type="spellStart"/>
      <w:r w:rsidRPr="004F1BBF">
        <w:rPr>
          <w:rFonts w:ascii="Times New Roman"/>
          <w:sz w:val="20"/>
          <w:szCs w:val="20"/>
        </w:rPr>
        <w:t>difference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between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reading</w:t>
      </w:r>
      <w:proofErr w:type="spellEnd"/>
      <w:r w:rsidRPr="004F1BBF">
        <w:rPr>
          <w:rFonts w:ascii="Times New Roman"/>
          <w:sz w:val="20"/>
          <w:szCs w:val="20"/>
        </w:rPr>
        <w:t xml:space="preserve"> of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fully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colored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solution</w:t>
      </w:r>
      <w:proofErr w:type="spellEnd"/>
      <w:r w:rsidRPr="004F1BBF">
        <w:rPr>
          <w:rFonts w:ascii="Times New Roman"/>
          <w:sz w:val="20"/>
          <w:szCs w:val="20"/>
        </w:rPr>
        <w:t xml:space="preserve">, </w:t>
      </w:r>
      <w:proofErr w:type="spellStart"/>
      <w:r w:rsidRPr="004F1BBF">
        <w:rPr>
          <w:rFonts w:ascii="Times New Roman"/>
          <w:sz w:val="20"/>
          <w:szCs w:val="20"/>
        </w:rPr>
        <w:t>considered</w:t>
      </w:r>
      <w:proofErr w:type="spellEnd"/>
      <w:r w:rsidRPr="004F1BBF">
        <w:rPr>
          <w:rFonts w:ascii="Times New Roman"/>
          <w:sz w:val="20"/>
          <w:szCs w:val="20"/>
        </w:rPr>
        <w:t xml:space="preserve"> as 100% ABTS</w:t>
      </w:r>
      <w:r w:rsidRPr="004F1BBF">
        <w:rPr>
          <w:rFonts w:ascii="Times New Roman"/>
          <w:sz w:val="20"/>
          <w:szCs w:val="20"/>
        </w:rPr>
        <w:t>•⁺</w:t>
      </w:r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free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radicals</w:t>
      </w:r>
      <w:proofErr w:type="spellEnd"/>
      <w:r w:rsidRPr="004F1BBF">
        <w:rPr>
          <w:rFonts w:ascii="Times New Roman"/>
          <w:sz w:val="20"/>
          <w:szCs w:val="20"/>
        </w:rPr>
        <w:t xml:space="preserve"> (750 </w:t>
      </w:r>
      <w:proofErr w:type="spellStart"/>
      <w:r w:rsidRPr="004F1BBF">
        <w:rPr>
          <w:rFonts w:ascii="Times New Roman"/>
          <w:sz w:val="20"/>
          <w:szCs w:val="20"/>
        </w:rPr>
        <w:t>μ</w:t>
      </w:r>
      <w:r w:rsidRPr="004F1BBF">
        <w:rPr>
          <w:rFonts w:ascii="Times New Roman"/>
          <w:sz w:val="20"/>
          <w:szCs w:val="20"/>
        </w:rPr>
        <w:t>L</w:t>
      </w:r>
      <w:proofErr w:type="spellEnd"/>
      <w:r w:rsidRPr="004F1BBF">
        <w:rPr>
          <w:rFonts w:ascii="Times New Roman"/>
          <w:sz w:val="20"/>
          <w:szCs w:val="20"/>
        </w:rPr>
        <w:t xml:space="preserve"> of ABTS</w:t>
      </w:r>
      <w:r w:rsidRPr="004F1BBF">
        <w:rPr>
          <w:rFonts w:ascii="Times New Roman"/>
          <w:sz w:val="20"/>
          <w:szCs w:val="20"/>
        </w:rPr>
        <w:t>•⁺</w:t>
      </w:r>
      <w:r w:rsidRPr="004F1BBF">
        <w:rPr>
          <w:rFonts w:ascii="Times New Roman"/>
          <w:sz w:val="20"/>
          <w:szCs w:val="20"/>
        </w:rPr>
        <w:t xml:space="preserve"> + 250 </w:t>
      </w:r>
      <w:proofErr w:type="spellStart"/>
      <w:r w:rsidRPr="004F1BBF">
        <w:rPr>
          <w:rFonts w:ascii="Times New Roman"/>
          <w:sz w:val="20"/>
          <w:szCs w:val="20"/>
        </w:rPr>
        <w:t>μ</w:t>
      </w:r>
      <w:r w:rsidRPr="004F1BBF">
        <w:rPr>
          <w:rFonts w:ascii="Times New Roman"/>
          <w:sz w:val="20"/>
          <w:szCs w:val="20"/>
        </w:rPr>
        <w:t>L</w:t>
      </w:r>
      <w:proofErr w:type="spellEnd"/>
      <w:r w:rsidRPr="004F1BBF">
        <w:rPr>
          <w:rFonts w:ascii="Times New Roman"/>
          <w:sz w:val="20"/>
          <w:szCs w:val="20"/>
        </w:rPr>
        <w:t xml:space="preserve"> of 70% v/v </w:t>
      </w:r>
      <w:proofErr w:type="spellStart"/>
      <w:r w:rsidRPr="004F1BBF">
        <w:rPr>
          <w:rFonts w:ascii="Times New Roman"/>
          <w:sz w:val="20"/>
          <w:szCs w:val="20"/>
        </w:rPr>
        <w:t>ethanol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solution</w:t>
      </w:r>
      <w:proofErr w:type="spellEnd"/>
      <w:r w:rsidRPr="004F1BBF">
        <w:rPr>
          <w:rFonts w:ascii="Times New Roman"/>
          <w:sz w:val="20"/>
          <w:szCs w:val="20"/>
        </w:rPr>
        <w:t xml:space="preserve">), and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reading</w:t>
      </w:r>
      <w:proofErr w:type="spellEnd"/>
      <w:r w:rsidRPr="004F1BBF">
        <w:rPr>
          <w:rFonts w:ascii="Times New Roman"/>
          <w:sz w:val="20"/>
          <w:szCs w:val="20"/>
        </w:rPr>
        <w:t xml:space="preserve"> of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ABTS</w:t>
      </w:r>
      <w:r w:rsidRPr="004F1BBF">
        <w:rPr>
          <w:rFonts w:ascii="Times New Roman"/>
          <w:sz w:val="20"/>
          <w:szCs w:val="20"/>
        </w:rPr>
        <w:t>•⁺</w:t>
      </w:r>
      <w:r w:rsidRPr="004F1BBF">
        <w:rPr>
          <w:rFonts w:ascii="Times New Roman"/>
          <w:sz w:val="20"/>
          <w:szCs w:val="20"/>
        </w:rPr>
        <w:t xml:space="preserve"> radical </w:t>
      </w:r>
      <w:proofErr w:type="spellStart"/>
      <w:r w:rsidRPr="004F1BBF">
        <w:rPr>
          <w:rFonts w:ascii="Times New Roman"/>
          <w:sz w:val="20"/>
          <w:szCs w:val="20"/>
        </w:rPr>
        <w:t>solution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containing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sample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extract</w:t>
      </w:r>
      <w:proofErr w:type="spellEnd"/>
      <w:r w:rsidRPr="004F1BBF">
        <w:rPr>
          <w:rFonts w:ascii="Times New Roman"/>
          <w:sz w:val="20"/>
          <w:szCs w:val="20"/>
        </w:rPr>
        <w:t xml:space="preserve"> (750 </w:t>
      </w:r>
      <w:proofErr w:type="spellStart"/>
      <w:r w:rsidRPr="004F1BBF">
        <w:rPr>
          <w:rFonts w:ascii="Times New Roman"/>
          <w:sz w:val="20"/>
          <w:szCs w:val="20"/>
        </w:rPr>
        <w:t>μ</w:t>
      </w:r>
      <w:r w:rsidRPr="004F1BBF">
        <w:rPr>
          <w:rFonts w:ascii="Times New Roman"/>
          <w:sz w:val="20"/>
          <w:szCs w:val="20"/>
        </w:rPr>
        <w:t>L</w:t>
      </w:r>
      <w:proofErr w:type="spellEnd"/>
      <w:r w:rsidRPr="004F1BBF">
        <w:rPr>
          <w:rFonts w:ascii="Times New Roman"/>
          <w:sz w:val="20"/>
          <w:szCs w:val="20"/>
        </w:rPr>
        <w:t xml:space="preserve"> of ABTS</w:t>
      </w:r>
      <w:r w:rsidRPr="004F1BBF">
        <w:rPr>
          <w:rFonts w:ascii="Times New Roman"/>
          <w:sz w:val="20"/>
          <w:szCs w:val="20"/>
        </w:rPr>
        <w:t>•⁺</w:t>
      </w:r>
      <w:r w:rsidRPr="004F1BBF">
        <w:rPr>
          <w:rFonts w:ascii="Times New Roman"/>
          <w:sz w:val="20"/>
          <w:szCs w:val="20"/>
        </w:rPr>
        <w:t xml:space="preserve"> + 250 </w:t>
      </w:r>
      <w:proofErr w:type="spellStart"/>
      <w:r w:rsidRPr="004F1BBF">
        <w:rPr>
          <w:rFonts w:ascii="Times New Roman"/>
          <w:sz w:val="20"/>
          <w:szCs w:val="20"/>
        </w:rPr>
        <w:t>μ</w:t>
      </w:r>
      <w:r w:rsidRPr="004F1BBF">
        <w:rPr>
          <w:rFonts w:ascii="Times New Roman"/>
          <w:sz w:val="20"/>
          <w:szCs w:val="20"/>
        </w:rPr>
        <w:t>L</w:t>
      </w:r>
      <w:proofErr w:type="spellEnd"/>
      <w:r w:rsidRPr="004F1BBF">
        <w:rPr>
          <w:rFonts w:ascii="Times New Roman"/>
          <w:sz w:val="20"/>
          <w:szCs w:val="20"/>
        </w:rPr>
        <w:t xml:space="preserve"> of </w:t>
      </w:r>
      <w:proofErr w:type="spellStart"/>
      <w:r w:rsidRPr="004F1BBF">
        <w:rPr>
          <w:rFonts w:ascii="Times New Roman"/>
          <w:sz w:val="20"/>
          <w:szCs w:val="20"/>
        </w:rPr>
        <w:t>appropriately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diluted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sample</w:t>
      </w:r>
      <w:proofErr w:type="spellEnd"/>
      <w:r w:rsidRPr="004F1BBF">
        <w:rPr>
          <w:rFonts w:ascii="Times New Roman"/>
          <w:sz w:val="20"/>
          <w:szCs w:val="20"/>
        </w:rPr>
        <w:t xml:space="preserve">)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measured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after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incubation</w:t>
      </w:r>
      <w:proofErr w:type="spellEnd"/>
      <w:r w:rsidRPr="004F1BBF">
        <w:rPr>
          <w:rFonts w:ascii="Times New Roman"/>
          <w:sz w:val="20"/>
          <w:szCs w:val="20"/>
        </w:rPr>
        <w:t xml:space="preserve"> in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dark</w:t>
      </w:r>
      <w:proofErr w:type="spellEnd"/>
      <w:r w:rsidRPr="004F1BBF">
        <w:rPr>
          <w:rFonts w:ascii="Times New Roman"/>
          <w:sz w:val="20"/>
          <w:szCs w:val="20"/>
        </w:rPr>
        <w:t xml:space="preserve"> for 15 min. The </w:t>
      </w:r>
      <w:proofErr w:type="spellStart"/>
      <w:r w:rsidRPr="004F1BBF">
        <w:rPr>
          <w:rFonts w:ascii="Times New Roman"/>
          <w:sz w:val="20"/>
          <w:szCs w:val="20"/>
        </w:rPr>
        <w:t>mixture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analyzed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using</w:t>
      </w:r>
      <w:proofErr w:type="spellEnd"/>
      <w:r w:rsidRPr="004F1BBF">
        <w:rPr>
          <w:rFonts w:ascii="Times New Roman"/>
          <w:sz w:val="20"/>
          <w:szCs w:val="20"/>
        </w:rPr>
        <w:t xml:space="preserve"> a </w:t>
      </w:r>
      <w:proofErr w:type="spellStart"/>
      <w:r w:rsidRPr="004F1BBF">
        <w:rPr>
          <w:rFonts w:ascii="Times New Roman"/>
          <w:sz w:val="20"/>
          <w:szCs w:val="20"/>
        </w:rPr>
        <w:t>spectrophotometer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at</w:t>
      </w:r>
      <w:proofErr w:type="spellEnd"/>
      <w:r w:rsidRPr="004F1BBF">
        <w:rPr>
          <w:rFonts w:ascii="Times New Roman"/>
          <w:sz w:val="20"/>
          <w:szCs w:val="20"/>
        </w:rPr>
        <w:t xml:space="preserve"> 734 nm. The </w:t>
      </w:r>
      <w:proofErr w:type="spellStart"/>
      <w:r w:rsidRPr="004F1BBF">
        <w:rPr>
          <w:rFonts w:ascii="Times New Roman"/>
          <w:sz w:val="20"/>
          <w:szCs w:val="20"/>
        </w:rPr>
        <w:t>results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were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compared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with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analytical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calibration</w:t>
      </w:r>
      <w:proofErr w:type="spellEnd"/>
      <w:r w:rsidRPr="004F1BBF">
        <w:rPr>
          <w:rFonts w:ascii="Times New Roman"/>
          <w:sz w:val="20"/>
          <w:szCs w:val="20"/>
        </w:rPr>
        <w:t xml:space="preserve"> curve </w:t>
      </w:r>
      <w:proofErr w:type="spellStart"/>
      <w:r w:rsidRPr="004F1BBF">
        <w:rPr>
          <w:rFonts w:ascii="Times New Roman"/>
          <w:sz w:val="20"/>
          <w:szCs w:val="20"/>
        </w:rPr>
        <w:t>constructed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with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seven</w:t>
      </w:r>
      <w:proofErr w:type="spellEnd"/>
      <w:r w:rsidRPr="004F1BBF">
        <w:rPr>
          <w:rFonts w:ascii="Times New Roman"/>
          <w:sz w:val="20"/>
          <w:szCs w:val="20"/>
        </w:rPr>
        <w:t xml:space="preserve"> points </w:t>
      </w:r>
      <w:proofErr w:type="spellStart"/>
      <w:r w:rsidRPr="004F1BBF">
        <w:rPr>
          <w:rFonts w:ascii="Times New Roman"/>
          <w:sz w:val="20"/>
          <w:szCs w:val="20"/>
        </w:rPr>
        <w:t>corresponding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to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different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concentrations</w:t>
      </w:r>
      <w:proofErr w:type="spellEnd"/>
      <w:r w:rsidRPr="004F1BBF">
        <w:rPr>
          <w:rFonts w:ascii="Times New Roman"/>
          <w:sz w:val="20"/>
          <w:szCs w:val="20"/>
        </w:rPr>
        <w:t xml:space="preserve"> (1</w:t>
      </w:r>
      <w:r w:rsidRPr="004F1BBF">
        <w:rPr>
          <w:rFonts w:ascii="Times New Roman"/>
          <w:sz w:val="20"/>
          <w:szCs w:val="20"/>
        </w:rPr>
        <w:t>–</w:t>
      </w:r>
      <w:r w:rsidRPr="004F1BBF">
        <w:rPr>
          <w:rFonts w:ascii="Times New Roman"/>
          <w:sz w:val="20"/>
          <w:szCs w:val="20"/>
        </w:rPr>
        <w:t xml:space="preserve">17 </w:t>
      </w:r>
      <w:proofErr w:type="spellStart"/>
      <w:r w:rsidRPr="004F1BBF">
        <w:rPr>
          <w:rFonts w:ascii="Times New Roman"/>
          <w:sz w:val="20"/>
          <w:szCs w:val="20"/>
        </w:rPr>
        <w:t>nmol</w:t>
      </w:r>
      <w:proofErr w:type="spellEnd"/>
      <w:r w:rsidRPr="004F1BBF">
        <w:rPr>
          <w:rFonts w:ascii="Times New Roman"/>
          <w:sz w:val="20"/>
          <w:szCs w:val="20"/>
        </w:rPr>
        <w:t xml:space="preserve">/mL) of a </w:t>
      </w:r>
      <w:proofErr w:type="spellStart"/>
      <w:r w:rsidRPr="004F1BBF">
        <w:rPr>
          <w:rFonts w:ascii="Times New Roman"/>
          <w:sz w:val="20"/>
          <w:szCs w:val="20"/>
        </w:rPr>
        <w:t>Trolox</w:t>
      </w:r>
      <w:proofErr w:type="spellEnd"/>
      <w:r w:rsidRPr="004F1BBF">
        <w:rPr>
          <w:rFonts w:ascii="Times New Roman"/>
          <w:sz w:val="20"/>
          <w:szCs w:val="20"/>
        </w:rPr>
        <w:t xml:space="preserve"> standard </w:t>
      </w:r>
      <w:proofErr w:type="spellStart"/>
      <w:r w:rsidRPr="004F1BBF">
        <w:rPr>
          <w:rFonts w:ascii="Times New Roman"/>
          <w:sz w:val="20"/>
          <w:szCs w:val="20"/>
        </w:rPr>
        <w:t>solution</w:t>
      </w:r>
      <w:proofErr w:type="spellEnd"/>
      <w:r w:rsidRPr="004F1BBF">
        <w:rPr>
          <w:rFonts w:ascii="Times New Roman"/>
          <w:sz w:val="20"/>
          <w:szCs w:val="20"/>
        </w:rPr>
        <w:t xml:space="preserve">. </w:t>
      </w:r>
      <w:proofErr w:type="spellStart"/>
      <w:r w:rsidRPr="004F1BBF">
        <w:rPr>
          <w:rFonts w:ascii="Times New Roman"/>
          <w:sz w:val="20"/>
          <w:szCs w:val="20"/>
        </w:rPr>
        <w:t>Two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blank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solutions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were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prepared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by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replacing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sample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aliquot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with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water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while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maintaining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ABTS</w:t>
      </w:r>
      <w:r w:rsidRPr="004F1BBF">
        <w:rPr>
          <w:rFonts w:ascii="Times New Roman"/>
          <w:sz w:val="20"/>
          <w:szCs w:val="20"/>
        </w:rPr>
        <w:t>•⁺</w:t>
      </w:r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solution</w:t>
      </w:r>
      <w:proofErr w:type="spellEnd"/>
      <w:r w:rsidRPr="004F1BBF">
        <w:rPr>
          <w:rFonts w:ascii="Times New Roman"/>
          <w:sz w:val="20"/>
          <w:szCs w:val="20"/>
        </w:rPr>
        <w:t xml:space="preserve">. </w:t>
      </w:r>
      <w:proofErr w:type="spellStart"/>
      <w:r w:rsidRPr="004F1BBF">
        <w:rPr>
          <w:rFonts w:ascii="Times New Roman"/>
          <w:sz w:val="20"/>
          <w:szCs w:val="20"/>
        </w:rPr>
        <w:t>Absorbance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values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obtained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from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each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sample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were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corrected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by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subtracting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corresponding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blank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solution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readings</w:t>
      </w:r>
      <w:proofErr w:type="spellEnd"/>
      <w:r w:rsidRPr="004F1BBF">
        <w:rPr>
          <w:rFonts w:ascii="Times New Roman"/>
          <w:sz w:val="20"/>
          <w:szCs w:val="20"/>
        </w:rPr>
        <w:t xml:space="preserve">, </w:t>
      </w:r>
      <w:proofErr w:type="spellStart"/>
      <w:r w:rsidRPr="004F1BBF">
        <w:rPr>
          <w:rFonts w:ascii="Times New Roman"/>
          <w:sz w:val="20"/>
          <w:szCs w:val="20"/>
        </w:rPr>
        <w:t>which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exhibited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highest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absorbance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values</w:t>
      </w:r>
      <w:proofErr w:type="spellEnd"/>
      <w:r w:rsidRPr="004F1BBF">
        <w:rPr>
          <w:rFonts w:ascii="Times New Roman"/>
          <w:sz w:val="20"/>
          <w:szCs w:val="20"/>
        </w:rPr>
        <w:t xml:space="preserve">. </w:t>
      </w:r>
      <w:proofErr w:type="spellStart"/>
      <w:r w:rsidRPr="004F1BBF">
        <w:rPr>
          <w:rFonts w:ascii="Times New Roman"/>
          <w:sz w:val="20"/>
          <w:szCs w:val="20"/>
        </w:rPr>
        <w:t>Results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were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expressed</w:t>
      </w:r>
      <w:proofErr w:type="spellEnd"/>
      <w:r w:rsidRPr="004F1BBF">
        <w:rPr>
          <w:rFonts w:ascii="Times New Roman"/>
          <w:sz w:val="20"/>
          <w:szCs w:val="20"/>
        </w:rPr>
        <w:t xml:space="preserve"> as </w:t>
      </w:r>
      <w:proofErr w:type="spellStart"/>
      <w:r w:rsidRPr="004F1BBF">
        <w:rPr>
          <w:rFonts w:ascii="Times New Roman"/>
          <w:sz w:val="20"/>
          <w:szCs w:val="20"/>
        </w:rPr>
        <w:t>micromoles</w:t>
      </w:r>
      <w:proofErr w:type="spellEnd"/>
      <w:r w:rsidRPr="004F1BBF">
        <w:rPr>
          <w:rFonts w:ascii="Times New Roman"/>
          <w:sz w:val="20"/>
          <w:szCs w:val="20"/>
        </w:rPr>
        <w:t xml:space="preserve"> of </w:t>
      </w:r>
      <w:proofErr w:type="spellStart"/>
      <w:r w:rsidRPr="004F1BBF">
        <w:rPr>
          <w:rFonts w:ascii="Times New Roman"/>
          <w:sz w:val="20"/>
          <w:szCs w:val="20"/>
        </w:rPr>
        <w:t>Trolox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equivalent</w:t>
      </w:r>
      <w:proofErr w:type="spellEnd"/>
      <w:r w:rsidRPr="004F1BBF">
        <w:rPr>
          <w:rFonts w:ascii="Times New Roman"/>
          <w:sz w:val="20"/>
          <w:szCs w:val="20"/>
        </w:rPr>
        <w:t xml:space="preserve"> per </w:t>
      </w:r>
      <w:proofErr w:type="spellStart"/>
      <w:r w:rsidRPr="004F1BBF">
        <w:rPr>
          <w:rFonts w:ascii="Times New Roman"/>
          <w:sz w:val="20"/>
          <w:szCs w:val="20"/>
        </w:rPr>
        <w:t>gram</w:t>
      </w:r>
      <w:proofErr w:type="spellEnd"/>
      <w:r w:rsidRPr="004F1BBF">
        <w:rPr>
          <w:rFonts w:ascii="Times New Roman"/>
          <w:sz w:val="20"/>
          <w:szCs w:val="20"/>
        </w:rPr>
        <w:t xml:space="preserve"> (</w:t>
      </w:r>
      <w:r w:rsidRPr="004F1BBF">
        <w:rPr>
          <w:rFonts w:ascii="Times New Roman"/>
          <w:sz w:val="20"/>
          <w:szCs w:val="20"/>
        </w:rPr>
        <w:t>µ</w:t>
      </w:r>
      <w:r w:rsidRPr="004F1BBF">
        <w:rPr>
          <w:rFonts w:ascii="Times New Roman"/>
          <w:sz w:val="20"/>
          <w:szCs w:val="20"/>
        </w:rPr>
        <w:t>mol TE/g).</w:t>
      </w:r>
    </w:p>
    <w:p w:rsidR="00260EFD" w:rsidRPr="004F1BBF" w:rsidRDefault="00260EFD" w:rsidP="00260EFD">
      <w:pPr>
        <w:spacing w:after="0" w:line="480" w:lineRule="auto"/>
        <w:ind w:firstLine="709"/>
        <w:jc w:val="both"/>
        <w:rPr>
          <w:rFonts w:ascii="Times New Roman"/>
          <w:sz w:val="20"/>
          <w:szCs w:val="20"/>
        </w:rPr>
      </w:pPr>
    </w:p>
    <w:p w:rsidR="00260EFD" w:rsidRPr="004F1BBF" w:rsidRDefault="00260EFD" w:rsidP="004F1BBF">
      <w:pPr>
        <w:pStyle w:val="PargrafodaLista"/>
        <w:numPr>
          <w:ilvl w:val="0"/>
          <w:numId w:val="4"/>
        </w:numPr>
        <w:spacing w:after="0" w:line="480" w:lineRule="auto"/>
        <w:jc w:val="both"/>
        <w:rPr>
          <w:rFonts w:ascii="Times New Roman"/>
          <w:b/>
          <w:sz w:val="20"/>
          <w:szCs w:val="20"/>
        </w:rPr>
      </w:pPr>
      <w:proofErr w:type="spellStart"/>
      <w:r w:rsidRPr="004F1BBF">
        <w:rPr>
          <w:rFonts w:ascii="Times New Roman"/>
          <w:b/>
          <w:sz w:val="20"/>
          <w:szCs w:val="20"/>
        </w:rPr>
        <w:t>Determination</w:t>
      </w:r>
      <w:proofErr w:type="spellEnd"/>
      <w:r w:rsidRPr="004F1BBF">
        <w:rPr>
          <w:rFonts w:ascii="Times New Roman"/>
          <w:b/>
          <w:sz w:val="20"/>
          <w:szCs w:val="20"/>
        </w:rPr>
        <w:t xml:space="preserve"> of </w:t>
      </w:r>
      <w:proofErr w:type="spellStart"/>
      <w:r w:rsidRPr="004F1BBF">
        <w:rPr>
          <w:rFonts w:ascii="Times New Roman"/>
          <w:b/>
          <w:sz w:val="20"/>
          <w:szCs w:val="20"/>
        </w:rPr>
        <w:t>antioxidant</w:t>
      </w:r>
      <w:proofErr w:type="spellEnd"/>
      <w:r w:rsidRPr="004F1BBF">
        <w:rPr>
          <w:rFonts w:ascii="Times New Roman"/>
          <w:b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b/>
          <w:sz w:val="20"/>
          <w:szCs w:val="20"/>
        </w:rPr>
        <w:t>potential</w:t>
      </w:r>
      <w:proofErr w:type="spellEnd"/>
      <w:r w:rsidRPr="004F1BBF">
        <w:rPr>
          <w:rFonts w:ascii="Times New Roman"/>
          <w:b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b/>
          <w:sz w:val="20"/>
          <w:szCs w:val="20"/>
        </w:rPr>
        <w:t>by</w:t>
      </w:r>
      <w:proofErr w:type="spellEnd"/>
      <w:r w:rsidRPr="004F1BBF">
        <w:rPr>
          <w:rFonts w:ascii="Times New Roman"/>
          <w:b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b/>
          <w:sz w:val="20"/>
          <w:szCs w:val="20"/>
        </w:rPr>
        <w:t>the</w:t>
      </w:r>
      <w:proofErr w:type="spellEnd"/>
      <w:r w:rsidRPr="004F1BBF">
        <w:rPr>
          <w:rFonts w:ascii="Times New Roman"/>
          <w:b/>
          <w:sz w:val="20"/>
          <w:szCs w:val="20"/>
        </w:rPr>
        <w:t xml:space="preserve"> DPPH radical </w:t>
      </w:r>
      <w:proofErr w:type="spellStart"/>
      <w:r w:rsidRPr="004F1BBF">
        <w:rPr>
          <w:rFonts w:ascii="Times New Roman"/>
          <w:b/>
          <w:sz w:val="20"/>
          <w:szCs w:val="20"/>
        </w:rPr>
        <w:t>scavenging</w:t>
      </w:r>
      <w:proofErr w:type="spellEnd"/>
      <w:r w:rsidRPr="004F1BBF">
        <w:rPr>
          <w:rFonts w:ascii="Times New Roman"/>
          <w:b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b/>
          <w:sz w:val="20"/>
          <w:szCs w:val="20"/>
        </w:rPr>
        <w:t>method</w:t>
      </w:r>
      <w:proofErr w:type="spellEnd"/>
    </w:p>
    <w:p w:rsidR="00260EFD" w:rsidRPr="004F1BBF" w:rsidRDefault="00260EFD" w:rsidP="00260EFD">
      <w:pPr>
        <w:spacing w:after="0" w:line="480" w:lineRule="auto"/>
        <w:ind w:firstLine="709"/>
        <w:jc w:val="both"/>
        <w:rPr>
          <w:rFonts w:ascii="Times New Roman"/>
          <w:sz w:val="20"/>
          <w:szCs w:val="20"/>
        </w:rPr>
      </w:pPr>
      <w:r w:rsidRPr="004F1BBF">
        <w:rPr>
          <w:rFonts w:ascii="Times New Roman"/>
          <w:sz w:val="20"/>
          <w:szCs w:val="20"/>
        </w:rPr>
        <w:t xml:space="preserve">The DPPH (1,1-diphenyl-2-picrylhydrazyl) radical </w:t>
      </w:r>
      <w:proofErr w:type="spellStart"/>
      <w:r w:rsidRPr="004F1BBF">
        <w:rPr>
          <w:rFonts w:ascii="Times New Roman"/>
          <w:sz w:val="20"/>
          <w:szCs w:val="20"/>
        </w:rPr>
        <w:t>scavenging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activity</w:t>
      </w:r>
      <w:proofErr w:type="spellEnd"/>
      <w:r w:rsidRPr="004F1BBF">
        <w:rPr>
          <w:rFonts w:ascii="Times New Roman"/>
          <w:sz w:val="20"/>
          <w:szCs w:val="20"/>
        </w:rPr>
        <w:t xml:space="preserve"> of </w:t>
      </w:r>
      <w:proofErr w:type="spellStart"/>
      <w:r w:rsidRPr="004F1BBF">
        <w:rPr>
          <w:rFonts w:ascii="Times New Roman"/>
          <w:sz w:val="20"/>
          <w:szCs w:val="20"/>
        </w:rPr>
        <w:t>antioxidants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quantified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using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Trolox</w:t>
      </w:r>
      <w:proofErr w:type="spellEnd"/>
      <w:r w:rsidRPr="004F1BBF">
        <w:rPr>
          <w:rFonts w:ascii="Times New Roman"/>
          <w:sz w:val="20"/>
          <w:szCs w:val="20"/>
        </w:rPr>
        <w:t xml:space="preserve"> as a </w:t>
      </w:r>
      <w:proofErr w:type="spellStart"/>
      <w:r w:rsidRPr="004F1BBF">
        <w:rPr>
          <w:rFonts w:ascii="Times New Roman"/>
          <w:sz w:val="20"/>
          <w:szCs w:val="20"/>
        </w:rPr>
        <w:t>reference</w:t>
      </w:r>
      <w:proofErr w:type="spellEnd"/>
      <w:r w:rsidRPr="004F1BBF">
        <w:rPr>
          <w:rFonts w:ascii="Times New Roman"/>
          <w:sz w:val="20"/>
          <w:szCs w:val="20"/>
        </w:rPr>
        <w:t xml:space="preserve"> standard [</w:t>
      </w:r>
      <w:r w:rsidR="004F1BBF" w:rsidRPr="004F1BBF">
        <w:rPr>
          <w:rFonts w:ascii="Times New Roman"/>
          <w:sz w:val="20"/>
          <w:szCs w:val="20"/>
        </w:rPr>
        <w:t>1</w:t>
      </w:r>
      <w:r w:rsidRPr="004F1BBF">
        <w:rPr>
          <w:rFonts w:ascii="Times New Roman"/>
          <w:sz w:val="20"/>
          <w:szCs w:val="20"/>
        </w:rPr>
        <w:t xml:space="preserve">, 3]. </w:t>
      </w:r>
      <w:proofErr w:type="spellStart"/>
      <w:r w:rsidRPr="004F1BBF">
        <w:rPr>
          <w:rFonts w:ascii="Times New Roman"/>
          <w:sz w:val="20"/>
          <w:szCs w:val="20"/>
        </w:rPr>
        <w:t>An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aliquot</w:t>
      </w:r>
      <w:proofErr w:type="spellEnd"/>
      <w:r w:rsidRPr="004F1BBF">
        <w:rPr>
          <w:rFonts w:ascii="Times New Roman"/>
          <w:sz w:val="20"/>
          <w:szCs w:val="20"/>
        </w:rPr>
        <w:t xml:space="preserve"> of 100 </w:t>
      </w:r>
      <w:proofErr w:type="spellStart"/>
      <w:r w:rsidRPr="004F1BBF">
        <w:rPr>
          <w:rFonts w:ascii="Times New Roman"/>
          <w:sz w:val="20"/>
          <w:szCs w:val="20"/>
        </w:rPr>
        <w:t>μ</w:t>
      </w:r>
      <w:r w:rsidRPr="004F1BBF">
        <w:rPr>
          <w:rFonts w:ascii="Times New Roman"/>
          <w:sz w:val="20"/>
          <w:szCs w:val="20"/>
        </w:rPr>
        <w:t>L</w:t>
      </w:r>
      <w:proofErr w:type="spellEnd"/>
      <w:r w:rsidRPr="004F1BBF">
        <w:rPr>
          <w:rFonts w:ascii="Times New Roman"/>
          <w:sz w:val="20"/>
          <w:szCs w:val="20"/>
        </w:rPr>
        <w:t xml:space="preserve"> of </w:t>
      </w:r>
      <w:proofErr w:type="spellStart"/>
      <w:r w:rsidRPr="004F1BBF">
        <w:rPr>
          <w:rFonts w:ascii="Times New Roman"/>
          <w:sz w:val="20"/>
          <w:szCs w:val="20"/>
        </w:rPr>
        <w:t>each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appropriately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diluted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sample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placed</w:t>
      </w:r>
      <w:proofErr w:type="spellEnd"/>
      <w:r w:rsidRPr="004F1BBF">
        <w:rPr>
          <w:rFonts w:ascii="Times New Roman"/>
          <w:sz w:val="20"/>
          <w:szCs w:val="20"/>
        </w:rPr>
        <w:t xml:space="preserve"> in a </w:t>
      </w:r>
      <w:proofErr w:type="spellStart"/>
      <w:r w:rsidRPr="004F1BBF">
        <w:rPr>
          <w:rFonts w:ascii="Times New Roman"/>
          <w:sz w:val="20"/>
          <w:szCs w:val="20"/>
        </w:rPr>
        <w:t>test</w:t>
      </w:r>
      <w:proofErr w:type="spellEnd"/>
      <w:r w:rsidRPr="004F1BBF">
        <w:rPr>
          <w:rFonts w:ascii="Times New Roman"/>
          <w:sz w:val="20"/>
          <w:szCs w:val="20"/>
        </w:rPr>
        <w:t xml:space="preserve"> tube </w:t>
      </w:r>
      <w:proofErr w:type="spellStart"/>
      <w:r w:rsidRPr="004F1BBF">
        <w:rPr>
          <w:rFonts w:ascii="Times New Roman"/>
          <w:sz w:val="20"/>
          <w:szCs w:val="20"/>
        </w:rPr>
        <w:t>containing</w:t>
      </w:r>
      <w:proofErr w:type="spellEnd"/>
      <w:r w:rsidRPr="004F1BBF">
        <w:rPr>
          <w:rFonts w:ascii="Times New Roman"/>
          <w:sz w:val="20"/>
          <w:szCs w:val="20"/>
        </w:rPr>
        <w:t xml:space="preserve"> 650 </w:t>
      </w:r>
      <w:proofErr w:type="spellStart"/>
      <w:r w:rsidRPr="004F1BBF">
        <w:rPr>
          <w:rFonts w:ascii="Times New Roman"/>
          <w:sz w:val="20"/>
          <w:szCs w:val="20"/>
        </w:rPr>
        <w:t>μ</w:t>
      </w:r>
      <w:r w:rsidRPr="004F1BBF">
        <w:rPr>
          <w:rFonts w:ascii="Times New Roman"/>
          <w:sz w:val="20"/>
          <w:szCs w:val="20"/>
        </w:rPr>
        <w:t>L</w:t>
      </w:r>
      <w:proofErr w:type="spellEnd"/>
      <w:r w:rsidRPr="004F1BBF">
        <w:rPr>
          <w:rFonts w:ascii="Times New Roman"/>
          <w:sz w:val="20"/>
          <w:szCs w:val="20"/>
        </w:rPr>
        <w:t xml:space="preserve"> of 0.10 mM DPPH </w:t>
      </w:r>
      <w:proofErr w:type="spellStart"/>
      <w:r w:rsidRPr="004F1BBF">
        <w:rPr>
          <w:rFonts w:ascii="Times New Roman"/>
          <w:sz w:val="20"/>
          <w:szCs w:val="20"/>
        </w:rPr>
        <w:t>solution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prepared</w:t>
      </w:r>
      <w:proofErr w:type="spellEnd"/>
      <w:r w:rsidRPr="004F1BBF">
        <w:rPr>
          <w:rFonts w:ascii="Times New Roman"/>
          <w:sz w:val="20"/>
          <w:szCs w:val="20"/>
        </w:rPr>
        <w:t xml:space="preserve"> in </w:t>
      </w:r>
      <w:proofErr w:type="spellStart"/>
      <w:r w:rsidRPr="004F1BBF">
        <w:rPr>
          <w:rFonts w:ascii="Times New Roman"/>
          <w:sz w:val="20"/>
          <w:szCs w:val="20"/>
        </w:rPr>
        <w:t>methanol</w:t>
      </w:r>
      <w:proofErr w:type="spellEnd"/>
      <w:r w:rsidRPr="004F1BBF">
        <w:rPr>
          <w:rFonts w:ascii="Times New Roman"/>
          <w:sz w:val="20"/>
          <w:szCs w:val="20"/>
        </w:rPr>
        <w:t xml:space="preserve">, </w:t>
      </w:r>
      <w:proofErr w:type="spellStart"/>
      <w:r w:rsidRPr="004F1BBF">
        <w:rPr>
          <w:rFonts w:ascii="Times New Roman"/>
          <w:sz w:val="20"/>
          <w:szCs w:val="20"/>
        </w:rPr>
        <w:t>manually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homogenized</w:t>
      </w:r>
      <w:proofErr w:type="spellEnd"/>
      <w:r w:rsidRPr="004F1BBF">
        <w:rPr>
          <w:rFonts w:ascii="Times New Roman"/>
          <w:sz w:val="20"/>
          <w:szCs w:val="20"/>
        </w:rPr>
        <w:t xml:space="preserve">, and </w:t>
      </w:r>
      <w:proofErr w:type="spellStart"/>
      <w:r w:rsidRPr="004F1BBF">
        <w:rPr>
          <w:rFonts w:ascii="Times New Roman"/>
          <w:sz w:val="20"/>
          <w:szCs w:val="20"/>
        </w:rPr>
        <w:t>kept</w:t>
      </w:r>
      <w:proofErr w:type="spellEnd"/>
      <w:r w:rsidRPr="004F1BBF">
        <w:rPr>
          <w:rFonts w:ascii="Times New Roman"/>
          <w:sz w:val="20"/>
          <w:szCs w:val="20"/>
        </w:rPr>
        <w:t xml:space="preserve"> in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dark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at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room</w:t>
      </w:r>
      <w:proofErr w:type="spellEnd"/>
      <w:r w:rsidRPr="004F1BBF">
        <w:rPr>
          <w:rFonts w:ascii="Times New Roman"/>
          <w:sz w:val="20"/>
          <w:szCs w:val="20"/>
        </w:rPr>
        <w:t xml:space="preserve"> temperature for 30 min. </w:t>
      </w:r>
      <w:proofErr w:type="spellStart"/>
      <w:r w:rsidRPr="004F1BBF">
        <w:rPr>
          <w:rFonts w:ascii="Times New Roman"/>
          <w:sz w:val="20"/>
          <w:szCs w:val="20"/>
        </w:rPr>
        <w:t>Absorbance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measured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at</w:t>
      </w:r>
      <w:proofErr w:type="spellEnd"/>
      <w:r w:rsidRPr="004F1BBF">
        <w:rPr>
          <w:rFonts w:ascii="Times New Roman"/>
          <w:sz w:val="20"/>
          <w:szCs w:val="20"/>
        </w:rPr>
        <w:t xml:space="preserve"> 517 nm </w:t>
      </w:r>
      <w:proofErr w:type="spellStart"/>
      <w:r w:rsidRPr="004F1BBF">
        <w:rPr>
          <w:rFonts w:ascii="Times New Roman"/>
          <w:sz w:val="20"/>
          <w:szCs w:val="20"/>
        </w:rPr>
        <w:t>using</w:t>
      </w:r>
      <w:proofErr w:type="spellEnd"/>
      <w:r w:rsidRPr="004F1BBF">
        <w:rPr>
          <w:rFonts w:ascii="Times New Roman"/>
          <w:sz w:val="20"/>
          <w:szCs w:val="20"/>
        </w:rPr>
        <w:t xml:space="preserve"> a </w:t>
      </w:r>
      <w:proofErr w:type="spellStart"/>
      <w:r w:rsidRPr="004F1BBF">
        <w:rPr>
          <w:rFonts w:ascii="Times New Roman"/>
          <w:sz w:val="20"/>
          <w:szCs w:val="20"/>
        </w:rPr>
        <w:t>spectrophotometer</w:t>
      </w:r>
      <w:proofErr w:type="spellEnd"/>
      <w:r w:rsidRPr="004F1BBF">
        <w:rPr>
          <w:rFonts w:ascii="Times New Roman"/>
          <w:sz w:val="20"/>
          <w:szCs w:val="20"/>
        </w:rPr>
        <w:t xml:space="preserve">, and </w:t>
      </w:r>
      <w:proofErr w:type="spellStart"/>
      <w:r w:rsidRPr="004F1BBF">
        <w:rPr>
          <w:rFonts w:ascii="Times New Roman"/>
          <w:sz w:val="20"/>
          <w:szCs w:val="20"/>
        </w:rPr>
        <w:t>antioxidant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activity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calculated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based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on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regression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equation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obtained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from</w:t>
      </w:r>
      <w:proofErr w:type="spellEnd"/>
      <w:r w:rsidRPr="004F1BBF">
        <w:rPr>
          <w:rFonts w:ascii="Times New Roman"/>
          <w:sz w:val="20"/>
          <w:szCs w:val="20"/>
        </w:rPr>
        <w:t xml:space="preserve"> a </w:t>
      </w:r>
      <w:proofErr w:type="spellStart"/>
      <w:r w:rsidRPr="004F1BBF">
        <w:rPr>
          <w:rFonts w:ascii="Times New Roman"/>
          <w:sz w:val="20"/>
          <w:szCs w:val="20"/>
        </w:rPr>
        <w:t>calibration</w:t>
      </w:r>
      <w:proofErr w:type="spellEnd"/>
      <w:r w:rsidRPr="004F1BBF">
        <w:rPr>
          <w:rFonts w:ascii="Times New Roman"/>
          <w:sz w:val="20"/>
          <w:szCs w:val="20"/>
        </w:rPr>
        <w:t xml:space="preserve"> curve </w:t>
      </w:r>
      <w:proofErr w:type="spellStart"/>
      <w:r w:rsidRPr="004F1BBF">
        <w:rPr>
          <w:rFonts w:ascii="Times New Roman"/>
          <w:sz w:val="20"/>
          <w:szCs w:val="20"/>
        </w:rPr>
        <w:t>constructed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with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seven</w:t>
      </w:r>
      <w:proofErr w:type="spellEnd"/>
      <w:r w:rsidRPr="004F1BBF">
        <w:rPr>
          <w:rFonts w:ascii="Times New Roman"/>
          <w:sz w:val="20"/>
          <w:szCs w:val="20"/>
        </w:rPr>
        <w:t xml:space="preserve"> points </w:t>
      </w:r>
      <w:proofErr w:type="spellStart"/>
      <w:r w:rsidRPr="004F1BBF">
        <w:rPr>
          <w:rFonts w:ascii="Times New Roman"/>
          <w:sz w:val="20"/>
          <w:szCs w:val="20"/>
        </w:rPr>
        <w:t>corresponding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to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different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concentrations</w:t>
      </w:r>
      <w:proofErr w:type="spellEnd"/>
      <w:r w:rsidRPr="004F1BBF">
        <w:rPr>
          <w:rFonts w:ascii="Times New Roman"/>
          <w:sz w:val="20"/>
          <w:szCs w:val="20"/>
        </w:rPr>
        <w:t xml:space="preserve"> of </w:t>
      </w:r>
      <w:proofErr w:type="spellStart"/>
      <w:r w:rsidRPr="004F1BBF">
        <w:rPr>
          <w:rFonts w:ascii="Times New Roman"/>
          <w:sz w:val="20"/>
          <w:szCs w:val="20"/>
        </w:rPr>
        <w:t>Trolox</w:t>
      </w:r>
      <w:proofErr w:type="spellEnd"/>
      <w:r w:rsidRPr="004F1BBF">
        <w:rPr>
          <w:rFonts w:ascii="Times New Roman"/>
          <w:sz w:val="20"/>
          <w:szCs w:val="20"/>
        </w:rPr>
        <w:t xml:space="preserve"> (1</w:t>
      </w:r>
      <w:r w:rsidRPr="004F1BBF">
        <w:rPr>
          <w:rFonts w:ascii="Times New Roman"/>
          <w:sz w:val="20"/>
          <w:szCs w:val="20"/>
        </w:rPr>
        <w:t>–</w:t>
      </w:r>
      <w:r w:rsidRPr="004F1BBF">
        <w:rPr>
          <w:rFonts w:ascii="Times New Roman"/>
          <w:sz w:val="20"/>
          <w:szCs w:val="20"/>
        </w:rPr>
        <w:t xml:space="preserve">14.7 </w:t>
      </w:r>
      <w:proofErr w:type="spellStart"/>
      <w:r w:rsidRPr="004F1BBF">
        <w:rPr>
          <w:rFonts w:ascii="Times New Roman"/>
          <w:sz w:val="20"/>
          <w:szCs w:val="20"/>
        </w:rPr>
        <w:t>nmol</w:t>
      </w:r>
      <w:proofErr w:type="spellEnd"/>
      <w:r w:rsidRPr="004F1BBF">
        <w:rPr>
          <w:rFonts w:ascii="Times New Roman"/>
          <w:sz w:val="20"/>
          <w:szCs w:val="20"/>
        </w:rPr>
        <w:t xml:space="preserve">/mL) and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DPPH radical </w:t>
      </w:r>
      <w:proofErr w:type="spellStart"/>
      <w:r w:rsidRPr="004F1BBF">
        <w:rPr>
          <w:rFonts w:ascii="Times New Roman"/>
          <w:sz w:val="20"/>
          <w:szCs w:val="20"/>
        </w:rPr>
        <w:t>scavenging</w:t>
      </w:r>
      <w:proofErr w:type="spellEnd"/>
      <w:r w:rsidRPr="004F1BBF">
        <w:rPr>
          <w:rFonts w:ascii="Times New Roman"/>
          <w:sz w:val="20"/>
          <w:szCs w:val="20"/>
        </w:rPr>
        <w:t xml:space="preserve"> rate. </w:t>
      </w:r>
      <w:proofErr w:type="spellStart"/>
      <w:r w:rsidRPr="004F1BBF">
        <w:rPr>
          <w:rFonts w:ascii="Times New Roman"/>
          <w:sz w:val="20"/>
          <w:szCs w:val="20"/>
        </w:rPr>
        <w:t>Two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blank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solutions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were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prepared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by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replacing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sample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aliquot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with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water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while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maintaining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DPPH </w:t>
      </w:r>
      <w:proofErr w:type="spellStart"/>
      <w:r w:rsidRPr="004F1BBF">
        <w:rPr>
          <w:rFonts w:ascii="Times New Roman"/>
          <w:sz w:val="20"/>
          <w:szCs w:val="20"/>
        </w:rPr>
        <w:t>solution</w:t>
      </w:r>
      <w:proofErr w:type="spellEnd"/>
      <w:r w:rsidRPr="004F1BBF">
        <w:rPr>
          <w:rFonts w:ascii="Times New Roman"/>
          <w:sz w:val="20"/>
          <w:szCs w:val="20"/>
        </w:rPr>
        <w:t xml:space="preserve">. </w:t>
      </w:r>
      <w:proofErr w:type="spellStart"/>
      <w:r w:rsidRPr="004F1BBF">
        <w:rPr>
          <w:rFonts w:ascii="Times New Roman"/>
          <w:sz w:val="20"/>
          <w:szCs w:val="20"/>
        </w:rPr>
        <w:t>Absorbance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values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obtained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lastRenderedPageBreak/>
        <w:t>from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each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sample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were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corrected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by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subtracting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corresponding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blank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solution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readings</w:t>
      </w:r>
      <w:proofErr w:type="spellEnd"/>
      <w:r w:rsidRPr="004F1BBF">
        <w:rPr>
          <w:rFonts w:ascii="Times New Roman"/>
          <w:sz w:val="20"/>
          <w:szCs w:val="20"/>
        </w:rPr>
        <w:t xml:space="preserve">, </w:t>
      </w:r>
      <w:proofErr w:type="spellStart"/>
      <w:r w:rsidRPr="004F1BBF">
        <w:rPr>
          <w:rFonts w:ascii="Times New Roman"/>
          <w:sz w:val="20"/>
          <w:szCs w:val="20"/>
        </w:rPr>
        <w:t>which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exhibited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highest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absorbance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values</w:t>
      </w:r>
      <w:proofErr w:type="spellEnd"/>
      <w:r w:rsidRPr="004F1BBF">
        <w:rPr>
          <w:rFonts w:ascii="Times New Roman"/>
          <w:sz w:val="20"/>
          <w:szCs w:val="20"/>
        </w:rPr>
        <w:t xml:space="preserve">. </w:t>
      </w:r>
      <w:proofErr w:type="spellStart"/>
      <w:r w:rsidRPr="004F1BBF">
        <w:rPr>
          <w:rFonts w:ascii="Times New Roman"/>
          <w:sz w:val="20"/>
          <w:szCs w:val="20"/>
        </w:rPr>
        <w:t>Results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were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expressed</w:t>
      </w:r>
      <w:proofErr w:type="spellEnd"/>
      <w:r w:rsidRPr="004F1BBF">
        <w:rPr>
          <w:rFonts w:ascii="Times New Roman"/>
          <w:sz w:val="20"/>
          <w:szCs w:val="20"/>
        </w:rPr>
        <w:t xml:space="preserve"> as </w:t>
      </w:r>
      <w:proofErr w:type="spellStart"/>
      <w:r w:rsidRPr="004F1BBF">
        <w:rPr>
          <w:rFonts w:ascii="Times New Roman"/>
          <w:sz w:val="20"/>
          <w:szCs w:val="20"/>
        </w:rPr>
        <w:t>micromoles</w:t>
      </w:r>
      <w:proofErr w:type="spellEnd"/>
      <w:r w:rsidRPr="004F1BBF">
        <w:rPr>
          <w:rFonts w:ascii="Times New Roman"/>
          <w:sz w:val="20"/>
          <w:szCs w:val="20"/>
        </w:rPr>
        <w:t xml:space="preserve"> of </w:t>
      </w:r>
      <w:proofErr w:type="spellStart"/>
      <w:r w:rsidRPr="004F1BBF">
        <w:rPr>
          <w:rFonts w:ascii="Times New Roman"/>
          <w:sz w:val="20"/>
          <w:szCs w:val="20"/>
        </w:rPr>
        <w:t>Trolox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equivalent</w:t>
      </w:r>
      <w:proofErr w:type="spellEnd"/>
      <w:r w:rsidRPr="004F1BBF">
        <w:rPr>
          <w:rFonts w:ascii="Times New Roman"/>
          <w:sz w:val="20"/>
          <w:szCs w:val="20"/>
        </w:rPr>
        <w:t xml:space="preserve"> per </w:t>
      </w:r>
      <w:proofErr w:type="spellStart"/>
      <w:r w:rsidRPr="004F1BBF">
        <w:rPr>
          <w:rFonts w:ascii="Times New Roman"/>
          <w:sz w:val="20"/>
          <w:szCs w:val="20"/>
        </w:rPr>
        <w:t>gram</w:t>
      </w:r>
      <w:proofErr w:type="spellEnd"/>
      <w:r w:rsidRPr="004F1BBF">
        <w:rPr>
          <w:rFonts w:ascii="Times New Roman"/>
          <w:sz w:val="20"/>
          <w:szCs w:val="20"/>
        </w:rPr>
        <w:t xml:space="preserve"> (</w:t>
      </w:r>
      <w:r w:rsidRPr="004F1BBF">
        <w:rPr>
          <w:rFonts w:ascii="Times New Roman"/>
          <w:sz w:val="20"/>
          <w:szCs w:val="20"/>
        </w:rPr>
        <w:t>µ</w:t>
      </w:r>
      <w:r w:rsidRPr="004F1BBF">
        <w:rPr>
          <w:rFonts w:ascii="Times New Roman"/>
          <w:sz w:val="20"/>
          <w:szCs w:val="20"/>
        </w:rPr>
        <w:t>mol TE/g).</w:t>
      </w:r>
    </w:p>
    <w:p w:rsidR="00260EFD" w:rsidRPr="004F1BBF" w:rsidRDefault="00260EFD" w:rsidP="00260EFD">
      <w:pPr>
        <w:spacing w:after="0" w:line="480" w:lineRule="auto"/>
        <w:ind w:firstLine="709"/>
        <w:jc w:val="both"/>
        <w:rPr>
          <w:rFonts w:ascii="Times New Roman"/>
          <w:sz w:val="20"/>
          <w:szCs w:val="20"/>
        </w:rPr>
      </w:pPr>
    </w:p>
    <w:p w:rsidR="00260EFD" w:rsidRPr="004F1BBF" w:rsidRDefault="00260EFD" w:rsidP="004F1BBF">
      <w:pPr>
        <w:pStyle w:val="PargrafodaLista"/>
        <w:numPr>
          <w:ilvl w:val="0"/>
          <w:numId w:val="4"/>
        </w:numPr>
        <w:spacing w:after="0" w:line="480" w:lineRule="auto"/>
        <w:jc w:val="both"/>
        <w:rPr>
          <w:rFonts w:ascii="Times New Roman"/>
          <w:b/>
          <w:sz w:val="20"/>
          <w:szCs w:val="20"/>
        </w:rPr>
      </w:pPr>
      <w:proofErr w:type="spellStart"/>
      <w:r w:rsidRPr="004F1BBF">
        <w:rPr>
          <w:rFonts w:ascii="Times New Roman"/>
          <w:b/>
          <w:sz w:val="20"/>
          <w:szCs w:val="20"/>
        </w:rPr>
        <w:t>Determination</w:t>
      </w:r>
      <w:proofErr w:type="spellEnd"/>
      <w:r w:rsidRPr="004F1BBF">
        <w:rPr>
          <w:rFonts w:ascii="Times New Roman"/>
          <w:b/>
          <w:sz w:val="20"/>
          <w:szCs w:val="20"/>
        </w:rPr>
        <w:t xml:space="preserve"> of total </w:t>
      </w:r>
      <w:proofErr w:type="spellStart"/>
      <w:r w:rsidRPr="004F1BBF">
        <w:rPr>
          <w:rFonts w:ascii="Times New Roman"/>
          <w:b/>
          <w:sz w:val="20"/>
          <w:szCs w:val="20"/>
        </w:rPr>
        <w:t>phenolic</w:t>
      </w:r>
      <w:proofErr w:type="spellEnd"/>
      <w:r w:rsidRPr="004F1BBF">
        <w:rPr>
          <w:rFonts w:ascii="Times New Roman"/>
          <w:b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b/>
          <w:sz w:val="20"/>
          <w:szCs w:val="20"/>
        </w:rPr>
        <w:t>content</w:t>
      </w:r>
      <w:proofErr w:type="spellEnd"/>
      <w:r w:rsidRPr="004F1BBF">
        <w:rPr>
          <w:rFonts w:ascii="Times New Roman"/>
          <w:b/>
          <w:sz w:val="20"/>
          <w:szCs w:val="20"/>
        </w:rPr>
        <w:t xml:space="preserve"> (TPC)</w:t>
      </w:r>
    </w:p>
    <w:p w:rsidR="00260EFD" w:rsidRPr="004F1BBF" w:rsidRDefault="00260EFD" w:rsidP="00260EFD">
      <w:pPr>
        <w:spacing w:after="0" w:line="480" w:lineRule="auto"/>
        <w:ind w:firstLine="709"/>
        <w:jc w:val="both"/>
        <w:rPr>
          <w:rFonts w:ascii="Times New Roman"/>
          <w:sz w:val="20"/>
          <w:szCs w:val="20"/>
        </w:rPr>
      </w:pPr>
      <w:r w:rsidRPr="004F1BBF">
        <w:rPr>
          <w:rFonts w:ascii="Times New Roman"/>
          <w:sz w:val="20"/>
          <w:szCs w:val="20"/>
        </w:rPr>
        <w:t xml:space="preserve">The total </w:t>
      </w:r>
      <w:proofErr w:type="spellStart"/>
      <w:r w:rsidRPr="004F1BBF">
        <w:rPr>
          <w:rFonts w:ascii="Times New Roman"/>
          <w:sz w:val="20"/>
          <w:szCs w:val="20"/>
        </w:rPr>
        <w:t>phenolic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content</w:t>
      </w:r>
      <w:proofErr w:type="spellEnd"/>
      <w:r w:rsidRPr="004F1BBF">
        <w:rPr>
          <w:rFonts w:ascii="Times New Roman"/>
          <w:sz w:val="20"/>
          <w:szCs w:val="20"/>
        </w:rPr>
        <w:t xml:space="preserve"> of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samples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determined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according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to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method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described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by</w:t>
      </w:r>
      <w:proofErr w:type="spellEnd"/>
      <w:r w:rsidRPr="004F1BBF">
        <w:rPr>
          <w:rFonts w:ascii="Times New Roman"/>
          <w:sz w:val="20"/>
          <w:szCs w:val="20"/>
        </w:rPr>
        <w:t xml:space="preserve"> Salvador-Reyes et al. [</w:t>
      </w:r>
      <w:r w:rsidR="004F1BBF" w:rsidRPr="004F1BBF">
        <w:rPr>
          <w:rFonts w:ascii="Times New Roman"/>
          <w:sz w:val="20"/>
          <w:szCs w:val="20"/>
        </w:rPr>
        <w:t>1</w:t>
      </w:r>
      <w:r w:rsidRPr="004F1BBF">
        <w:rPr>
          <w:rFonts w:ascii="Times New Roman"/>
          <w:sz w:val="20"/>
          <w:szCs w:val="20"/>
        </w:rPr>
        <w:t xml:space="preserve">], </w:t>
      </w:r>
      <w:proofErr w:type="spellStart"/>
      <w:r w:rsidRPr="004F1BBF">
        <w:rPr>
          <w:rFonts w:ascii="Times New Roman"/>
          <w:sz w:val="20"/>
          <w:szCs w:val="20"/>
        </w:rPr>
        <w:t>based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on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Folin</w:t>
      </w:r>
      <w:proofErr w:type="spellEnd"/>
      <w:r w:rsidRPr="004F1BBF">
        <w:rPr>
          <w:rFonts w:ascii="Times New Roman"/>
          <w:sz w:val="20"/>
          <w:szCs w:val="20"/>
        </w:rPr>
        <w:t xml:space="preserve"> and Denis [4]. </w:t>
      </w:r>
      <w:proofErr w:type="spellStart"/>
      <w:r w:rsidRPr="004F1BBF">
        <w:rPr>
          <w:rFonts w:ascii="Times New Roman"/>
          <w:sz w:val="20"/>
          <w:szCs w:val="20"/>
        </w:rPr>
        <w:t>An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aliquot</w:t>
      </w:r>
      <w:proofErr w:type="spellEnd"/>
      <w:r w:rsidRPr="004F1BBF">
        <w:rPr>
          <w:rFonts w:ascii="Times New Roman"/>
          <w:sz w:val="20"/>
          <w:szCs w:val="20"/>
        </w:rPr>
        <w:t xml:space="preserve"> of 160 </w:t>
      </w:r>
      <w:r w:rsidRPr="004F1BBF">
        <w:rPr>
          <w:rFonts w:ascii="Times New Roman"/>
          <w:sz w:val="20"/>
          <w:szCs w:val="20"/>
        </w:rPr>
        <w:t>µ</w:t>
      </w:r>
      <w:r w:rsidRPr="004F1BBF">
        <w:rPr>
          <w:rFonts w:ascii="Times New Roman"/>
          <w:sz w:val="20"/>
          <w:szCs w:val="20"/>
        </w:rPr>
        <w:t xml:space="preserve">L of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properly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diluted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sample</w:t>
      </w:r>
      <w:proofErr w:type="spellEnd"/>
      <w:r w:rsidRPr="004F1BBF">
        <w:rPr>
          <w:rFonts w:ascii="Times New Roman"/>
          <w:sz w:val="20"/>
          <w:szCs w:val="20"/>
        </w:rPr>
        <w:t xml:space="preserve">, </w:t>
      </w:r>
      <w:proofErr w:type="spellStart"/>
      <w:r w:rsidRPr="004F1BBF">
        <w:rPr>
          <w:rFonts w:ascii="Times New Roman"/>
          <w:sz w:val="20"/>
          <w:szCs w:val="20"/>
        </w:rPr>
        <w:t>obtained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from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extract</w:t>
      </w:r>
      <w:proofErr w:type="spellEnd"/>
      <w:r w:rsidRPr="004F1BBF">
        <w:rPr>
          <w:rFonts w:ascii="Times New Roman"/>
          <w:sz w:val="20"/>
          <w:szCs w:val="20"/>
        </w:rPr>
        <w:t xml:space="preserve">,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added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to</w:t>
      </w:r>
      <w:proofErr w:type="spellEnd"/>
      <w:r w:rsidRPr="004F1BBF">
        <w:rPr>
          <w:rFonts w:ascii="Times New Roman"/>
          <w:sz w:val="20"/>
          <w:szCs w:val="20"/>
        </w:rPr>
        <w:t xml:space="preserve"> a </w:t>
      </w:r>
      <w:proofErr w:type="spellStart"/>
      <w:r w:rsidRPr="004F1BBF">
        <w:rPr>
          <w:rFonts w:ascii="Times New Roman"/>
          <w:sz w:val="20"/>
          <w:szCs w:val="20"/>
        </w:rPr>
        <w:t>test</w:t>
      </w:r>
      <w:proofErr w:type="spellEnd"/>
      <w:r w:rsidRPr="004F1BBF">
        <w:rPr>
          <w:rFonts w:ascii="Times New Roman"/>
          <w:sz w:val="20"/>
          <w:szCs w:val="20"/>
        </w:rPr>
        <w:t xml:space="preserve"> tube </w:t>
      </w:r>
      <w:proofErr w:type="spellStart"/>
      <w:r w:rsidRPr="004F1BBF">
        <w:rPr>
          <w:rFonts w:ascii="Times New Roman"/>
          <w:sz w:val="20"/>
          <w:szCs w:val="20"/>
        </w:rPr>
        <w:t>containing</w:t>
      </w:r>
      <w:proofErr w:type="spellEnd"/>
      <w:r w:rsidRPr="004F1BBF">
        <w:rPr>
          <w:rFonts w:ascii="Times New Roman"/>
          <w:sz w:val="20"/>
          <w:szCs w:val="20"/>
        </w:rPr>
        <w:t xml:space="preserve"> 80 </w:t>
      </w:r>
      <w:r w:rsidRPr="004F1BBF">
        <w:rPr>
          <w:rFonts w:ascii="Times New Roman"/>
          <w:sz w:val="20"/>
          <w:szCs w:val="20"/>
        </w:rPr>
        <w:t>µ</w:t>
      </w:r>
      <w:r w:rsidRPr="004F1BBF">
        <w:rPr>
          <w:rFonts w:ascii="Times New Roman"/>
          <w:sz w:val="20"/>
          <w:szCs w:val="20"/>
        </w:rPr>
        <w:t xml:space="preserve">L of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Folin</w:t>
      </w:r>
      <w:proofErr w:type="spellEnd"/>
      <w:r w:rsidRPr="004F1BBF">
        <w:rPr>
          <w:rFonts w:ascii="Times New Roman"/>
          <w:sz w:val="20"/>
          <w:szCs w:val="20"/>
        </w:rPr>
        <w:t>–</w:t>
      </w:r>
      <w:proofErr w:type="spellStart"/>
      <w:r w:rsidRPr="004F1BBF">
        <w:rPr>
          <w:rFonts w:ascii="Times New Roman"/>
          <w:sz w:val="20"/>
          <w:szCs w:val="20"/>
        </w:rPr>
        <w:t>Ciocalteu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reagent</w:t>
      </w:r>
      <w:proofErr w:type="spellEnd"/>
      <w:r w:rsidRPr="004F1BBF">
        <w:rPr>
          <w:rFonts w:ascii="Times New Roman"/>
          <w:sz w:val="20"/>
          <w:szCs w:val="20"/>
        </w:rPr>
        <w:t xml:space="preserve"> and </w:t>
      </w:r>
      <w:proofErr w:type="spellStart"/>
      <w:r w:rsidRPr="004F1BBF">
        <w:rPr>
          <w:rFonts w:ascii="Times New Roman"/>
          <w:sz w:val="20"/>
          <w:szCs w:val="20"/>
        </w:rPr>
        <w:t>manually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agitated</w:t>
      </w:r>
      <w:proofErr w:type="spellEnd"/>
      <w:r w:rsidRPr="004F1BBF">
        <w:rPr>
          <w:rFonts w:ascii="Times New Roman"/>
          <w:sz w:val="20"/>
          <w:szCs w:val="20"/>
        </w:rPr>
        <w:t xml:space="preserve"> for 10 s. </w:t>
      </w:r>
      <w:proofErr w:type="spellStart"/>
      <w:r w:rsidRPr="004F1BBF">
        <w:rPr>
          <w:rFonts w:ascii="Times New Roman"/>
          <w:sz w:val="20"/>
          <w:szCs w:val="20"/>
        </w:rPr>
        <w:t>Subsequently</w:t>
      </w:r>
      <w:proofErr w:type="spellEnd"/>
      <w:r w:rsidRPr="004F1BBF">
        <w:rPr>
          <w:rFonts w:ascii="Times New Roman"/>
          <w:sz w:val="20"/>
          <w:szCs w:val="20"/>
        </w:rPr>
        <w:t xml:space="preserve">, 640 </w:t>
      </w:r>
      <w:r w:rsidRPr="004F1BBF">
        <w:rPr>
          <w:rFonts w:ascii="Times New Roman"/>
          <w:sz w:val="20"/>
          <w:szCs w:val="20"/>
        </w:rPr>
        <w:t>µ</w:t>
      </w:r>
      <w:r w:rsidRPr="004F1BBF">
        <w:rPr>
          <w:rFonts w:ascii="Times New Roman"/>
          <w:sz w:val="20"/>
          <w:szCs w:val="20"/>
        </w:rPr>
        <w:t xml:space="preserve">L of </w:t>
      </w:r>
      <w:proofErr w:type="spellStart"/>
      <w:r w:rsidRPr="004F1BBF">
        <w:rPr>
          <w:rFonts w:ascii="Times New Roman"/>
          <w:sz w:val="20"/>
          <w:szCs w:val="20"/>
        </w:rPr>
        <w:t>Na</w:t>
      </w:r>
      <w:r w:rsidRPr="004F1BBF">
        <w:rPr>
          <w:rFonts w:ascii="Times New Roman"/>
          <w:sz w:val="20"/>
          <w:szCs w:val="20"/>
        </w:rPr>
        <w:t>₂</w:t>
      </w:r>
      <w:r w:rsidRPr="004F1BBF">
        <w:rPr>
          <w:rFonts w:ascii="Times New Roman"/>
          <w:sz w:val="20"/>
          <w:szCs w:val="20"/>
        </w:rPr>
        <w:t>CO</w:t>
      </w:r>
      <w:proofErr w:type="spellEnd"/>
      <w:r w:rsidRPr="004F1BBF">
        <w:rPr>
          <w:rFonts w:ascii="Times New Roman"/>
          <w:sz w:val="20"/>
          <w:szCs w:val="20"/>
        </w:rPr>
        <w:t>₃</w:t>
      </w:r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solution</w:t>
      </w:r>
      <w:proofErr w:type="spellEnd"/>
      <w:r w:rsidRPr="004F1BBF">
        <w:rPr>
          <w:rFonts w:ascii="Times New Roman"/>
          <w:sz w:val="20"/>
          <w:szCs w:val="20"/>
        </w:rPr>
        <w:t xml:space="preserve"> (7.5% w/v)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added</w:t>
      </w:r>
      <w:proofErr w:type="spellEnd"/>
      <w:r w:rsidRPr="004F1BBF">
        <w:rPr>
          <w:rFonts w:ascii="Times New Roman"/>
          <w:sz w:val="20"/>
          <w:szCs w:val="20"/>
        </w:rPr>
        <w:t xml:space="preserve">, and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mixture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incubated</w:t>
      </w:r>
      <w:proofErr w:type="spellEnd"/>
      <w:r w:rsidRPr="004F1BBF">
        <w:rPr>
          <w:rFonts w:ascii="Times New Roman"/>
          <w:sz w:val="20"/>
          <w:szCs w:val="20"/>
        </w:rPr>
        <w:t xml:space="preserve"> in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dark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at</w:t>
      </w:r>
      <w:proofErr w:type="spellEnd"/>
      <w:r w:rsidRPr="004F1BBF">
        <w:rPr>
          <w:rFonts w:ascii="Times New Roman"/>
          <w:sz w:val="20"/>
          <w:szCs w:val="20"/>
        </w:rPr>
        <w:t xml:space="preserve"> 25 </w:t>
      </w:r>
      <w:r w:rsidRPr="004F1BBF">
        <w:rPr>
          <w:rFonts w:ascii="Times New Roman"/>
          <w:sz w:val="20"/>
          <w:szCs w:val="20"/>
        </w:rPr>
        <w:t>°</w:t>
      </w:r>
      <w:r w:rsidRPr="004F1BBF">
        <w:rPr>
          <w:rFonts w:ascii="Times New Roman"/>
          <w:sz w:val="20"/>
          <w:szCs w:val="20"/>
        </w:rPr>
        <w:t xml:space="preserve">C for 30 min. </w:t>
      </w:r>
      <w:proofErr w:type="spellStart"/>
      <w:r w:rsidRPr="004F1BBF">
        <w:rPr>
          <w:rFonts w:ascii="Times New Roman"/>
          <w:sz w:val="20"/>
          <w:szCs w:val="20"/>
        </w:rPr>
        <w:t>Absorbance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measured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at</w:t>
      </w:r>
      <w:proofErr w:type="spellEnd"/>
      <w:r w:rsidRPr="004F1BBF">
        <w:rPr>
          <w:rFonts w:ascii="Times New Roman"/>
          <w:sz w:val="20"/>
          <w:szCs w:val="20"/>
        </w:rPr>
        <w:t xml:space="preserve"> 756 nm </w:t>
      </w:r>
      <w:proofErr w:type="spellStart"/>
      <w:r w:rsidRPr="004F1BBF">
        <w:rPr>
          <w:rFonts w:ascii="Times New Roman"/>
          <w:sz w:val="20"/>
          <w:szCs w:val="20"/>
        </w:rPr>
        <w:t>using</w:t>
      </w:r>
      <w:proofErr w:type="spellEnd"/>
      <w:r w:rsidRPr="004F1BBF">
        <w:rPr>
          <w:rFonts w:ascii="Times New Roman"/>
          <w:sz w:val="20"/>
          <w:szCs w:val="20"/>
        </w:rPr>
        <w:t xml:space="preserve"> a </w:t>
      </w:r>
      <w:proofErr w:type="spellStart"/>
      <w:r w:rsidRPr="004F1BBF">
        <w:rPr>
          <w:rFonts w:ascii="Times New Roman"/>
          <w:sz w:val="20"/>
          <w:szCs w:val="20"/>
        </w:rPr>
        <w:t>spectrophotometer</w:t>
      </w:r>
      <w:proofErr w:type="spellEnd"/>
      <w:r w:rsidRPr="004F1BBF">
        <w:rPr>
          <w:rFonts w:ascii="Times New Roman"/>
          <w:sz w:val="20"/>
          <w:szCs w:val="20"/>
        </w:rPr>
        <w:t xml:space="preserve">. </w:t>
      </w:r>
      <w:proofErr w:type="spellStart"/>
      <w:r w:rsidRPr="004F1BBF">
        <w:rPr>
          <w:rFonts w:ascii="Times New Roman"/>
          <w:sz w:val="20"/>
          <w:szCs w:val="20"/>
        </w:rPr>
        <w:t>Quantification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performed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using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linear </w:t>
      </w:r>
      <w:proofErr w:type="spellStart"/>
      <w:r w:rsidRPr="004F1BBF">
        <w:rPr>
          <w:rFonts w:ascii="Times New Roman"/>
          <w:sz w:val="20"/>
          <w:szCs w:val="20"/>
        </w:rPr>
        <w:t>regression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equation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obtained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from</w:t>
      </w:r>
      <w:proofErr w:type="spellEnd"/>
      <w:r w:rsidRPr="004F1BBF">
        <w:rPr>
          <w:rFonts w:ascii="Times New Roman"/>
          <w:sz w:val="20"/>
          <w:szCs w:val="20"/>
        </w:rPr>
        <w:t xml:space="preserve"> a standard curve </w:t>
      </w:r>
      <w:proofErr w:type="spellStart"/>
      <w:r w:rsidRPr="004F1BBF">
        <w:rPr>
          <w:rFonts w:ascii="Times New Roman"/>
          <w:sz w:val="20"/>
          <w:szCs w:val="20"/>
        </w:rPr>
        <w:t>constructed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with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seven</w:t>
      </w:r>
      <w:proofErr w:type="spellEnd"/>
      <w:r w:rsidRPr="004F1BBF">
        <w:rPr>
          <w:rFonts w:ascii="Times New Roman"/>
          <w:sz w:val="20"/>
          <w:szCs w:val="20"/>
        </w:rPr>
        <w:t xml:space="preserve"> points, </w:t>
      </w:r>
      <w:proofErr w:type="spellStart"/>
      <w:r w:rsidRPr="004F1BBF">
        <w:rPr>
          <w:rFonts w:ascii="Times New Roman"/>
          <w:sz w:val="20"/>
          <w:szCs w:val="20"/>
        </w:rPr>
        <w:t>corresponding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to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different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concentrations</w:t>
      </w:r>
      <w:proofErr w:type="spellEnd"/>
      <w:r w:rsidRPr="004F1BBF">
        <w:rPr>
          <w:rFonts w:ascii="Times New Roman"/>
          <w:sz w:val="20"/>
          <w:szCs w:val="20"/>
        </w:rPr>
        <w:t xml:space="preserve"> of </w:t>
      </w:r>
      <w:proofErr w:type="spellStart"/>
      <w:r w:rsidRPr="004F1BBF">
        <w:rPr>
          <w:rFonts w:ascii="Times New Roman"/>
          <w:sz w:val="20"/>
          <w:szCs w:val="20"/>
        </w:rPr>
        <w:t>gallic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acid</w:t>
      </w:r>
      <w:proofErr w:type="spellEnd"/>
      <w:r w:rsidRPr="004F1BBF">
        <w:rPr>
          <w:rFonts w:ascii="Times New Roman"/>
          <w:sz w:val="20"/>
          <w:szCs w:val="20"/>
        </w:rPr>
        <w:t xml:space="preserve"> standard (1</w:t>
      </w:r>
      <w:r w:rsidRPr="004F1BBF">
        <w:rPr>
          <w:rFonts w:ascii="Times New Roman"/>
          <w:sz w:val="20"/>
          <w:szCs w:val="20"/>
        </w:rPr>
        <w:t>–</w:t>
      </w:r>
      <w:r w:rsidRPr="004F1BBF">
        <w:rPr>
          <w:rFonts w:ascii="Times New Roman"/>
          <w:sz w:val="20"/>
          <w:szCs w:val="20"/>
        </w:rPr>
        <w:t xml:space="preserve">10 </w:t>
      </w:r>
      <w:r w:rsidRPr="004F1BBF">
        <w:rPr>
          <w:rFonts w:ascii="Times New Roman"/>
          <w:sz w:val="20"/>
          <w:szCs w:val="20"/>
        </w:rPr>
        <w:t>µ</w:t>
      </w:r>
      <w:r w:rsidRPr="004F1BBF">
        <w:rPr>
          <w:rFonts w:ascii="Times New Roman"/>
          <w:sz w:val="20"/>
          <w:szCs w:val="20"/>
        </w:rPr>
        <w:t xml:space="preserve">g/mL). </w:t>
      </w:r>
      <w:proofErr w:type="spellStart"/>
      <w:r w:rsidRPr="004F1BBF">
        <w:rPr>
          <w:rFonts w:ascii="Times New Roman"/>
          <w:sz w:val="20"/>
          <w:szCs w:val="20"/>
        </w:rPr>
        <w:t>Results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were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expressed</w:t>
      </w:r>
      <w:proofErr w:type="spellEnd"/>
      <w:r w:rsidRPr="004F1BBF">
        <w:rPr>
          <w:rFonts w:ascii="Times New Roman"/>
          <w:sz w:val="20"/>
          <w:szCs w:val="20"/>
        </w:rPr>
        <w:t xml:space="preserve"> as </w:t>
      </w:r>
      <w:proofErr w:type="spellStart"/>
      <w:r w:rsidRPr="004F1BBF">
        <w:rPr>
          <w:rFonts w:ascii="Times New Roman"/>
          <w:sz w:val="20"/>
          <w:szCs w:val="20"/>
        </w:rPr>
        <w:t>milligrams</w:t>
      </w:r>
      <w:proofErr w:type="spellEnd"/>
      <w:r w:rsidRPr="004F1BBF">
        <w:rPr>
          <w:rFonts w:ascii="Times New Roman"/>
          <w:sz w:val="20"/>
          <w:szCs w:val="20"/>
        </w:rPr>
        <w:t xml:space="preserve"> of </w:t>
      </w:r>
      <w:proofErr w:type="spellStart"/>
      <w:r w:rsidRPr="004F1BBF">
        <w:rPr>
          <w:rFonts w:ascii="Times New Roman"/>
          <w:sz w:val="20"/>
          <w:szCs w:val="20"/>
        </w:rPr>
        <w:t>gallic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acid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equivalents</w:t>
      </w:r>
      <w:proofErr w:type="spellEnd"/>
      <w:r w:rsidRPr="004F1BBF">
        <w:rPr>
          <w:rFonts w:ascii="Times New Roman"/>
          <w:sz w:val="20"/>
          <w:szCs w:val="20"/>
        </w:rPr>
        <w:t xml:space="preserve"> per </w:t>
      </w:r>
      <w:proofErr w:type="spellStart"/>
      <w:r w:rsidRPr="004F1BBF">
        <w:rPr>
          <w:rFonts w:ascii="Times New Roman"/>
          <w:sz w:val="20"/>
          <w:szCs w:val="20"/>
        </w:rPr>
        <w:t>gram</w:t>
      </w:r>
      <w:proofErr w:type="spellEnd"/>
      <w:r w:rsidRPr="004F1BBF">
        <w:rPr>
          <w:rFonts w:ascii="Times New Roman"/>
          <w:sz w:val="20"/>
          <w:szCs w:val="20"/>
        </w:rPr>
        <w:t xml:space="preserve"> of </w:t>
      </w:r>
      <w:proofErr w:type="spellStart"/>
      <w:r w:rsidRPr="004F1BBF">
        <w:rPr>
          <w:rFonts w:ascii="Times New Roman"/>
          <w:sz w:val="20"/>
          <w:szCs w:val="20"/>
        </w:rPr>
        <w:t>sample</w:t>
      </w:r>
      <w:proofErr w:type="spellEnd"/>
      <w:r w:rsidRPr="004F1BBF">
        <w:rPr>
          <w:rFonts w:ascii="Times New Roman"/>
          <w:sz w:val="20"/>
          <w:szCs w:val="20"/>
        </w:rPr>
        <w:t xml:space="preserve"> (mg GAE/g).</w:t>
      </w:r>
    </w:p>
    <w:p w:rsidR="00260EFD" w:rsidRPr="004F1BBF" w:rsidRDefault="00260EFD" w:rsidP="00260EFD">
      <w:pPr>
        <w:spacing w:after="0" w:line="480" w:lineRule="auto"/>
        <w:ind w:firstLine="709"/>
        <w:jc w:val="both"/>
        <w:rPr>
          <w:rFonts w:ascii="Times New Roman"/>
          <w:sz w:val="20"/>
          <w:szCs w:val="20"/>
        </w:rPr>
      </w:pPr>
    </w:p>
    <w:p w:rsidR="00260EFD" w:rsidRPr="004F1BBF" w:rsidRDefault="00260EFD" w:rsidP="004F1BBF">
      <w:pPr>
        <w:pStyle w:val="PargrafodaLista"/>
        <w:numPr>
          <w:ilvl w:val="0"/>
          <w:numId w:val="4"/>
        </w:numPr>
        <w:spacing w:after="0" w:line="480" w:lineRule="auto"/>
        <w:jc w:val="both"/>
        <w:rPr>
          <w:rFonts w:ascii="Times New Roman"/>
          <w:b/>
          <w:sz w:val="20"/>
          <w:szCs w:val="20"/>
        </w:rPr>
      </w:pPr>
      <w:bookmarkStart w:id="0" w:name="_GoBack"/>
      <w:proofErr w:type="spellStart"/>
      <w:r w:rsidRPr="004F1BBF">
        <w:rPr>
          <w:rFonts w:ascii="Times New Roman"/>
          <w:b/>
          <w:sz w:val="20"/>
          <w:szCs w:val="20"/>
        </w:rPr>
        <w:t>Determination</w:t>
      </w:r>
      <w:proofErr w:type="spellEnd"/>
      <w:r w:rsidRPr="004F1BBF">
        <w:rPr>
          <w:rFonts w:ascii="Times New Roman"/>
          <w:b/>
          <w:sz w:val="20"/>
          <w:szCs w:val="20"/>
        </w:rPr>
        <w:t xml:space="preserve"> of total </w:t>
      </w:r>
      <w:proofErr w:type="spellStart"/>
      <w:r w:rsidRPr="004F1BBF">
        <w:rPr>
          <w:rFonts w:ascii="Times New Roman"/>
          <w:b/>
          <w:sz w:val="20"/>
          <w:szCs w:val="20"/>
        </w:rPr>
        <w:t>flavonoid</w:t>
      </w:r>
      <w:proofErr w:type="spellEnd"/>
      <w:r w:rsidRPr="004F1BBF">
        <w:rPr>
          <w:rFonts w:ascii="Times New Roman"/>
          <w:b/>
          <w:sz w:val="20"/>
          <w:szCs w:val="20"/>
        </w:rPr>
        <w:t xml:space="preserve"> contente (TFC)</w:t>
      </w:r>
    </w:p>
    <w:bookmarkEnd w:id="0"/>
    <w:p w:rsidR="00260EFD" w:rsidRPr="004F1BBF" w:rsidRDefault="00260EFD" w:rsidP="00260EFD">
      <w:pPr>
        <w:spacing w:after="0" w:line="480" w:lineRule="auto"/>
        <w:ind w:firstLine="709"/>
        <w:jc w:val="both"/>
        <w:rPr>
          <w:rFonts w:ascii="Times New Roman"/>
          <w:sz w:val="20"/>
          <w:szCs w:val="20"/>
        </w:rPr>
      </w:pPr>
      <w:r w:rsidRPr="004F1BBF">
        <w:rPr>
          <w:rFonts w:ascii="Times New Roman"/>
          <w:sz w:val="20"/>
          <w:szCs w:val="20"/>
        </w:rPr>
        <w:t xml:space="preserve">The total </w:t>
      </w:r>
      <w:proofErr w:type="spellStart"/>
      <w:r w:rsidRPr="004F1BBF">
        <w:rPr>
          <w:rFonts w:ascii="Times New Roman"/>
          <w:sz w:val="20"/>
          <w:szCs w:val="20"/>
        </w:rPr>
        <w:t>flavonoid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content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determined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according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to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methodology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previously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described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by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Christ</w:t>
      </w:r>
      <w:proofErr w:type="spellEnd"/>
      <w:r w:rsidRPr="004F1BBF">
        <w:rPr>
          <w:rFonts w:ascii="Times New Roman"/>
          <w:sz w:val="20"/>
          <w:szCs w:val="20"/>
        </w:rPr>
        <w:t xml:space="preserve"> and M</w:t>
      </w:r>
      <w:r w:rsidRPr="004F1BBF">
        <w:rPr>
          <w:rFonts w:ascii="Times New Roman"/>
          <w:sz w:val="20"/>
          <w:szCs w:val="20"/>
        </w:rPr>
        <w:t>ü</w:t>
      </w:r>
      <w:r w:rsidRPr="004F1BBF">
        <w:rPr>
          <w:rFonts w:ascii="Times New Roman"/>
          <w:sz w:val="20"/>
          <w:szCs w:val="20"/>
        </w:rPr>
        <w:t>ller [</w:t>
      </w:r>
      <w:r w:rsidR="004F1BBF" w:rsidRPr="004F1BBF">
        <w:rPr>
          <w:rFonts w:ascii="Times New Roman"/>
          <w:sz w:val="20"/>
          <w:szCs w:val="20"/>
        </w:rPr>
        <w:t>5</w:t>
      </w:r>
      <w:r w:rsidRPr="004F1BBF">
        <w:rPr>
          <w:rFonts w:ascii="Times New Roman"/>
          <w:sz w:val="20"/>
          <w:szCs w:val="20"/>
        </w:rPr>
        <w:t xml:space="preserve">], </w:t>
      </w:r>
      <w:proofErr w:type="spellStart"/>
      <w:r w:rsidRPr="004F1BBF">
        <w:rPr>
          <w:rFonts w:ascii="Times New Roman"/>
          <w:sz w:val="20"/>
          <w:szCs w:val="20"/>
        </w:rPr>
        <w:t>with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modifications</w:t>
      </w:r>
      <w:proofErr w:type="spellEnd"/>
      <w:r w:rsidRPr="004F1BBF">
        <w:rPr>
          <w:rFonts w:ascii="Times New Roman"/>
          <w:sz w:val="20"/>
          <w:szCs w:val="20"/>
        </w:rPr>
        <w:t xml:space="preserve"> [</w:t>
      </w:r>
      <w:r w:rsidR="004F1BBF" w:rsidRPr="004F1BBF">
        <w:rPr>
          <w:rFonts w:ascii="Times New Roman"/>
          <w:sz w:val="20"/>
          <w:szCs w:val="20"/>
        </w:rPr>
        <w:t>1</w:t>
      </w:r>
      <w:r w:rsidRPr="004F1BBF">
        <w:rPr>
          <w:rFonts w:ascii="Times New Roman"/>
          <w:sz w:val="20"/>
          <w:szCs w:val="20"/>
        </w:rPr>
        <w:t xml:space="preserve">]. </w:t>
      </w:r>
      <w:proofErr w:type="spellStart"/>
      <w:r w:rsidRPr="004F1BBF">
        <w:rPr>
          <w:rFonts w:ascii="Times New Roman"/>
          <w:sz w:val="20"/>
          <w:szCs w:val="20"/>
        </w:rPr>
        <w:t>An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aliquot</w:t>
      </w:r>
      <w:proofErr w:type="spellEnd"/>
      <w:r w:rsidRPr="004F1BBF">
        <w:rPr>
          <w:rFonts w:ascii="Times New Roman"/>
          <w:sz w:val="20"/>
          <w:szCs w:val="20"/>
        </w:rPr>
        <w:t xml:space="preserve"> of 625 </w:t>
      </w:r>
      <w:r w:rsidRPr="004F1BBF">
        <w:rPr>
          <w:rFonts w:ascii="Times New Roman"/>
          <w:sz w:val="20"/>
          <w:szCs w:val="20"/>
        </w:rPr>
        <w:t>µ</w:t>
      </w:r>
      <w:r w:rsidRPr="004F1BBF">
        <w:rPr>
          <w:rFonts w:ascii="Times New Roman"/>
          <w:sz w:val="20"/>
          <w:szCs w:val="20"/>
        </w:rPr>
        <w:t xml:space="preserve">L of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properly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diluted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sample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added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to</w:t>
      </w:r>
      <w:proofErr w:type="spellEnd"/>
      <w:r w:rsidRPr="004F1BBF">
        <w:rPr>
          <w:rFonts w:ascii="Times New Roman"/>
          <w:sz w:val="20"/>
          <w:szCs w:val="20"/>
        </w:rPr>
        <w:t xml:space="preserve"> a </w:t>
      </w:r>
      <w:proofErr w:type="spellStart"/>
      <w:r w:rsidRPr="004F1BBF">
        <w:rPr>
          <w:rFonts w:ascii="Times New Roman"/>
          <w:sz w:val="20"/>
          <w:szCs w:val="20"/>
        </w:rPr>
        <w:t>test</w:t>
      </w:r>
      <w:proofErr w:type="spellEnd"/>
      <w:r w:rsidRPr="004F1BBF">
        <w:rPr>
          <w:rFonts w:ascii="Times New Roman"/>
          <w:sz w:val="20"/>
          <w:szCs w:val="20"/>
        </w:rPr>
        <w:t xml:space="preserve"> tube. </w:t>
      </w:r>
      <w:proofErr w:type="spellStart"/>
      <w:r w:rsidRPr="004F1BBF">
        <w:rPr>
          <w:rFonts w:ascii="Times New Roman"/>
          <w:sz w:val="20"/>
          <w:szCs w:val="20"/>
        </w:rPr>
        <w:t>Subsequently</w:t>
      </w:r>
      <w:proofErr w:type="spellEnd"/>
      <w:r w:rsidRPr="004F1BBF">
        <w:rPr>
          <w:rFonts w:ascii="Times New Roman"/>
          <w:sz w:val="20"/>
          <w:szCs w:val="20"/>
        </w:rPr>
        <w:t xml:space="preserve">, 37.5 </w:t>
      </w:r>
      <w:r w:rsidRPr="004F1BBF">
        <w:rPr>
          <w:rFonts w:ascii="Times New Roman"/>
          <w:sz w:val="20"/>
          <w:szCs w:val="20"/>
        </w:rPr>
        <w:t>µ</w:t>
      </w:r>
      <w:r w:rsidRPr="004F1BBF">
        <w:rPr>
          <w:rFonts w:ascii="Times New Roman"/>
          <w:sz w:val="20"/>
          <w:szCs w:val="20"/>
        </w:rPr>
        <w:t xml:space="preserve">L of </w:t>
      </w:r>
      <w:proofErr w:type="spellStart"/>
      <w:r w:rsidRPr="004F1BBF">
        <w:rPr>
          <w:rFonts w:ascii="Times New Roman"/>
          <w:sz w:val="20"/>
          <w:szCs w:val="20"/>
        </w:rPr>
        <w:t>sodium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nitrite</w:t>
      </w:r>
      <w:proofErr w:type="spellEnd"/>
      <w:r w:rsidRPr="004F1BBF">
        <w:rPr>
          <w:rFonts w:ascii="Times New Roman"/>
          <w:sz w:val="20"/>
          <w:szCs w:val="20"/>
        </w:rPr>
        <w:t xml:space="preserve"> (</w:t>
      </w:r>
      <w:proofErr w:type="spellStart"/>
      <w:r w:rsidRPr="004F1BBF">
        <w:rPr>
          <w:rFonts w:ascii="Times New Roman"/>
          <w:sz w:val="20"/>
          <w:szCs w:val="20"/>
        </w:rPr>
        <w:t>NaNO</w:t>
      </w:r>
      <w:proofErr w:type="spellEnd"/>
      <w:r w:rsidRPr="004F1BBF">
        <w:rPr>
          <w:rFonts w:ascii="Times New Roman"/>
          <w:sz w:val="20"/>
          <w:szCs w:val="20"/>
        </w:rPr>
        <w:t>₂</w:t>
      </w:r>
      <w:r w:rsidRPr="004F1BBF">
        <w:rPr>
          <w:rFonts w:ascii="Times New Roman"/>
          <w:sz w:val="20"/>
          <w:szCs w:val="20"/>
        </w:rPr>
        <w:t xml:space="preserve">) </w:t>
      </w:r>
      <w:proofErr w:type="spellStart"/>
      <w:r w:rsidRPr="004F1BBF">
        <w:rPr>
          <w:rFonts w:ascii="Times New Roman"/>
          <w:sz w:val="20"/>
          <w:szCs w:val="20"/>
        </w:rPr>
        <w:t>solution</w:t>
      </w:r>
      <w:proofErr w:type="spellEnd"/>
      <w:r w:rsidRPr="004F1BBF">
        <w:rPr>
          <w:rFonts w:ascii="Times New Roman"/>
          <w:sz w:val="20"/>
          <w:szCs w:val="20"/>
        </w:rPr>
        <w:t xml:space="preserve"> (5% w/v)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added</w:t>
      </w:r>
      <w:proofErr w:type="spellEnd"/>
      <w:r w:rsidRPr="004F1BBF">
        <w:rPr>
          <w:rFonts w:ascii="Times New Roman"/>
          <w:sz w:val="20"/>
          <w:szCs w:val="20"/>
        </w:rPr>
        <w:t xml:space="preserve">, and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mixture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manually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agitated</w:t>
      </w:r>
      <w:proofErr w:type="spellEnd"/>
      <w:r w:rsidRPr="004F1BBF">
        <w:rPr>
          <w:rFonts w:ascii="Times New Roman"/>
          <w:sz w:val="20"/>
          <w:szCs w:val="20"/>
        </w:rPr>
        <w:t xml:space="preserve"> for </w:t>
      </w:r>
      <w:proofErr w:type="spellStart"/>
      <w:r w:rsidRPr="004F1BBF">
        <w:rPr>
          <w:rFonts w:ascii="Times New Roman"/>
          <w:sz w:val="20"/>
          <w:szCs w:val="20"/>
        </w:rPr>
        <w:t>approximately</w:t>
      </w:r>
      <w:proofErr w:type="spellEnd"/>
      <w:r w:rsidRPr="004F1BBF">
        <w:rPr>
          <w:rFonts w:ascii="Times New Roman"/>
          <w:sz w:val="20"/>
          <w:szCs w:val="20"/>
        </w:rPr>
        <w:t xml:space="preserve"> 10 s and </w:t>
      </w:r>
      <w:proofErr w:type="spellStart"/>
      <w:r w:rsidRPr="004F1BBF">
        <w:rPr>
          <w:rFonts w:ascii="Times New Roman"/>
          <w:sz w:val="20"/>
          <w:szCs w:val="20"/>
        </w:rPr>
        <w:t>incubated</w:t>
      </w:r>
      <w:proofErr w:type="spellEnd"/>
      <w:r w:rsidRPr="004F1BBF">
        <w:rPr>
          <w:rFonts w:ascii="Times New Roman"/>
          <w:sz w:val="20"/>
          <w:szCs w:val="20"/>
        </w:rPr>
        <w:t xml:space="preserve"> for 5 min </w:t>
      </w:r>
      <w:proofErr w:type="spellStart"/>
      <w:r w:rsidRPr="004F1BBF">
        <w:rPr>
          <w:rFonts w:ascii="Times New Roman"/>
          <w:sz w:val="20"/>
          <w:szCs w:val="20"/>
        </w:rPr>
        <w:t>at</w:t>
      </w:r>
      <w:proofErr w:type="spellEnd"/>
      <w:r w:rsidRPr="004F1BBF">
        <w:rPr>
          <w:rFonts w:ascii="Times New Roman"/>
          <w:sz w:val="20"/>
          <w:szCs w:val="20"/>
        </w:rPr>
        <w:t xml:space="preserve"> 25 </w:t>
      </w:r>
      <w:r w:rsidRPr="004F1BBF">
        <w:rPr>
          <w:rFonts w:ascii="Times New Roman"/>
          <w:sz w:val="20"/>
          <w:szCs w:val="20"/>
        </w:rPr>
        <w:t>°</w:t>
      </w:r>
      <w:r w:rsidRPr="004F1BBF">
        <w:rPr>
          <w:rFonts w:ascii="Times New Roman"/>
          <w:sz w:val="20"/>
          <w:szCs w:val="20"/>
        </w:rPr>
        <w:t xml:space="preserve">C. </w:t>
      </w:r>
      <w:proofErr w:type="spellStart"/>
      <w:r w:rsidRPr="004F1BBF">
        <w:rPr>
          <w:rFonts w:ascii="Times New Roman"/>
          <w:sz w:val="20"/>
          <w:szCs w:val="20"/>
        </w:rPr>
        <w:t>After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incubation</w:t>
      </w:r>
      <w:proofErr w:type="spellEnd"/>
      <w:r w:rsidRPr="004F1BBF">
        <w:rPr>
          <w:rFonts w:ascii="Times New Roman"/>
          <w:sz w:val="20"/>
          <w:szCs w:val="20"/>
        </w:rPr>
        <w:t xml:space="preserve">, 37.5 </w:t>
      </w:r>
      <w:r w:rsidRPr="004F1BBF">
        <w:rPr>
          <w:rFonts w:ascii="Times New Roman"/>
          <w:sz w:val="20"/>
          <w:szCs w:val="20"/>
        </w:rPr>
        <w:t>µ</w:t>
      </w:r>
      <w:r w:rsidRPr="004F1BBF">
        <w:rPr>
          <w:rFonts w:ascii="Times New Roman"/>
          <w:sz w:val="20"/>
          <w:szCs w:val="20"/>
        </w:rPr>
        <w:t xml:space="preserve">L of </w:t>
      </w:r>
      <w:proofErr w:type="spellStart"/>
      <w:r w:rsidRPr="004F1BBF">
        <w:rPr>
          <w:rFonts w:ascii="Times New Roman"/>
          <w:sz w:val="20"/>
          <w:szCs w:val="20"/>
        </w:rPr>
        <w:t>aluminum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chloride</w:t>
      </w:r>
      <w:proofErr w:type="spellEnd"/>
      <w:r w:rsidRPr="004F1BBF">
        <w:rPr>
          <w:rFonts w:ascii="Times New Roman"/>
          <w:sz w:val="20"/>
          <w:szCs w:val="20"/>
        </w:rPr>
        <w:t xml:space="preserve"> (</w:t>
      </w:r>
      <w:proofErr w:type="spellStart"/>
      <w:r w:rsidRPr="004F1BBF">
        <w:rPr>
          <w:rFonts w:ascii="Times New Roman"/>
          <w:sz w:val="20"/>
          <w:szCs w:val="20"/>
        </w:rPr>
        <w:t>AlCl</w:t>
      </w:r>
      <w:proofErr w:type="spellEnd"/>
      <w:r w:rsidRPr="004F1BBF">
        <w:rPr>
          <w:rFonts w:ascii="Times New Roman"/>
          <w:sz w:val="20"/>
          <w:szCs w:val="20"/>
        </w:rPr>
        <w:t>₃</w:t>
      </w:r>
      <w:r w:rsidRPr="004F1BBF">
        <w:rPr>
          <w:rFonts w:ascii="Times New Roman"/>
          <w:sz w:val="20"/>
          <w:szCs w:val="20"/>
        </w:rPr>
        <w:t xml:space="preserve">) </w:t>
      </w:r>
      <w:proofErr w:type="spellStart"/>
      <w:r w:rsidRPr="004F1BBF">
        <w:rPr>
          <w:rFonts w:ascii="Times New Roman"/>
          <w:sz w:val="20"/>
          <w:szCs w:val="20"/>
        </w:rPr>
        <w:t>solution</w:t>
      </w:r>
      <w:proofErr w:type="spellEnd"/>
      <w:r w:rsidRPr="004F1BBF">
        <w:rPr>
          <w:rFonts w:ascii="Times New Roman"/>
          <w:sz w:val="20"/>
          <w:szCs w:val="20"/>
        </w:rPr>
        <w:t xml:space="preserve"> (10% w/v)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added</w:t>
      </w:r>
      <w:proofErr w:type="spellEnd"/>
      <w:r w:rsidRPr="004F1BBF">
        <w:rPr>
          <w:rFonts w:ascii="Times New Roman"/>
          <w:sz w:val="20"/>
          <w:szCs w:val="20"/>
        </w:rPr>
        <w:t xml:space="preserve">. The </w:t>
      </w:r>
      <w:proofErr w:type="spellStart"/>
      <w:r w:rsidRPr="004F1BBF">
        <w:rPr>
          <w:rFonts w:ascii="Times New Roman"/>
          <w:sz w:val="20"/>
          <w:szCs w:val="20"/>
        </w:rPr>
        <w:t>mixture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manually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agitated</w:t>
      </w:r>
      <w:proofErr w:type="spellEnd"/>
      <w:r w:rsidRPr="004F1BBF">
        <w:rPr>
          <w:rFonts w:ascii="Times New Roman"/>
          <w:sz w:val="20"/>
          <w:szCs w:val="20"/>
        </w:rPr>
        <w:t xml:space="preserve"> for 10 s and </w:t>
      </w:r>
      <w:proofErr w:type="spellStart"/>
      <w:r w:rsidRPr="004F1BBF">
        <w:rPr>
          <w:rFonts w:ascii="Times New Roman"/>
          <w:sz w:val="20"/>
          <w:szCs w:val="20"/>
        </w:rPr>
        <w:t>incubated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again</w:t>
      </w:r>
      <w:proofErr w:type="spellEnd"/>
      <w:r w:rsidRPr="004F1BBF">
        <w:rPr>
          <w:rFonts w:ascii="Times New Roman"/>
          <w:sz w:val="20"/>
          <w:szCs w:val="20"/>
        </w:rPr>
        <w:t xml:space="preserve"> for 5 min </w:t>
      </w:r>
      <w:proofErr w:type="spellStart"/>
      <w:r w:rsidRPr="004F1BBF">
        <w:rPr>
          <w:rFonts w:ascii="Times New Roman"/>
          <w:sz w:val="20"/>
          <w:szCs w:val="20"/>
        </w:rPr>
        <w:t>at</w:t>
      </w:r>
      <w:proofErr w:type="spellEnd"/>
      <w:r w:rsidRPr="004F1BBF">
        <w:rPr>
          <w:rFonts w:ascii="Times New Roman"/>
          <w:sz w:val="20"/>
          <w:szCs w:val="20"/>
        </w:rPr>
        <w:t xml:space="preserve"> 25 </w:t>
      </w:r>
      <w:r w:rsidRPr="004F1BBF">
        <w:rPr>
          <w:rFonts w:ascii="Times New Roman"/>
          <w:sz w:val="20"/>
          <w:szCs w:val="20"/>
        </w:rPr>
        <w:t>°</w:t>
      </w:r>
      <w:r w:rsidRPr="004F1BBF">
        <w:rPr>
          <w:rFonts w:ascii="Times New Roman"/>
          <w:sz w:val="20"/>
          <w:szCs w:val="20"/>
        </w:rPr>
        <w:t xml:space="preserve">C. </w:t>
      </w:r>
      <w:proofErr w:type="spellStart"/>
      <w:r w:rsidRPr="004F1BBF">
        <w:rPr>
          <w:rFonts w:ascii="Times New Roman"/>
          <w:sz w:val="20"/>
          <w:szCs w:val="20"/>
        </w:rPr>
        <w:t>Then</w:t>
      </w:r>
      <w:proofErr w:type="spellEnd"/>
      <w:r w:rsidRPr="004F1BBF">
        <w:rPr>
          <w:rFonts w:ascii="Times New Roman"/>
          <w:sz w:val="20"/>
          <w:szCs w:val="20"/>
        </w:rPr>
        <w:t xml:space="preserve">, 250 </w:t>
      </w:r>
      <w:r w:rsidRPr="004F1BBF">
        <w:rPr>
          <w:rFonts w:ascii="Times New Roman"/>
          <w:sz w:val="20"/>
          <w:szCs w:val="20"/>
        </w:rPr>
        <w:t>µ</w:t>
      </w:r>
      <w:r w:rsidRPr="004F1BBF">
        <w:rPr>
          <w:rFonts w:ascii="Times New Roman"/>
          <w:sz w:val="20"/>
          <w:szCs w:val="20"/>
        </w:rPr>
        <w:t xml:space="preserve">L of </w:t>
      </w:r>
      <w:proofErr w:type="spellStart"/>
      <w:r w:rsidRPr="004F1BBF">
        <w:rPr>
          <w:rFonts w:ascii="Times New Roman"/>
          <w:sz w:val="20"/>
          <w:szCs w:val="20"/>
        </w:rPr>
        <w:t>sodium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hydroxide</w:t>
      </w:r>
      <w:proofErr w:type="spellEnd"/>
      <w:r w:rsidRPr="004F1BBF">
        <w:rPr>
          <w:rFonts w:ascii="Times New Roman"/>
          <w:sz w:val="20"/>
          <w:szCs w:val="20"/>
        </w:rPr>
        <w:t xml:space="preserve"> (</w:t>
      </w:r>
      <w:proofErr w:type="spellStart"/>
      <w:r w:rsidRPr="004F1BBF">
        <w:rPr>
          <w:rFonts w:ascii="Times New Roman"/>
          <w:sz w:val="20"/>
          <w:szCs w:val="20"/>
        </w:rPr>
        <w:t>NaOH</w:t>
      </w:r>
      <w:proofErr w:type="spellEnd"/>
      <w:r w:rsidRPr="004F1BBF">
        <w:rPr>
          <w:rFonts w:ascii="Times New Roman"/>
          <w:sz w:val="20"/>
          <w:szCs w:val="20"/>
        </w:rPr>
        <w:t xml:space="preserve">) </w:t>
      </w:r>
      <w:proofErr w:type="spellStart"/>
      <w:r w:rsidRPr="004F1BBF">
        <w:rPr>
          <w:rFonts w:ascii="Times New Roman"/>
          <w:sz w:val="20"/>
          <w:szCs w:val="20"/>
        </w:rPr>
        <w:t>solution</w:t>
      </w:r>
      <w:proofErr w:type="spellEnd"/>
      <w:r w:rsidRPr="004F1BBF">
        <w:rPr>
          <w:rFonts w:ascii="Times New Roman"/>
          <w:sz w:val="20"/>
          <w:szCs w:val="20"/>
        </w:rPr>
        <w:t xml:space="preserve"> (1 M) and 350 </w:t>
      </w:r>
      <w:r w:rsidRPr="004F1BBF">
        <w:rPr>
          <w:rFonts w:ascii="Times New Roman"/>
          <w:sz w:val="20"/>
          <w:szCs w:val="20"/>
        </w:rPr>
        <w:t>µ</w:t>
      </w:r>
      <w:r w:rsidRPr="004F1BBF">
        <w:rPr>
          <w:rFonts w:ascii="Times New Roman"/>
          <w:sz w:val="20"/>
          <w:szCs w:val="20"/>
        </w:rPr>
        <w:t xml:space="preserve">L of </w:t>
      </w:r>
      <w:proofErr w:type="spellStart"/>
      <w:r w:rsidRPr="004F1BBF">
        <w:rPr>
          <w:rFonts w:ascii="Times New Roman"/>
          <w:sz w:val="20"/>
          <w:szCs w:val="20"/>
        </w:rPr>
        <w:t>distilled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water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were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added</w:t>
      </w:r>
      <w:proofErr w:type="spellEnd"/>
      <w:r w:rsidRPr="004F1BBF">
        <w:rPr>
          <w:rFonts w:ascii="Times New Roman"/>
          <w:sz w:val="20"/>
          <w:szCs w:val="20"/>
        </w:rPr>
        <w:t xml:space="preserve">, and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tubes </w:t>
      </w:r>
      <w:proofErr w:type="spellStart"/>
      <w:r w:rsidRPr="004F1BBF">
        <w:rPr>
          <w:rFonts w:ascii="Times New Roman"/>
          <w:sz w:val="20"/>
          <w:szCs w:val="20"/>
        </w:rPr>
        <w:t>were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manually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agitated</w:t>
      </w:r>
      <w:proofErr w:type="spellEnd"/>
      <w:r w:rsidRPr="004F1BBF">
        <w:rPr>
          <w:rFonts w:ascii="Times New Roman"/>
          <w:sz w:val="20"/>
          <w:szCs w:val="20"/>
        </w:rPr>
        <w:t xml:space="preserve"> and </w:t>
      </w:r>
      <w:proofErr w:type="spellStart"/>
      <w:r w:rsidRPr="004F1BBF">
        <w:rPr>
          <w:rFonts w:ascii="Times New Roman"/>
          <w:sz w:val="20"/>
          <w:szCs w:val="20"/>
        </w:rPr>
        <w:t>incubated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under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same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conditions</w:t>
      </w:r>
      <w:proofErr w:type="spellEnd"/>
      <w:r w:rsidRPr="004F1BBF">
        <w:rPr>
          <w:rFonts w:ascii="Times New Roman"/>
          <w:sz w:val="20"/>
          <w:szCs w:val="20"/>
        </w:rPr>
        <w:t xml:space="preserve"> as </w:t>
      </w:r>
      <w:proofErr w:type="spellStart"/>
      <w:r w:rsidRPr="004F1BBF">
        <w:rPr>
          <w:rFonts w:ascii="Times New Roman"/>
          <w:sz w:val="20"/>
          <w:szCs w:val="20"/>
        </w:rPr>
        <w:t>previously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described</w:t>
      </w:r>
      <w:proofErr w:type="spellEnd"/>
      <w:r w:rsidRPr="004F1BBF">
        <w:rPr>
          <w:rFonts w:ascii="Times New Roman"/>
          <w:sz w:val="20"/>
          <w:szCs w:val="20"/>
        </w:rPr>
        <w:t xml:space="preserve">. </w:t>
      </w:r>
      <w:proofErr w:type="spellStart"/>
      <w:r w:rsidRPr="004F1BBF">
        <w:rPr>
          <w:rFonts w:ascii="Times New Roman"/>
          <w:sz w:val="20"/>
          <w:szCs w:val="20"/>
        </w:rPr>
        <w:t>Absorbance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measured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using</w:t>
      </w:r>
      <w:proofErr w:type="spellEnd"/>
      <w:r w:rsidRPr="004F1BBF">
        <w:rPr>
          <w:rFonts w:ascii="Times New Roman"/>
          <w:sz w:val="20"/>
          <w:szCs w:val="20"/>
        </w:rPr>
        <w:t xml:space="preserve"> a </w:t>
      </w:r>
      <w:proofErr w:type="spellStart"/>
      <w:r w:rsidRPr="004F1BBF">
        <w:rPr>
          <w:rFonts w:ascii="Times New Roman"/>
          <w:sz w:val="20"/>
          <w:szCs w:val="20"/>
        </w:rPr>
        <w:t>spectrophotometer</w:t>
      </w:r>
      <w:proofErr w:type="spellEnd"/>
      <w:r w:rsidRPr="004F1BBF">
        <w:rPr>
          <w:rFonts w:ascii="Times New Roman"/>
          <w:sz w:val="20"/>
          <w:szCs w:val="20"/>
        </w:rPr>
        <w:t xml:space="preserve"> (</w:t>
      </w:r>
      <w:proofErr w:type="spellStart"/>
      <w:r w:rsidRPr="004F1BBF">
        <w:rPr>
          <w:rFonts w:ascii="Times New Roman"/>
          <w:sz w:val="20"/>
          <w:szCs w:val="20"/>
        </w:rPr>
        <w:t>BelPhotonics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Ultraviolet</w:t>
      </w:r>
      <w:proofErr w:type="spellEnd"/>
      <w:r w:rsidRPr="004F1BBF">
        <w:rPr>
          <w:rFonts w:ascii="Times New Roman"/>
          <w:sz w:val="20"/>
          <w:szCs w:val="20"/>
        </w:rPr>
        <w:t xml:space="preserve">/Visible-M51 </w:t>
      </w:r>
      <w:proofErr w:type="spellStart"/>
      <w:r w:rsidRPr="004F1BBF">
        <w:rPr>
          <w:rFonts w:ascii="Times New Roman"/>
          <w:sz w:val="20"/>
          <w:szCs w:val="20"/>
        </w:rPr>
        <w:t>model</w:t>
      </w:r>
      <w:proofErr w:type="spellEnd"/>
      <w:r w:rsidRPr="004F1BBF">
        <w:rPr>
          <w:rFonts w:ascii="Times New Roman"/>
          <w:sz w:val="20"/>
          <w:szCs w:val="20"/>
        </w:rPr>
        <w:t xml:space="preserve">, Monza, Milan, </w:t>
      </w:r>
      <w:proofErr w:type="spellStart"/>
      <w:r w:rsidRPr="004F1BBF">
        <w:rPr>
          <w:rFonts w:ascii="Times New Roman"/>
          <w:sz w:val="20"/>
          <w:szCs w:val="20"/>
        </w:rPr>
        <w:t>Italy</w:t>
      </w:r>
      <w:proofErr w:type="spellEnd"/>
      <w:r w:rsidRPr="004F1BBF">
        <w:rPr>
          <w:rFonts w:ascii="Times New Roman"/>
          <w:sz w:val="20"/>
          <w:szCs w:val="20"/>
        </w:rPr>
        <w:t xml:space="preserve">) </w:t>
      </w:r>
      <w:proofErr w:type="spellStart"/>
      <w:r w:rsidRPr="004F1BBF">
        <w:rPr>
          <w:rFonts w:ascii="Times New Roman"/>
          <w:sz w:val="20"/>
          <w:szCs w:val="20"/>
        </w:rPr>
        <w:t>at</w:t>
      </w:r>
      <w:proofErr w:type="spellEnd"/>
      <w:r w:rsidRPr="004F1BBF">
        <w:rPr>
          <w:rFonts w:ascii="Times New Roman"/>
          <w:sz w:val="20"/>
          <w:szCs w:val="20"/>
        </w:rPr>
        <w:t xml:space="preserve"> a </w:t>
      </w:r>
      <w:proofErr w:type="spellStart"/>
      <w:r w:rsidRPr="004F1BBF">
        <w:rPr>
          <w:rFonts w:ascii="Times New Roman"/>
          <w:sz w:val="20"/>
          <w:szCs w:val="20"/>
        </w:rPr>
        <w:t>wavelength</w:t>
      </w:r>
      <w:proofErr w:type="spellEnd"/>
      <w:r w:rsidRPr="004F1BBF">
        <w:rPr>
          <w:rFonts w:ascii="Times New Roman"/>
          <w:sz w:val="20"/>
          <w:szCs w:val="20"/>
        </w:rPr>
        <w:t xml:space="preserve"> of 510 nm. A </w:t>
      </w:r>
      <w:proofErr w:type="spellStart"/>
      <w:r w:rsidRPr="004F1BBF">
        <w:rPr>
          <w:rFonts w:ascii="Times New Roman"/>
          <w:sz w:val="20"/>
          <w:szCs w:val="20"/>
        </w:rPr>
        <w:t>catechin</w:t>
      </w:r>
      <w:proofErr w:type="spellEnd"/>
      <w:r w:rsidRPr="004F1BBF">
        <w:rPr>
          <w:rFonts w:ascii="Times New Roman"/>
          <w:sz w:val="20"/>
          <w:szCs w:val="20"/>
        </w:rPr>
        <w:t xml:space="preserve"> standard curve </w:t>
      </w:r>
      <w:proofErr w:type="spellStart"/>
      <w:r w:rsidRPr="004F1BBF">
        <w:rPr>
          <w:rFonts w:ascii="Times New Roman"/>
          <w:sz w:val="20"/>
          <w:szCs w:val="20"/>
        </w:rPr>
        <w:t>was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constructed</w:t>
      </w:r>
      <w:proofErr w:type="spellEnd"/>
      <w:r w:rsidRPr="004F1BBF">
        <w:rPr>
          <w:rFonts w:ascii="Times New Roman"/>
          <w:sz w:val="20"/>
          <w:szCs w:val="20"/>
        </w:rPr>
        <w:t xml:space="preserve"> and </w:t>
      </w:r>
      <w:proofErr w:type="spellStart"/>
      <w:r w:rsidRPr="004F1BBF">
        <w:rPr>
          <w:rFonts w:ascii="Times New Roman"/>
          <w:sz w:val="20"/>
          <w:szCs w:val="20"/>
        </w:rPr>
        <w:t>used</w:t>
      </w:r>
      <w:proofErr w:type="spellEnd"/>
      <w:r w:rsidRPr="004F1BBF">
        <w:rPr>
          <w:rFonts w:ascii="Times New Roman"/>
          <w:sz w:val="20"/>
          <w:szCs w:val="20"/>
        </w:rPr>
        <w:t xml:space="preserve"> for </w:t>
      </w:r>
      <w:proofErr w:type="spellStart"/>
      <w:r w:rsidRPr="004F1BBF">
        <w:rPr>
          <w:rFonts w:ascii="Times New Roman"/>
          <w:sz w:val="20"/>
          <w:szCs w:val="20"/>
        </w:rPr>
        <w:t>quantification</w:t>
      </w:r>
      <w:proofErr w:type="spellEnd"/>
      <w:r w:rsidRPr="004F1BBF">
        <w:rPr>
          <w:rFonts w:ascii="Times New Roman"/>
          <w:sz w:val="20"/>
          <w:szCs w:val="20"/>
        </w:rPr>
        <w:t xml:space="preserve">, and </w:t>
      </w:r>
      <w:proofErr w:type="spellStart"/>
      <w:r w:rsidRPr="004F1BBF">
        <w:rPr>
          <w:rFonts w:ascii="Times New Roman"/>
          <w:sz w:val="20"/>
          <w:szCs w:val="20"/>
        </w:rPr>
        <w:t>the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results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were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expressed</w:t>
      </w:r>
      <w:proofErr w:type="spellEnd"/>
      <w:r w:rsidRPr="004F1BBF">
        <w:rPr>
          <w:rFonts w:ascii="Times New Roman"/>
          <w:sz w:val="20"/>
          <w:szCs w:val="20"/>
        </w:rPr>
        <w:t xml:space="preserve"> as </w:t>
      </w:r>
      <w:proofErr w:type="spellStart"/>
      <w:r w:rsidRPr="004F1BBF">
        <w:rPr>
          <w:rFonts w:ascii="Times New Roman"/>
          <w:sz w:val="20"/>
          <w:szCs w:val="20"/>
        </w:rPr>
        <w:t>milligrams</w:t>
      </w:r>
      <w:proofErr w:type="spellEnd"/>
      <w:r w:rsidRPr="004F1BBF">
        <w:rPr>
          <w:rFonts w:ascii="Times New Roman"/>
          <w:sz w:val="20"/>
          <w:szCs w:val="20"/>
        </w:rPr>
        <w:t xml:space="preserve"> of </w:t>
      </w:r>
      <w:proofErr w:type="spellStart"/>
      <w:r w:rsidRPr="004F1BBF">
        <w:rPr>
          <w:rFonts w:ascii="Times New Roman"/>
          <w:sz w:val="20"/>
          <w:szCs w:val="20"/>
        </w:rPr>
        <w:t>catechin</w:t>
      </w:r>
      <w:proofErr w:type="spellEnd"/>
      <w:r w:rsidRPr="004F1BBF">
        <w:rPr>
          <w:rFonts w:ascii="Times New Roman"/>
          <w:sz w:val="20"/>
          <w:szCs w:val="20"/>
        </w:rPr>
        <w:t xml:space="preserve"> </w:t>
      </w:r>
      <w:proofErr w:type="spellStart"/>
      <w:r w:rsidRPr="004F1BBF">
        <w:rPr>
          <w:rFonts w:ascii="Times New Roman"/>
          <w:sz w:val="20"/>
          <w:szCs w:val="20"/>
        </w:rPr>
        <w:t>equivalents</w:t>
      </w:r>
      <w:proofErr w:type="spellEnd"/>
      <w:r w:rsidRPr="004F1BBF">
        <w:rPr>
          <w:rFonts w:ascii="Times New Roman"/>
          <w:sz w:val="20"/>
          <w:szCs w:val="20"/>
        </w:rPr>
        <w:t xml:space="preserve"> per </w:t>
      </w:r>
      <w:proofErr w:type="spellStart"/>
      <w:r w:rsidRPr="004F1BBF">
        <w:rPr>
          <w:rFonts w:ascii="Times New Roman"/>
          <w:sz w:val="20"/>
          <w:szCs w:val="20"/>
        </w:rPr>
        <w:t>gram</w:t>
      </w:r>
      <w:proofErr w:type="spellEnd"/>
      <w:r w:rsidRPr="004F1BBF">
        <w:rPr>
          <w:rFonts w:ascii="Times New Roman"/>
          <w:sz w:val="20"/>
          <w:szCs w:val="20"/>
        </w:rPr>
        <w:t xml:space="preserve"> of </w:t>
      </w:r>
      <w:proofErr w:type="spellStart"/>
      <w:r w:rsidRPr="004F1BBF">
        <w:rPr>
          <w:rFonts w:ascii="Times New Roman"/>
          <w:sz w:val="20"/>
          <w:szCs w:val="20"/>
        </w:rPr>
        <w:t>sample</w:t>
      </w:r>
      <w:proofErr w:type="spellEnd"/>
      <w:r w:rsidRPr="004F1BBF">
        <w:rPr>
          <w:rFonts w:ascii="Times New Roman"/>
          <w:sz w:val="20"/>
          <w:szCs w:val="20"/>
        </w:rPr>
        <w:t xml:space="preserve"> (mg CE/g).</w:t>
      </w:r>
    </w:p>
    <w:p w:rsidR="00E86AA8" w:rsidRDefault="00E86AA8" w:rsidP="004F1BBF">
      <w:pPr>
        <w:spacing w:after="0" w:line="480" w:lineRule="auto"/>
        <w:jc w:val="both"/>
        <w:rPr>
          <w:rFonts w:ascii="Times New Roman"/>
          <w:sz w:val="20"/>
          <w:szCs w:val="20"/>
        </w:rPr>
      </w:pPr>
    </w:p>
    <w:p w:rsidR="004F1BBF" w:rsidRPr="004F1BBF" w:rsidRDefault="004F1BBF" w:rsidP="004F1BBF">
      <w:pPr>
        <w:spacing w:after="0" w:line="480" w:lineRule="auto"/>
        <w:jc w:val="both"/>
        <w:rPr>
          <w:rFonts w:ascii="Times New Roman"/>
          <w:b/>
          <w:sz w:val="20"/>
          <w:szCs w:val="20"/>
        </w:rPr>
      </w:pPr>
      <w:proofErr w:type="spellStart"/>
      <w:r w:rsidRPr="004F1BBF">
        <w:rPr>
          <w:rFonts w:ascii="Times New Roman"/>
          <w:b/>
          <w:sz w:val="20"/>
          <w:szCs w:val="20"/>
        </w:rPr>
        <w:t>References</w:t>
      </w:r>
      <w:proofErr w:type="spellEnd"/>
    </w:p>
    <w:p w:rsidR="004F1BBF" w:rsidRPr="004F1BBF" w:rsidRDefault="004F1BBF" w:rsidP="004F1BBF">
      <w:pPr>
        <w:pStyle w:val="NormalWeb"/>
        <w:widowControl w:val="0"/>
        <w:numPr>
          <w:ilvl w:val="0"/>
          <w:numId w:val="3"/>
        </w:numPr>
        <w:suppressAutoHyphens/>
        <w:spacing w:before="0" w:beforeAutospacing="0" w:after="0" w:afterAutospacing="0" w:line="480" w:lineRule="auto"/>
        <w:jc w:val="both"/>
        <w:rPr>
          <w:lang w:val="en-US"/>
        </w:rPr>
      </w:pPr>
      <w:r w:rsidRPr="004F1BBF">
        <w:rPr>
          <w:lang w:val="en-US"/>
        </w:rPr>
        <w:t xml:space="preserve">Salvador-Reyes R., </w:t>
      </w:r>
      <w:proofErr w:type="spellStart"/>
      <w:r w:rsidRPr="004F1BBF">
        <w:rPr>
          <w:lang w:val="en-US"/>
        </w:rPr>
        <w:t>Furlan</w:t>
      </w:r>
      <w:proofErr w:type="spellEnd"/>
      <w:r w:rsidRPr="004F1BBF">
        <w:rPr>
          <w:lang w:val="en-US"/>
        </w:rPr>
        <w:t xml:space="preserve"> LC, </w:t>
      </w:r>
      <w:proofErr w:type="spellStart"/>
      <w:r w:rsidRPr="004F1BBF">
        <w:rPr>
          <w:lang w:val="en-US"/>
        </w:rPr>
        <w:t>Martínez-Villaluenga</w:t>
      </w:r>
      <w:proofErr w:type="spellEnd"/>
      <w:r w:rsidRPr="004F1BBF">
        <w:rPr>
          <w:lang w:val="en-US"/>
        </w:rPr>
        <w:t xml:space="preserve"> C, Dala-Paula B M, </w:t>
      </w:r>
      <w:proofErr w:type="spellStart"/>
      <w:r w:rsidRPr="004F1BBF">
        <w:rPr>
          <w:lang w:val="en-US"/>
        </w:rPr>
        <w:t>Nabeshima</w:t>
      </w:r>
      <w:proofErr w:type="spellEnd"/>
      <w:r w:rsidRPr="004F1BBF">
        <w:rPr>
          <w:lang w:val="en-US"/>
        </w:rPr>
        <w:t xml:space="preserve"> EH, Pinto </w:t>
      </w:r>
      <w:r w:rsidRPr="004F1BBF">
        <w:rPr>
          <w:lang w:val="en-US"/>
        </w:rPr>
        <w:lastRenderedPageBreak/>
        <w:t xml:space="preserve">CC, Souza </w:t>
      </w:r>
      <w:proofErr w:type="spellStart"/>
      <w:r w:rsidRPr="004F1BBF">
        <w:rPr>
          <w:lang w:val="en-US"/>
        </w:rPr>
        <w:t>SMde</w:t>
      </w:r>
      <w:proofErr w:type="spellEnd"/>
      <w:r w:rsidRPr="004F1BBF">
        <w:rPr>
          <w:lang w:val="en-US"/>
        </w:rPr>
        <w:t xml:space="preserve">, Pallone JAL, &amp; </w:t>
      </w:r>
      <w:proofErr w:type="spellStart"/>
      <w:r w:rsidRPr="004F1BBF">
        <w:rPr>
          <w:lang w:val="en-US"/>
        </w:rPr>
        <w:t>Clerici</w:t>
      </w:r>
      <w:proofErr w:type="spellEnd"/>
      <w:r w:rsidRPr="004F1BBF">
        <w:rPr>
          <w:lang w:val="en-US"/>
        </w:rPr>
        <w:t xml:space="preserve"> MTPS (2024) Peruvian fava beans for health and food innovation: physicochemical, morphological, nutritional, and techno-functional characterization. </w:t>
      </w:r>
      <w:r w:rsidRPr="004F1BBF">
        <w:rPr>
          <w:iCs/>
          <w:lang w:val="en-US"/>
        </w:rPr>
        <w:t>Food Res. Int.</w:t>
      </w:r>
      <w:r w:rsidRPr="004F1BBF">
        <w:rPr>
          <w:lang w:val="en-US"/>
        </w:rPr>
        <w:t xml:space="preserve"> 192, 114814. </w:t>
      </w:r>
      <w:hyperlink r:id="rId5" w:history="1">
        <w:r w:rsidRPr="004F1BBF">
          <w:rPr>
            <w:rStyle w:val="Hyperlink"/>
            <w:lang w:val="en-US"/>
          </w:rPr>
          <w:t>https://doi.org/10.1016/j.foodres.2024.114814</w:t>
        </w:r>
      </w:hyperlink>
    </w:p>
    <w:p w:rsidR="00E86AA8" w:rsidRPr="004F1BBF" w:rsidRDefault="00E86AA8" w:rsidP="004F1BBF">
      <w:pPr>
        <w:pStyle w:val="NormalWeb"/>
        <w:widowControl w:val="0"/>
        <w:numPr>
          <w:ilvl w:val="0"/>
          <w:numId w:val="3"/>
        </w:numPr>
        <w:suppressAutoHyphens/>
        <w:spacing w:before="0" w:beforeAutospacing="0" w:after="0" w:afterAutospacing="0" w:line="480" w:lineRule="auto"/>
        <w:jc w:val="both"/>
        <w:rPr>
          <w:lang w:val="en-US"/>
        </w:rPr>
      </w:pPr>
      <w:r w:rsidRPr="004F1BBF">
        <w:rPr>
          <w:lang w:val="en-US"/>
        </w:rPr>
        <w:t xml:space="preserve">Re R, </w:t>
      </w:r>
      <w:proofErr w:type="spellStart"/>
      <w:r w:rsidRPr="004F1BBF">
        <w:rPr>
          <w:lang w:val="en-US"/>
        </w:rPr>
        <w:t>Pellegrini</w:t>
      </w:r>
      <w:proofErr w:type="spellEnd"/>
      <w:r w:rsidRPr="004F1BBF">
        <w:rPr>
          <w:lang w:val="en-US"/>
        </w:rPr>
        <w:t xml:space="preserve"> N, </w:t>
      </w:r>
      <w:proofErr w:type="spellStart"/>
      <w:r w:rsidRPr="004F1BBF">
        <w:rPr>
          <w:lang w:val="en-US"/>
        </w:rPr>
        <w:t>Proteggente</w:t>
      </w:r>
      <w:proofErr w:type="spellEnd"/>
      <w:r w:rsidRPr="004F1BBF">
        <w:rPr>
          <w:lang w:val="en-US"/>
        </w:rPr>
        <w:t xml:space="preserve"> A, </w:t>
      </w:r>
      <w:proofErr w:type="spellStart"/>
      <w:r w:rsidRPr="004F1BBF">
        <w:rPr>
          <w:lang w:val="en-US"/>
        </w:rPr>
        <w:t>Pannala</w:t>
      </w:r>
      <w:proofErr w:type="spellEnd"/>
      <w:r w:rsidRPr="004F1BBF">
        <w:rPr>
          <w:lang w:val="en-US"/>
        </w:rPr>
        <w:t xml:space="preserve"> A, Yang M, &amp; Rice-Evans C (1999) Antioxidant activity applying an improved ABTS radical </w:t>
      </w:r>
      <w:proofErr w:type="spellStart"/>
      <w:r w:rsidRPr="004F1BBF">
        <w:rPr>
          <w:lang w:val="en-US"/>
        </w:rPr>
        <w:t>cation</w:t>
      </w:r>
      <w:proofErr w:type="spellEnd"/>
      <w:r w:rsidRPr="004F1BBF">
        <w:rPr>
          <w:lang w:val="en-US"/>
        </w:rPr>
        <w:t xml:space="preserve"> </w:t>
      </w:r>
      <w:proofErr w:type="spellStart"/>
      <w:r w:rsidRPr="004F1BBF">
        <w:rPr>
          <w:lang w:val="en-US"/>
        </w:rPr>
        <w:t>decolorization</w:t>
      </w:r>
      <w:proofErr w:type="spellEnd"/>
      <w:r w:rsidRPr="004F1BBF">
        <w:rPr>
          <w:lang w:val="en-US"/>
        </w:rPr>
        <w:t xml:space="preserve"> assay. </w:t>
      </w:r>
      <w:r w:rsidRPr="004F1BBF">
        <w:rPr>
          <w:i/>
          <w:iCs/>
          <w:lang w:val="en-US"/>
        </w:rPr>
        <w:t xml:space="preserve">Free </w:t>
      </w:r>
      <w:proofErr w:type="spellStart"/>
      <w:r w:rsidRPr="004F1BBF">
        <w:rPr>
          <w:i/>
          <w:iCs/>
          <w:lang w:val="en-US"/>
        </w:rPr>
        <w:t>Radic</w:t>
      </w:r>
      <w:proofErr w:type="spellEnd"/>
      <w:r w:rsidRPr="004F1BBF">
        <w:rPr>
          <w:i/>
          <w:iCs/>
          <w:lang w:val="en-US"/>
        </w:rPr>
        <w:t>. Biol. Med.</w:t>
      </w:r>
      <w:r w:rsidRPr="004F1BBF">
        <w:rPr>
          <w:lang w:val="en-US"/>
        </w:rPr>
        <w:t xml:space="preserve"> 26(9–10), 1231–1237. </w:t>
      </w:r>
      <w:hyperlink r:id="rId6" w:history="1">
        <w:r w:rsidRPr="004F1BBF">
          <w:rPr>
            <w:rStyle w:val="Hyperlink"/>
            <w:lang w:val="en-US"/>
          </w:rPr>
          <w:t>https://doi.org/10.1016/S0891-5849(98)00315-3</w:t>
        </w:r>
      </w:hyperlink>
    </w:p>
    <w:p w:rsidR="00E86AA8" w:rsidRPr="004F1BBF" w:rsidRDefault="00E86AA8" w:rsidP="004F1BBF">
      <w:pPr>
        <w:pStyle w:val="NormalWeb"/>
        <w:widowControl w:val="0"/>
        <w:numPr>
          <w:ilvl w:val="0"/>
          <w:numId w:val="3"/>
        </w:numPr>
        <w:suppressAutoHyphens/>
        <w:spacing w:before="0" w:beforeAutospacing="0" w:after="0" w:afterAutospacing="0" w:line="480" w:lineRule="auto"/>
        <w:jc w:val="both"/>
        <w:rPr>
          <w:lang w:val="en-US"/>
        </w:rPr>
      </w:pPr>
      <w:r w:rsidRPr="004F1BBF">
        <w:rPr>
          <w:lang w:val="en-US"/>
        </w:rPr>
        <w:t xml:space="preserve">Brand-Williams W, </w:t>
      </w:r>
      <w:proofErr w:type="spellStart"/>
      <w:r w:rsidRPr="004F1BBF">
        <w:rPr>
          <w:lang w:val="en-US"/>
        </w:rPr>
        <w:t>Cuvelier</w:t>
      </w:r>
      <w:proofErr w:type="spellEnd"/>
      <w:r w:rsidRPr="004F1BBF">
        <w:rPr>
          <w:lang w:val="en-US"/>
        </w:rPr>
        <w:t xml:space="preserve"> ME, &amp; </w:t>
      </w:r>
      <w:proofErr w:type="spellStart"/>
      <w:r w:rsidRPr="004F1BBF">
        <w:rPr>
          <w:lang w:val="en-US"/>
        </w:rPr>
        <w:t>Berset</w:t>
      </w:r>
      <w:proofErr w:type="spellEnd"/>
      <w:r w:rsidRPr="004F1BBF">
        <w:rPr>
          <w:lang w:val="en-US"/>
        </w:rPr>
        <w:t xml:space="preserve"> C (1995) Use of free-radical method to evaluate antioxidant activity. </w:t>
      </w:r>
      <w:r w:rsidRPr="004F1BBF">
        <w:rPr>
          <w:i/>
          <w:iCs/>
          <w:lang w:val="en-US"/>
        </w:rPr>
        <w:t xml:space="preserve">LWT - Food Sci. Technol. </w:t>
      </w:r>
      <w:r w:rsidRPr="004F1BBF">
        <w:rPr>
          <w:lang w:val="en-US"/>
        </w:rPr>
        <w:t xml:space="preserve">28, 25–30. </w:t>
      </w:r>
      <w:hyperlink r:id="rId7" w:history="1">
        <w:r w:rsidRPr="004F1BBF">
          <w:rPr>
            <w:rStyle w:val="Hyperlink"/>
            <w:lang w:val="en-US"/>
          </w:rPr>
          <w:t>https://doi.org/10.1016/S0023-6438(95)80008-5</w:t>
        </w:r>
      </w:hyperlink>
    </w:p>
    <w:p w:rsidR="00E86AA8" w:rsidRPr="004F1BBF" w:rsidRDefault="00E86AA8" w:rsidP="004F1BBF">
      <w:pPr>
        <w:pStyle w:val="NormalWeb"/>
        <w:widowControl w:val="0"/>
        <w:numPr>
          <w:ilvl w:val="0"/>
          <w:numId w:val="3"/>
        </w:numPr>
        <w:suppressAutoHyphens/>
        <w:spacing w:before="0" w:beforeAutospacing="0" w:after="0" w:afterAutospacing="0" w:line="480" w:lineRule="auto"/>
        <w:jc w:val="both"/>
        <w:rPr>
          <w:lang w:val="en-US"/>
        </w:rPr>
      </w:pPr>
      <w:proofErr w:type="spellStart"/>
      <w:r w:rsidRPr="004F1BBF">
        <w:rPr>
          <w:lang w:val="en-US"/>
        </w:rPr>
        <w:t>Folin</w:t>
      </w:r>
      <w:proofErr w:type="spellEnd"/>
      <w:r w:rsidRPr="004F1BBF">
        <w:rPr>
          <w:lang w:val="en-US"/>
        </w:rPr>
        <w:t xml:space="preserve"> O, &amp; Denis W (1912) </w:t>
      </w:r>
      <w:proofErr w:type="gramStart"/>
      <w:r w:rsidRPr="004F1BBF">
        <w:rPr>
          <w:lang w:val="en-US"/>
        </w:rPr>
        <w:t>On</w:t>
      </w:r>
      <w:proofErr w:type="gramEnd"/>
      <w:r w:rsidRPr="004F1BBF">
        <w:rPr>
          <w:lang w:val="en-US"/>
        </w:rPr>
        <w:t xml:space="preserve"> </w:t>
      </w:r>
      <w:proofErr w:type="spellStart"/>
      <w:r w:rsidRPr="004F1BBF">
        <w:rPr>
          <w:lang w:val="en-US"/>
        </w:rPr>
        <w:t>phosphotungstic-phosphomolybdic</w:t>
      </w:r>
      <w:proofErr w:type="spellEnd"/>
      <w:r w:rsidRPr="004F1BBF">
        <w:rPr>
          <w:lang w:val="en-US"/>
        </w:rPr>
        <w:t xml:space="preserve"> compounds as color reagents. </w:t>
      </w:r>
      <w:r w:rsidRPr="004F1BBF">
        <w:rPr>
          <w:i/>
          <w:iCs/>
          <w:lang w:val="en-US"/>
        </w:rPr>
        <w:t>JBC</w:t>
      </w:r>
      <w:r w:rsidRPr="004F1BBF">
        <w:rPr>
          <w:lang w:val="en-US"/>
        </w:rPr>
        <w:t xml:space="preserve"> 12(2), 239–243. </w:t>
      </w:r>
      <w:hyperlink r:id="rId8" w:history="1">
        <w:r w:rsidRPr="004F1BBF">
          <w:rPr>
            <w:rStyle w:val="Hyperlink"/>
            <w:lang w:val="en-US"/>
          </w:rPr>
          <w:t>https://doi.org/10.1016/S0021-9258(18)88697-5</w:t>
        </w:r>
      </w:hyperlink>
      <w:r w:rsidRPr="004F1BBF">
        <w:rPr>
          <w:lang w:val="en-US"/>
        </w:rPr>
        <w:t xml:space="preserve"> </w:t>
      </w:r>
    </w:p>
    <w:p w:rsidR="00E86AA8" w:rsidRPr="004F1BBF" w:rsidRDefault="00E86AA8" w:rsidP="004F1BBF">
      <w:pPr>
        <w:pStyle w:val="NormalWeb"/>
        <w:widowControl w:val="0"/>
        <w:numPr>
          <w:ilvl w:val="0"/>
          <w:numId w:val="3"/>
        </w:numPr>
        <w:suppressAutoHyphens/>
        <w:spacing w:before="0" w:beforeAutospacing="0" w:after="0" w:afterAutospacing="0" w:line="480" w:lineRule="auto"/>
        <w:jc w:val="both"/>
        <w:rPr>
          <w:lang w:val="en-US"/>
        </w:rPr>
      </w:pPr>
      <w:r w:rsidRPr="004F1BBF">
        <w:rPr>
          <w:lang w:val="en-US"/>
        </w:rPr>
        <w:t xml:space="preserve">Christ B, &amp; Müller KH (1960) </w:t>
      </w:r>
      <w:proofErr w:type="spellStart"/>
      <w:r w:rsidRPr="004F1BBF">
        <w:rPr>
          <w:lang w:val="en-US"/>
        </w:rPr>
        <w:t>Zur</w:t>
      </w:r>
      <w:proofErr w:type="spellEnd"/>
      <w:r w:rsidRPr="004F1BBF">
        <w:rPr>
          <w:lang w:val="en-US"/>
        </w:rPr>
        <w:t xml:space="preserve"> </w:t>
      </w:r>
      <w:proofErr w:type="spellStart"/>
      <w:r w:rsidRPr="004F1BBF">
        <w:rPr>
          <w:lang w:val="en-US"/>
        </w:rPr>
        <w:t>serienm¨aßigen</w:t>
      </w:r>
      <w:proofErr w:type="spellEnd"/>
      <w:r w:rsidRPr="004F1BBF">
        <w:rPr>
          <w:lang w:val="en-US"/>
        </w:rPr>
        <w:t xml:space="preserve"> </w:t>
      </w:r>
      <w:proofErr w:type="spellStart"/>
      <w:r w:rsidRPr="004F1BBF">
        <w:rPr>
          <w:lang w:val="en-US"/>
        </w:rPr>
        <w:t>Bestimmung</w:t>
      </w:r>
      <w:proofErr w:type="spellEnd"/>
      <w:r w:rsidRPr="004F1BBF">
        <w:rPr>
          <w:lang w:val="en-US"/>
        </w:rPr>
        <w:t xml:space="preserve"> des </w:t>
      </w:r>
      <w:proofErr w:type="spellStart"/>
      <w:r w:rsidRPr="004F1BBF">
        <w:rPr>
          <w:lang w:val="en-US"/>
        </w:rPr>
        <w:t>Gehaltes</w:t>
      </w:r>
      <w:proofErr w:type="spellEnd"/>
      <w:r w:rsidRPr="004F1BBF">
        <w:rPr>
          <w:lang w:val="en-US"/>
        </w:rPr>
        <w:t xml:space="preserve"> </w:t>
      </w:r>
      <w:proofErr w:type="gramStart"/>
      <w:r w:rsidRPr="004F1BBF">
        <w:rPr>
          <w:lang w:val="en-US"/>
        </w:rPr>
        <w:t>an</w:t>
      </w:r>
      <w:proofErr w:type="gramEnd"/>
      <w:r w:rsidRPr="004F1BBF">
        <w:rPr>
          <w:lang w:val="en-US"/>
        </w:rPr>
        <w:t xml:space="preserve"> </w:t>
      </w:r>
      <w:proofErr w:type="spellStart"/>
      <w:r w:rsidRPr="004F1BBF">
        <w:rPr>
          <w:lang w:val="en-US"/>
        </w:rPr>
        <w:t>Flavonol-Derivaten</w:t>
      </w:r>
      <w:proofErr w:type="spellEnd"/>
      <w:r w:rsidRPr="004F1BBF">
        <w:rPr>
          <w:lang w:val="en-US"/>
        </w:rPr>
        <w:t xml:space="preserve"> in </w:t>
      </w:r>
      <w:proofErr w:type="spellStart"/>
      <w:r w:rsidRPr="004F1BBF">
        <w:rPr>
          <w:lang w:val="en-US"/>
        </w:rPr>
        <w:t>Drogen</w:t>
      </w:r>
      <w:proofErr w:type="spellEnd"/>
      <w:r w:rsidRPr="004F1BBF">
        <w:rPr>
          <w:lang w:val="en-US"/>
        </w:rPr>
        <w:t xml:space="preserve">. </w:t>
      </w:r>
      <w:proofErr w:type="spellStart"/>
      <w:r w:rsidRPr="004F1BBF">
        <w:rPr>
          <w:i/>
          <w:iCs/>
          <w:lang w:val="en-US"/>
        </w:rPr>
        <w:t>Archiv</w:t>
      </w:r>
      <w:proofErr w:type="spellEnd"/>
      <w:r w:rsidRPr="004F1BBF">
        <w:rPr>
          <w:i/>
          <w:iCs/>
          <w:lang w:val="en-US"/>
        </w:rPr>
        <w:t xml:space="preserve"> der </w:t>
      </w:r>
      <w:proofErr w:type="spellStart"/>
      <w:r w:rsidRPr="004F1BBF">
        <w:rPr>
          <w:i/>
          <w:iCs/>
          <w:lang w:val="en-US"/>
        </w:rPr>
        <w:t>Pharmazie</w:t>
      </w:r>
      <w:proofErr w:type="spellEnd"/>
      <w:r w:rsidRPr="004F1BBF">
        <w:rPr>
          <w:lang w:val="en-US"/>
        </w:rPr>
        <w:t xml:space="preserve"> 293(12), 1033–1042. </w:t>
      </w:r>
      <w:hyperlink r:id="rId9" w:history="1">
        <w:r w:rsidRPr="004F1BBF">
          <w:rPr>
            <w:rStyle w:val="Hyperlink"/>
            <w:lang w:val="en-US"/>
          </w:rPr>
          <w:t>https://doi.org/10.1002/ardp.19602931202</w:t>
        </w:r>
      </w:hyperlink>
    </w:p>
    <w:sectPr w:rsidR="00E86AA8" w:rsidRPr="004F1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A70D5"/>
    <w:multiLevelType w:val="hybridMultilevel"/>
    <w:tmpl w:val="0C8248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2577F"/>
    <w:multiLevelType w:val="hybridMultilevel"/>
    <w:tmpl w:val="12129B18"/>
    <w:lvl w:ilvl="0" w:tplc="0416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77E96"/>
    <w:multiLevelType w:val="hybridMultilevel"/>
    <w:tmpl w:val="946ED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F37BD"/>
    <w:multiLevelType w:val="hybridMultilevel"/>
    <w:tmpl w:val="19F06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FD"/>
    <w:rsid w:val="00260EFD"/>
    <w:rsid w:val="004F1BBF"/>
    <w:rsid w:val="006D575F"/>
    <w:rsid w:val="00B64232"/>
    <w:rsid w:val="00E8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072A7-E7C8-482A-AA17-629CC381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6A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6A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styleId="nfase">
    <w:name w:val="Emphasis"/>
    <w:uiPriority w:val="20"/>
    <w:qFormat/>
    <w:rsid w:val="00E86AA8"/>
    <w:rPr>
      <w:i/>
      <w:iCs/>
    </w:rPr>
  </w:style>
  <w:style w:type="paragraph" w:styleId="PargrafodaLista">
    <w:name w:val="List Paragraph"/>
    <w:basedOn w:val="Normal"/>
    <w:uiPriority w:val="34"/>
    <w:qFormat/>
    <w:rsid w:val="004F1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S0021-9258(18)88697-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S0023-6438(95)80008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S0891-5849(98)00315-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16/j.foodres.2024.1148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ardp.1960293120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985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ivaneisouza@yahoo.com.br</dc:creator>
  <cp:keywords/>
  <dc:description/>
  <cp:lastModifiedBy>ivaneisouza@yahoo.com.br</cp:lastModifiedBy>
  <cp:revision>4</cp:revision>
  <dcterms:created xsi:type="dcterms:W3CDTF">2025-11-07T13:36:00Z</dcterms:created>
  <dcterms:modified xsi:type="dcterms:W3CDTF">2025-11-07T19:49:00Z</dcterms:modified>
</cp:coreProperties>
</file>