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DC9" w:rsidRPr="00E555E1" w:rsidRDefault="0065060D" w:rsidP="0005646A">
      <w:pPr>
        <w:spacing w:after="0"/>
        <w:jc w:val="center"/>
        <w:rPr>
          <w:rFonts w:ascii="Times New Roman" w:hAnsi="Times New Roman" w:cs="Times New Roman"/>
          <w:iCs/>
          <w:sz w:val="24"/>
          <w:szCs w:val="24"/>
        </w:rPr>
      </w:pPr>
      <w:r>
        <w:rPr>
          <w:rFonts w:ascii="Times New Roman" w:hAnsi="Times New Roman" w:cs="Times New Roman"/>
          <w:b/>
          <w:bCs/>
          <w:iCs/>
          <w:sz w:val="24"/>
          <w:szCs w:val="24"/>
        </w:rPr>
        <w:t xml:space="preserve">Supplementary </w:t>
      </w:r>
      <w:r w:rsidR="007B3484" w:rsidRPr="00C12130">
        <w:rPr>
          <w:rFonts w:ascii="Times New Roman" w:hAnsi="Times New Roman" w:cs="Times New Roman"/>
          <w:b/>
          <w:bCs/>
          <w:iCs/>
          <w:sz w:val="24"/>
          <w:szCs w:val="24"/>
        </w:rPr>
        <w:t xml:space="preserve">Table </w:t>
      </w:r>
      <w:r>
        <w:rPr>
          <w:rFonts w:ascii="Times New Roman" w:hAnsi="Times New Roman" w:cs="Times New Roman"/>
          <w:b/>
          <w:bCs/>
          <w:iCs/>
          <w:sz w:val="24"/>
          <w:szCs w:val="24"/>
        </w:rPr>
        <w:t>S</w:t>
      </w:r>
      <w:r w:rsidR="00366093">
        <w:rPr>
          <w:rFonts w:ascii="Times New Roman" w:hAnsi="Times New Roman" w:cs="Times New Roman"/>
          <w:b/>
          <w:bCs/>
          <w:iCs/>
          <w:sz w:val="24"/>
          <w:szCs w:val="24"/>
        </w:rPr>
        <w:t>2</w:t>
      </w:r>
      <w:r w:rsidR="0005646A" w:rsidRPr="00C12130">
        <w:rPr>
          <w:rFonts w:ascii="Times New Roman" w:hAnsi="Times New Roman" w:cs="Times New Roman"/>
          <w:b/>
          <w:bCs/>
          <w:iCs/>
          <w:sz w:val="24"/>
          <w:szCs w:val="24"/>
        </w:rPr>
        <w:t xml:space="preserve">. </w:t>
      </w:r>
      <w:r w:rsidR="00E555E1" w:rsidRPr="00E555E1">
        <w:rPr>
          <w:rFonts w:ascii="Times New Roman" w:hAnsi="Times New Roman" w:cs="Times New Roman"/>
          <w:iCs/>
          <w:sz w:val="24"/>
          <w:szCs w:val="24"/>
        </w:rPr>
        <w:t>Mitochondrial genome sequences</w:t>
      </w:r>
      <w:r w:rsidR="00E555E1">
        <w:rPr>
          <w:rFonts w:ascii="Times New Roman" w:hAnsi="Times New Roman" w:cs="Times New Roman"/>
          <w:iCs/>
          <w:sz w:val="24"/>
          <w:szCs w:val="24"/>
        </w:rPr>
        <w:t xml:space="preserve"> of other cetacean</w:t>
      </w:r>
      <w:r w:rsidR="00E555E1" w:rsidRPr="00E555E1">
        <w:rPr>
          <w:rFonts w:ascii="Times New Roman" w:hAnsi="Times New Roman" w:cs="Times New Roman"/>
          <w:iCs/>
          <w:sz w:val="24"/>
          <w:szCs w:val="24"/>
        </w:rPr>
        <w:t xml:space="preserve"> used for comparative account </w:t>
      </w:r>
    </w:p>
    <w:tbl>
      <w:tblPr>
        <w:tblStyle w:val="PlainTable4"/>
        <w:tblW w:w="12969" w:type="dxa"/>
        <w:jc w:val="center"/>
        <w:tblLook w:val="04A0" w:firstRow="1" w:lastRow="0" w:firstColumn="1" w:lastColumn="0" w:noHBand="0" w:noVBand="1"/>
      </w:tblPr>
      <w:tblGrid>
        <w:gridCol w:w="2430"/>
        <w:gridCol w:w="1265"/>
        <w:gridCol w:w="1795"/>
        <w:gridCol w:w="3330"/>
        <w:gridCol w:w="1539"/>
        <w:gridCol w:w="2610"/>
      </w:tblGrid>
      <w:tr w:rsidR="007B3484" w:rsidRPr="0005646A" w:rsidTr="0023438C">
        <w:trPr>
          <w:cnfStyle w:val="100000000000" w:firstRow="1" w:lastRow="0" w:firstColumn="0" w:lastColumn="0" w:oddVBand="0" w:evenVBand="0" w:oddHBand="0"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auto"/>
              <w:bottom w:val="single" w:sz="4" w:space="0" w:color="auto"/>
            </w:tcBorders>
            <w:shd w:val="clear" w:color="auto" w:fill="auto"/>
          </w:tcPr>
          <w:p w:rsidR="007B3484" w:rsidRPr="0005646A" w:rsidRDefault="007B3484" w:rsidP="007B3484">
            <w:pPr>
              <w:rPr>
                <w:rFonts w:ascii="Book Antiqua" w:hAnsi="Book Antiqua" w:cs="Times New Roman"/>
                <w:b w:val="0"/>
                <w:sz w:val="20"/>
                <w:szCs w:val="20"/>
              </w:rPr>
            </w:pPr>
          </w:p>
        </w:tc>
        <w:tc>
          <w:tcPr>
            <w:tcW w:w="1265" w:type="dxa"/>
            <w:tcBorders>
              <w:top w:val="single" w:sz="4" w:space="0" w:color="auto"/>
              <w:bottom w:val="single" w:sz="4" w:space="0" w:color="auto"/>
            </w:tcBorders>
            <w:shd w:val="clear" w:color="auto" w:fill="auto"/>
          </w:tcPr>
          <w:p w:rsidR="007B3484" w:rsidRPr="0005646A" w:rsidRDefault="007B3484" w:rsidP="007B3484">
            <w:pP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0"/>
                <w:szCs w:val="20"/>
              </w:rPr>
            </w:pPr>
            <w:r w:rsidRPr="0005646A">
              <w:rPr>
                <w:rFonts w:ascii="Book Antiqua" w:hAnsi="Book Antiqua" w:cs="Times New Roman"/>
                <w:sz w:val="20"/>
                <w:szCs w:val="20"/>
              </w:rPr>
              <w:t>Order</w:t>
            </w:r>
          </w:p>
        </w:tc>
        <w:tc>
          <w:tcPr>
            <w:tcW w:w="1795" w:type="dxa"/>
            <w:tcBorders>
              <w:top w:val="single" w:sz="4" w:space="0" w:color="auto"/>
              <w:bottom w:val="single" w:sz="4" w:space="0" w:color="auto"/>
            </w:tcBorders>
            <w:shd w:val="clear" w:color="auto" w:fill="auto"/>
          </w:tcPr>
          <w:p w:rsidR="007B3484" w:rsidRPr="0005646A" w:rsidRDefault="007B3484" w:rsidP="007B3484">
            <w:pP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0"/>
                <w:szCs w:val="20"/>
              </w:rPr>
            </w:pPr>
            <w:r w:rsidRPr="0005646A">
              <w:rPr>
                <w:rFonts w:ascii="Book Antiqua" w:hAnsi="Book Antiqua" w:cs="Times New Roman"/>
                <w:sz w:val="20"/>
                <w:szCs w:val="20"/>
              </w:rPr>
              <w:t>Family</w:t>
            </w:r>
          </w:p>
        </w:tc>
        <w:tc>
          <w:tcPr>
            <w:tcW w:w="3330" w:type="dxa"/>
            <w:tcBorders>
              <w:top w:val="single" w:sz="4" w:space="0" w:color="auto"/>
              <w:bottom w:val="single" w:sz="4" w:space="0" w:color="auto"/>
            </w:tcBorders>
            <w:shd w:val="clear" w:color="auto" w:fill="auto"/>
          </w:tcPr>
          <w:p w:rsidR="007B3484" w:rsidRPr="0005646A" w:rsidRDefault="007B3484" w:rsidP="007B3484">
            <w:pP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i/>
                <w:sz w:val="20"/>
                <w:szCs w:val="20"/>
              </w:rPr>
            </w:pPr>
            <w:r w:rsidRPr="0005646A">
              <w:rPr>
                <w:rFonts w:ascii="Book Antiqua" w:hAnsi="Book Antiqua" w:cs="Times New Roman"/>
                <w:i/>
                <w:sz w:val="20"/>
                <w:szCs w:val="20"/>
              </w:rPr>
              <w:t>Species</w:t>
            </w:r>
          </w:p>
        </w:tc>
        <w:tc>
          <w:tcPr>
            <w:tcW w:w="1539" w:type="dxa"/>
            <w:tcBorders>
              <w:top w:val="single" w:sz="4" w:space="0" w:color="auto"/>
              <w:bottom w:val="single" w:sz="4" w:space="0" w:color="auto"/>
            </w:tcBorders>
            <w:shd w:val="clear" w:color="auto" w:fill="auto"/>
          </w:tcPr>
          <w:p w:rsidR="007B3484" w:rsidRPr="0005646A" w:rsidRDefault="00C43F6D" w:rsidP="007B3484">
            <w:pP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0"/>
                <w:szCs w:val="20"/>
              </w:rPr>
            </w:pPr>
            <w:r w:rsidRPr="0005646A">
              <w:rPr>
                <w:rFonts w:ascii="Book Antiqua" w:hAnsi="Book Antiqua" w:cs="Times New Roman"/>
                <w:sz w:val="20"/>
                <w:szCs w:val="20"/>
              </w:rPr>
              <w:t>Accession</w:t>
            </w:r>
            <w:r w:rsidR="007B3484" w:rsidRPr="0005646A">
              <w:rPr>
                <w:rFonts w:ascii="Book Antiqua" w:hAnsi="Book Antiqua" w:cs="Times New Roman"/>
                <w:sz w:val="20"/>
                <w:szCs w:val="20"/>
              </w:rPr>
              <w:t xml:space="preserve"> No</w:t>
            </w:r>
            <w:r w:rsidRPr="0005646A">
              <w:rPr>
                <w:rFonts w:ascii="Book Antiqua" w:hAnsi="Book Antiqua" w:cs="Times New Roman"/>
                <w:sz w:val="20"/>
                <w:szCs w:val="20"/>
              </w:rPr>
              <w:t>.</w:t>
            </w:r>
          </w:p>
        </w:tc>
        <w:tc>
          <w:tcPr>
            <w:tcW w:w="2610" w:type="dxa"/>
            <w:tcBorders>
              <w:top w:val="single" w:sz="4" w:space="0" w:color="auto"/>
              <w:bottom w:val="single" w:sz="4" w:space="0" w:color="auto"/>
            </w:tcBorders>
            <w:shd w:val="clear" w:color="auto" w:fill="auto"/>
          </w:tcPr>
          <w:p w:rsidR="007B3484" w:rsidRPr="0005646A" w:rsidRDefault="007B3484" w:rsidP="007B3484">
            <w:pP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0"/>
                <w:szCs w:val="20"/>
              </w:rPr>
            </w:pPr>
            <w:r w:rsidRPr="0005646A">
              <w:rPr>
                <w:rFonts w:ascii="Book Antiqua" w:hAnsi="Book Antiqua" w:cs="Times New Roman"/>
                <w:sz w:val="20"/>
                <w:szCs w:val="20"/>
              </w:rPr>
              <w:t>Ref</w:t>
            </w:r>
            <w:r w:rsidR="00C43F6D" w:rsidRPr="0005646A">
              <w:rPr>
                <w:rFonts w:ascii="Book Antiqua" w:hAnsi="Book Antiqua" w:cs="Times New Roman"/>
                <w:sz w:val="20"/>
                <w:szCs w:val="20"/>
              </w:rPr>
              <w:t>erence</w:t>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val="restart"/>
            <w:tcBorders>
              <w:top w:val="single" w:sz="4" w:space="0" w:color="auto"/>
            </w:tcBorders>
            <w:shd w:val="clear" w:color="auto" w:fill="auto"/>
          </w:tcPr>
          <w:p w:rsidR="00EC5CF5" w:rsidRDefault="007B3484" w:rsidP="0005646A">
            <w:pPr>
              <w:rPr>
                <w:rFonts w:ascii="Book Antiqua" w:hAnsi="Book Antiqua" w:cs="Times New Roman"/>
                <w:sz w:val="20"/>
                <w:szCs w:val="20"/>
              </w:rPr>
            </w:pPr>
            <w:r w:rsidRPr="0005646A">
              <w:rPr>
                <w:rFonts w:ascii="Book Antiqua" w:hAnsi="Book Antiqua" w:cs="Times New Roman"/>
                <w:sz w:val="20"/>
                <w:szCs w:val="20"/>
              </w:rPr>
              <w:t>Cetacea</w:t>
            </w:r>
            <w:r w:rsidR="00EC5CF5">
              <w:rPr>
                <w:rFonts w:ascii="Book Antiqua" w:hAnsi="Book Antiqua" w:cs="Times New Roman"/>
                <w:sz w:val="20"/>
                <w:szCs w:val="20"/>
              </w:rPr>
              <w:t xml:space="preserve"> </w:t>
            </w:r>
          </w:p>
          <w:p w:rsidR="007B3484" w:rsidRPr="0005646A" w:rsidRDefault="00EC5CF5" w:rsidP="0005646A">
            <w:pPr>
              <w:rPr>
                <w:rFonts w:ascii="Book Antiqua" w:hAnsi="Book Antiqua" w:cs="Times New Roman"/>
                <w:sz w:val="20"/>
                <w:szCs w:val="20"/>
              </w:rPr>
            </w:pPr>
            <w:r>
              <w:rPr>
                <w:rFonts w:ascii="Book Antiqua" w:hAnsi="Book Antiqua" w:cs="Times New Roman"/>
                <w:sz w:val="20"/>
                <w:szCs w:val="20"/>
              </w:rPr>
              <w:t>(River Dolphin)</w:t>
            </w:r>
          </w:p>
        </w:tc>
        <w:tc>
          <w:tcPr>
            <w:tcW w:w="1265" w:type="dxa"/>
            <w:vMerge w:val="restart"/>
            <w:tcBorders>
              <w:top w:val="single" w:sz="4" w:space="0" w:color="auto"/>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Odontoceti</w:t>
            </w:r>
          </w:p>
        </w:tc>
        <w:tc>
          <w:tcPr>
            <w:tcW w:w="1795" w:type="dxa"/>
            <w:vMerge w:val="restart"/>
            <w:tcBorders>
              <w:top w:val="single" w:sz="4" w:space="0" w:color="auto"/>
            </w:tcBorders>
            <w:shd w:val="clear" w:color="auto" w:fill="auto"/>
          </w:tcPr>
          <w:p w:rsidR="007B3484"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Platanistidae</w:t>
            </w:r>
          </w:p>
          <w:p w:rsidR="0005646A" w:rsidRPr="0005646A" w:rsidRDefault="0005646A"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Platanistidae</w:t>
            </w:r>
          </w:p>
        </w:tc>
        <w:tc>
          <w:tcPr>
            <w:tcW w:w="3330" w:type="dxa"/>
            <w:tcBorders>
              <w:top w:val="single" w:sz="4" w:space="0" w:color="auto"/>
            </w:tcBorders>
            <w:shd w:val="clear" w:color="auto" w:fill="auto"/>
          </w:tcPr>
          <w:p w:rsidR="007B3484" w:rsidRPr="00445E20" w:rsidRDefault="007B3484" w:rsidP="00445E20">
            <w:pPr>
              <w:pStyle w:val="ListParagraph"/>
              <w:numPr>
                <w:ilvl w:val="0"/>
                <w:numId w:val="3"/>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Platanista gangetica</w:t>
            </w:r>
            <w:r w:rsidR="00EC5CF5" w:rsidRPr="00445E20">
              <w:rPr>
                <w:rFonts w:ascii="Book Antiqua" w:hAnsi="Book Antiqua" w:cs="Times New Roman"/>
                <w:i/>
                <w:sz w:val="20"/>
                <w:szCs w:val="20"/>
              </w:rPr>
              <w:t xml:space="preserve"> gangetica</w:t>
            </w:r>
          </w:p>
        </w:tc>
        <w:tc>
          <w:tcPr>
            <w:tcW w:w="1539" w:type="dxa"/>
            <w:tcBorders>
              <w:top w:val="single" w:sz="4" w:space="0" w:color="auto"/>
            </w:tcBorders>
            <w:shd w:val="clear" w:color="auto" w:fill="auto"/>
          </w:tcPr>
          <w:p w:rsidR="007B3484" w:rsidRPr="00EC5CF5"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C5CF5">
              <w:rPr>
                <w:rFonts w:ascii="Book Antiqua" w:eastAsia="Calibri" w:hAnsi="Book Antiqua" w:cs="Times New Roman"/>
                <w:sz w:val="20"/>
                <w:szCs w:val="20"/>
                <w:lang w:val="en-US" w:bidi="mr-IN"/>
              </w:rPr>
              <w:t>MF_990206</w:t>
            </w:r>
          </w:p>
        </w:tc>
        <w:tc>
          <w:tcPr>
            <w:tcW w:w="2610" w:type="dxa"/>
            <w:tcBorders>
              <w:top w:val="single" w:sz="4" w:space="0" w:color="auto"/>
            </w:tcBorders>
            <w:shd w:val="clear" w:color="auto" w:fill="auto"/>
          </w:tcPr>
          <w:p w:rsidR="007B3484" w:rsidRPr="00445E20" w:rsidRDefault="00C43F6D"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bCs/>
                <w:sz w:val="20"/>
                <w:szCs w:val="20"/>
              </w:rPr>
            </w:pPr>
            <w:r w:rsidRPr="00445E20">
              <w:rPr>
                <w:rFonts w:ascii="Book Antiqua" w:hAnsi="Book Antiqua" w:cs="Times New Roman"/>
                <w:b/>
                <w:bCs/>
                <w:sz w:val="20"/>
                <w:szCs w:val="20"/>
              </w:rPr>
              <w:t>P</w:t>
            </w:r>
            <w:r w:rsidR="007B3484" w:rsidRPr="00445E20">
              <w:rPr>
                <w:rFonts w:ascii="Book Antiqua" w:hAnsi="Book Antiqua" w:cs="Times New Roman"/>
                <w:b/>
                <w:bCs/>
                <w:sz w:val="20"/>
                <w:szCs w:val="20"/>
              </w:rPr>
              <w:t>resent</w:t>
            </w:r>
            <w:r w:rsidRPr="00445E20">
              <w:rPr>
                <w:rFonts w:ascii="Book Antiqua" w:hAnsi="Book Antiqua" w:cs="Times New Roman"/>
                <w:b/>
                <w:bCs/>
                <w:sz w:val="20"/>
                <w:szCs w:val="20"/>
              </w:rPr>
              <w:t xml:space="preserve"> Study</w:t>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3"/>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 xml:space="preserve">Platanista </w:t>
            </w:r>
            <w:r w:rsidR="0023438C" w:rsidRPr="00445E20">
              <w:rPr>
                <w:rFonts w:ascii="Book Antiqua" w:hAnsi="Book Antiqua" w:cs="Times New Roman"/>
                <w:i/>
                <w:sz w:val="20"/>
                <w:szCs w:val="20"/>
              </w:rPr>
              <w:t>gangetica</w:t>
            </w:r>
            <w:r w:rsidR="0023438C" w:rsidRPr="00445E20">
              <w:rPr>
                <w:rFonts w:ascii="Book Antiqua" w:hAnsi="Book Antiqua" w:cs="Times New Roman"/>
                <w:i/>
                <w:sz w:val="20"/>
                <w:szCs w:val="20"/>
              </w:rPr>
              <w:t xml:space="preserve"> </w:t>
            </w:r>
            <w:bookmarkStart w:id="0" w:name="_GoBack"/>
            <w:bookmarkEnd w:id="0"/>
            <w:r w:rsidRPr="00445E20">
              <w:rPr>
                <w:rFonts w:ascii="Book Antiqua" w:hAnsi="Book Antiqua" w:cs="Times New Roman"/>
                <w:i/>
                <w:sz w:val="20"/>
                <w:szCs w:val="20"/>
              </w:rPr>
              <w:t>minor</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NC_005275.1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Lipotidae</w:t>
            </w:r>
          </w:p>
        </w:tc>
        <w:tc>
          <w:tcPr>
            <w:tcW w:w="3330" w:type="dxa"/>
            <w:shd w:val="clear" w:color="auto" w:fill="auto"/>
          </w:tcPr>
          <w:p w:rsidR="007B3484" w:rsidRPr="00445E20" w:rsidRDefault="007B3484" w:rsidP="00445E20">
            <w:pPr>
              <w:pStyle w:val="ListParagraph"/>
              <w:numPr>
                <w:ilvl w:val="0"/>
                <w:numId w:val="3"/>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Lipotes vexillifer</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NC_007629.1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"10.1016/j.ympev.2005.06.009", "ISBN" : "1055-7903", "ISSN" : "10557903", "PMID" : "16046150", "abstract" : "It is well known that the classical river dolphins are not a natural group, but up to now the phylogenetic relationships among them are not very clear because different views have been referred from different studies. In the present study, we determined the complete nucleotide sequence of the mitochondrial (mt) genome of the baiji (Lipotes vexillifer), the most endangered cetacean species, and conducted phylogenetic analyses for the classical river dolphins based on data from cetacean mitochondrial genomes available. In our analyses, the classical river dolphins split into two separate lineages, Platanista and Lipotes + (Inia + Pontoporia), having no sister relationship with each other, and the Platanista lineage is always within the odontocete clade instead of having a closer affinity to Mysticeti. The position of the Platanista is more basal, suggesting separate divergence of this lineage well before the other one. The Lipotes has a sister relationship with Inia + pontoporia, and they together formed the sister group to the Delphinoidea. This result strongly supports paraphyly of the classical river dolphins, and the nonplatanistoid river dolphins do represent a monophyletic grouping, with the Lipotidae as the sister taxa to (Iniidae + Pontoporiidae), and is well congruent with the studies based on short interspersed repetitive elements (SINEs). \u00a9 2005 Elsevier Inc. All rights reserved.", "author" : [ { "dropping-particle" : "", "family" : "Yan", "given" : "Jie", "non-dropping-particle" : "", "parse-names" : false, "suffix" : "" }, { "dropping-particle" : "", "family" : "Zhou", "given" : "Kaiya", "non-dropping-particle" : "", "parse-names" : false, "suffix" : "" }, { "dropping-particle" : "", "family" : "Yang", "given" : "Guang", "non-dropping-particle" : "", "parse-names" : false, "suffix" : "" } ], "container-title" : "Molecular Phylogenetics and Evolution", "id" : "ITEM-1", "issue" : "3", "issued" : { "date-parts" : [ [ "2005" ] ] }, "page" : "743-750", "title" : "Molecular phylogenetics of 'river dolphins' and the baiji mitochondrial genome", "type" : "article-journal", "volume" : "37" }, "uris" : [ "http://www.mendeley.com/documents/?uuid=75541d60-f8b8-43bf-8ede-b48231657237" ] } ], "mendeley" : { "formattedCitation" : "(Yan et al., 2005)", "plainTextFormattedCitation" : "(Yan et al., 2005)", "previouslyFormattedCitation" : "(Yan et al., 2005)"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Yan et al., 2005</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Pontoporiidae</w:t>
            </w:r>
          </w:p>
        </w:tc>
        <w:tc>
          <w:tcPr>
            <w:tcW w:w="3330" w:type="dxa"/>
            <w:shd w:val="clear" w:color="auto" w:fill="auto"/>
          </w:tcPr>
          <w:p w:rsidR="007B3484" w:rsidRPr="00445E20" w:rsidRDefault="007B3484" w:rsidP="00445E20">
            <w:pPr>
              <w:pStyle w:val="ListParagraph"/>
              <w:numPr>
                <w:ilvl w:val="0"/>
                <w:numId w:val="3"/>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Pontoporia blainvillei</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NC_005277.1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30" w:type="dxa"/>
            <w:vMerge/>
            <w:tcBorders>
              <w:bottom w:val="single" w:sz="4" w:space="0" w:color="auto"/>
            </w:tcBorders>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bottom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tcBorders>
              <w:bottom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Inidae</w:t>
            </w:r>
          </w:p>
        </w:tc>
        <w:tc>
          <w:tcPr>
            <w:tcW w:w="3330" w:type="dxa"/>
            <w:tcBorders>
              <w:bottom w:val="single" w:sz="4" w:space="0" w:color="auto"/>
            </w:tcBorders>
            <w:shd w:val="clear" w:color="auto" w:fill="auto"/>
          </w:tcPr>
          <w:p w:rsidR="007B3484" w:rsidRPr="00445E20" w:rsidRDefault="007B3484" w:rsidP="00445E20">
            <w:pPr>
              <w:pStyle w:val="ListParagraph"/>
              <w:numPr>
                <w:ilvl w:val="0"/>
                <w:numId w:val="3"/>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Inia geoffrensis</w:t>
            </w:r>
          </w:p>
        </w:tc>
        <w:tc>
          <w:tcPr>
            <w:tcW w:w="1539" w:type="dxa"/>
            <w:tcBorders>
              <w:bottom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NC_005276</w:t>
            </w:r>
          </w:p>
        </w:tc>
        <w:tc>
          <w:tcPr>
            <w:tcW w:w="2610" w:type="dxa"/>
            <w:tcBorders>
              <w:bottom w:val="single" w:sz="4" w:space="0" w:color="auto"/>
            </w:tcBorders>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val="restart"/>
            <w:tcBorders>
              <w:top w:val="single" w:sz="4" w:space="0" w:color="auto"/>
            </w:tcBorders>
            <w:shd w:val="clear" w:color="auto" w:fill="auto"/>
          </w:tcPr>
          <w:p w:rsidR="00EC5CF5" w:rsidRDefault="00EC5CF5" w:rsidP="00EC5CF5">
            <w:pPr>
              <w:rPr>
                <w:rFonts w:ascii="Book Antiqua" w:hAnsi="Book Antiqua" w:cs="Times New Roman"/>
                <w:sz w:val="20"/>
                <w:szCs w:val="20"/>
              </w:rPr>
            </w:pPr>
            <w:r w:rsidRPr="0005646A">
              <w:rPr>
                <w:rFonts w:ascii="Book Antiqua" w:hAnsi="Book Antiqua" w:cs="Times New Roman"/>
                <w:sz w:val="20"/>
                <w:szCs w:val="20"/>
              </w:rPr>
              <w:t>Cetacea</w:t>
            </w:r>
            <w:r>
              <w:rPr>
                <w:rFonts w:ascii="Book Antiqua" w:hAnsi="Book Antiqua" w:cs="Times New Roman"/>
                <w:sz w:val="20"/>
                <w:szCs w:val="20"/>
              </w:rPr>
              <w:t xml:space="preserve"> </w:t>
            </w:r>
          </w:p>
          <w:p w:rsidR="007B3484" w:rsidRPr="0005646A" w:rsidRDefault="00EC5CF5" w:rsidP="00EC5CF5">
            <w:pPr>
              <w:rPr>
                <w:rFonts w:ascii="Book Antiqua" w:hAnsi="Book Antiqua" w:cs="Times New Roman"/>
                <w:sz w:val="20"/>
                <w:szCs w:val="20"/>
              </w:rPr>
            </w:pPr>
            <w:r>
              <w:rPr>
                <w:rFonts w:ascii="Book Antiqua" w:hAnsi="Book Antiqua" w:cs="Times New Roman"/>
                <w:sz w:val="20"/>
                <w:szCs w:val="20"/>
              </w:rPr>
              <w:t>(Marine Dolphin)</w:t>
            </w:r>
          </w:p>
        </w:tc>
        <w:tc>
          <w:tcPr>
            <w:tcW w:w="1265" w:type="dxa"/>
            <w:vMerge w:val="restart"/>
            <w:tcBorders>
              <w:top w:val="single" w:sz="4" w:space="0" w:color="auto"/>
              <w:left w:val="nil"/>
            </w:tcBorders>
            <w:shd w:val="clear" w:color="auto" w:fill="auto"/>
          </w:tcPr>
          <w:p w:rsidR="007B3484" w:rsidRPr="0005646A" w:rsidRDefault="00EC5CF5"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Odontoceti</w:t>
            </w:r>
          </w:p>
        </w:tc>
        <w:tc>
          <w:tcPr>
            <w:tcW w:w="1795" w:type="dxa"/>
            <w:tcBorders>
              <w:top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Kogidae</w:t>
            </w:r>
          </w:p>
        </w:tc>
        <w:tc>
          <w:tcPr>
            <w:tcW w:w="3330" w:type="dxa"/>
            <w:tcBorders>
              <w:top w:val="single" w:sz="4" w:space="0" w:color="auto"/>
            </w:tcBorders>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Kogia breviceps</w:t>
            </w:r>
          </w:p>
        </w:tc>
        <w:tc>
          <w:tcPr>
            <w:tcW w:w="1539" w:type="dxa"/>
            <w:tcBorders>
              <w:top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NC_005272.1</w:t>
            </w:r>
          </w:p>
        </w:tc>
        <w:tc>
          <w:tcPr>
            <w:tcW w:w="2610" w:type="dxa"/>
            <w:tcBorders>
              <w:top w:val="single" w:sz="4" w:space="0" w:color="auto"/>
            </w:tcBorders>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Physeteridae</w:t>
            </w:r>
          </w:p>
        </w:tc>
        <w:tc>
          <w:tcPr>
            <w:tcW w:w="3330" w:type="dxa"/>
            <w:shd w:val="clear" w:color="auto" w:fill="auto"/>
          </w:tcPr>
          <w:p w:rsidR="007B3484" w:rsidRPr="00445E20" w:rsidRDefault="007B3484" w:rsidP="00445E20">
            <w:pPr>
              <w:pStyle w:val="ListParagraph"/>
              <w:numPr>
                <w:ilvl w:val="0"/>
                <w:numId w:val="4"/>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Physeter catodon</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NC_002503.2</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val="restart"/>
            <w:shd w:val="clear" w:color="auto" w:fill="auto"/>
          </w:tcPr>
          <w:p w:rsidR="007B3484"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Ziphiidae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Ziphiidae</w:t>
            </w:r>
          </w:p>
          <w:p w:rsidR="0005646A" w:rsidRP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Ziphiidae</w:t>
            </w:r>
          </w:p>
        </w:tc>
        <w:tc>
          <w:tcPr>
            <w:tcW w:w="3330" w:type="dxa"/>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Berardius bairdii</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NC_005274.1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Mesoplodon grayi</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NC_023830.1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"10.1093/nar/gkv1189", "ISBN" : "1362-4962 (Electronic) 0305-1048 (Linking)", "ISSN" : "13624962", "PMID" : "26553804", "abstract" : "The RefSeq project at the National Center for Biotech- nology Information (NCBI) maintains and curates a publicly available database of annotated genomic, transcript, and protein sequence records (http:// www.ncbi.nlm.nih.gov/refseq/). The RefSeq project leverages the data submitted to the International Nu- cleotide Sequence Database Collaboration (INSDC) against a combination of computation, manual cu- ration, and collaboration to produce a standard set of stable, non-redundant reference sequences. The RefSeq project augments these reference sequences with current knowledge including publications, func- tional features and informative nomenclature. The database currently represents sequences from more than 55 000 organisms (&gt;4800 viruses, &gt;40 000 prokaryotes and &gt;10 000 eukaryotes; RefSeq re- lease 71), ranging from a single record to complete genomes. This paper summarizes the current sta- tus of the viral, prokaryotic, and eukaryotic branches of the RefSeq project, reports on improvements to data access and details efforts to further expand the taxonomic representation of the collection. We also highlight diverse functional curation initiatives that support multiple uses of RefSeq data including tax- onomic validation, genome annotation, comparative genomics, and clinical testing. We summarize our approach to utilizing available RNA-Seq and other data types in our manual curation process for verte- brate, plant, and other species, and describe a new direction for prokaryotic genomes and protein name management.", "author" : [ { "dropping-particle" : "", "family" : "O'Leary", "given" : "Nuala A.", "non-dropping-particle" : "", "parse-names" : false, "suffix" : "" }, { "dropping-particle" : "", "family" : "Wright", "given" : "Mathew W.", "non-dropping-particle" : "", "parse-names" : false, "suffix" : "" }, { "dropping-particle" : "", "family" : "Brister", "given" : "J. Rodney", "non-dropping-particle" : "", "parse-names" : false, "suffix" : "" }, { "dropping-particle" : "", "family" : "Ciufo", "given" : "Stacy", "non-dropping-particle" : "", "parse-names" : false, "suffix" : "" }, { "dropping-particle" : "", "family" : "Haddad", "given" : "Diana", "non-dropping-particle" : "", "parse-names" : false, "suffix" : "" }, { "dropping-particle" : "", "family" : "McVeigh", "given" : "Rich", "non-dropping-particle" : "", "parse-names" : false, "suffix" : "" }, { "dropping-particle" : "", "family" : "Rajput", "given" : "Bhanu", "non-dropping-particle" : "", "parse-names" : false, "suffix" : "" }, { "dropping-particle" : "", "family" : "Robbertse", "given" : "Barbara", "non-dropping-particle" : "", "parse-names" : false, "suffix" : "" }, { "dropping-particle" : "", "family" : "Smith-White", "given" : "Brian", "non-dropping-particle" : "", "parse-names" : false, "suffix" : "" }, { "dropping-particle" : "", "family" : "Ako-Adjei", "given" : "Danso", "non-dropping-particle" : "", "parse-names" : false, "suffix" : "" }, { "dropping-particle" : "", "family" : "Astashyn", "given" : "Alexander", "non-dropping-particle" : "", "parse-names" : false, "suffix" : "" }, { "dropping-particle" : "", "family" : "Badretdin", "given" : "Azat", "non-dropping-particle" : "", "parse-names" : false, "suffix" : "" }, { "dropping-particle" : "", "family" : "Bao", "given" : "Yiming", "non-dropping-particle" : "", "parse-names" : false, "suffix" : "" }, { "dropping-particle" : "", "family" : "Blinkova", "given" : "Olga", "non-dropping-particle" : "", "parse-names" : false, "suffix" : "" }, { "dropping-particle" : "", "family" : "Brover", "given" : "Vyacheslav", "non-dropping-particle" : "", "parse-names" : false, "suffix" : "" }, { "dropping-particle" : "", "family" : "Chetvernin", "given" : "Vyacheslav", "non-dropping-particle" : "", "parse-names" : false, "suffix" : "" }, { "dropping-particle" : "", "family" : "Choi", "given" : "Jinna", "non-dropping-particle" : "", "parse-names" : false, "suffix" : "" }, { "dropping-particle" : "", "family" : "Cox", "given" : "Eric", "non-dropping-particle" : "", "parse-names" : false, "suffix" : "" }, { "dropping-particle" : "", "family" : "Ermolaeva", "given" : "Olga", "non-dropping-particle" : "", "parse-names" : false, "suffix" : "" }, { "dropping-particle" : "", "family" : "Farrell", "given" : "Catherine M.", "non-dropping-particle" : "", "parse-names" : false, "suffix" : "" }, { "dropping-particle" : "", "family" : "Goldfarb", "given" : "Tamara", "non-dropping-particle" : "", "parse-names" : false, "suffix" : "" }, { "dropping-particle" : "", "family" : "Gupta", "given" : "Tripti", "non-dropping-particle" : "", "parse-names" : false, "suffix" : "" }, { "dropping-particle" : "", "family" : "Haft", "given" : "Daniel", "non-dropping-particle" : "", "parse-names" : false, "suffix" : "" }, { "dropping-particle" : "", "family" : "Hatcher", "given" : "Eneida", "non-dropping-particle" : "", "parse-names" : false, "suffix" : "" }, { "dropping-particle" : "", "family" : "Hlavina", "given" : "Wratko", "non-dropping-particle" : "", "parse-names" : false, "suffix" : "" }, { "dropping-particle" : "", "family" : "Joardar", "given" : "Vinita S.", "non-dropping-particle" : "", "parse-names" : false, "suffix" : "" }, { "dropping-particle" : "", "family" : "Kodali", "given" : "Vamsi K.", "non-dropping-particle" : "", "parse-names" : false, "suffix" : "" }, { "dropping-particle" : "", "family" : "Li", "given" : "Wenjun", "non-dropping-particle" : "", "parse-names" : false, "suffix" : "" }, { "dropping-particle" : "", "family" : "Maglott", "given" : "Donna", "non-dropping-particle" : "", "parse-names" : false, "suffix" : "" }, { "dropping-particle" : "", "family" : "Masterson", "given" : "Patrick", "non-dropping-particle" : "", "parse-names" : false, "suffix" : "" }, { "dropping-particle" : "", "family" : "McGarvey", "given" : "Kelly M.", "non-dropping-particle" : "", "parse-names" : false, "suffix" : "" }, { "dropping-particle" : "", "family" : "Murphy", "given" : "Michael R.", "non-dropping-particle" : "", "parse-names" : false, "suffix" : "" }, { "dropping-particle" : "", "family" : "O'Neill", "given" : "Kathleen", "non-dropping-particle" : "", "parse-names" : false, "suffix" : "" }, { "dropping-particle" : "", "family" : "Pujar", "given" : "Shashikant", "non-dropping-particle" : "", "parse-names" : false, "suffix" : "" }, { "dropping-particle" : "", "family" : "Rangwala", "given" : "Sanjida H.", "non-dropping-particle" : "", "parse-names" : false, "suffix" : "" }, { "dropping-particle" : "", "family" : "Rausch", "given" : "Daniel", "non-dropping-particle" : "", "parse-names" : false, "suffix" : "" }, { "dropping-particle" : "", "family" : "Riddick", "given" : "Lillian D.", "non-dropping-particle" : "", "parse-names" : false, "suffix" : "" }, { "dropping-particle" : "", "family" : "Schoch", "given" : "Conrad", "non-dropping-particle" : "", "parse-names" : false, "suffix" : "" }, { "dropping-particle" : "", "family" : "Shkeda", "given" : "Andrei", "non-dropping-particle" : "", "parse-names" : false, "suffix" : "" }, { "dropping-particle" : "", "family" : "Storz", "given" : "Susan S.", "non-dropping-particle" : "", "parse-names" : false, "suffix" : "" }, { "dropping-particle" : "", "family" : "Sun", "given" : "Hanzhen", "non-dropping-particle" : "", "parse-names" : false, "suffix" : "" }, { "dropping-particle" : "", "family" : "Thibaud-Nissen", "given" : "Francoise", "non-dropping-particle" : "", "parse-names" : false, "suffix" : "" }, { "dropping-particle" : "", "family" : "Tolstoy", "given" : "Igor", "non-dropping-particle" : "", "parse-names" : false, "suffix" : "" }, { "dropping-particle" : "", "family" : "Tully", "given" : "Raymond E.", "non-dropping-particle" : "", "parse-names" : false, "suffix" : "" }, { "dropping-particle" : "", "family" : "Vatsan", "given" : "Anjana R.", "non-dropping-particle" : "", "parse-names" : false, "suffix" : "" }, { "dropping-particle" : "", "family" : "Wallin", "given" : "Craig", "non-dropping-particle" : "", "parse-names" : false, "suffix" : "" }, { "dropping-particle" : "", "family" : "Webb", "given" : "David", "non-dropping-particle" : "", "parse-names" : false, "suffix" : "" }, { "dropping-particle" : "", "family" : "Wu", "given" : "Wendy", "non-dropping-particle" : "", "parse-names" : false, "suffix" : "" }, { "dropping-particle" : "", "family" : "Landrum", "given" : "Melissa J.", "non-dropping-particle" : "", "parse-names" : false, "suffix" : "" }, { "dropping-particle" : "", "family" : "Kimchi", "given" : "Avi", "non-dropping-particle" : "", "parse-names" : false, "suffix" : "" }, { "dropping-particle" : "", "family" : "Tatusova", "given" : "Tatiana", "non-dropping-particle" : "", "parse-names" : false, "suffix" : "" }, { "dropping-particle" : "", "family" : "DiCuccio", "given" : "Michael", "non-dropping-particle" : "", "parse-names" : false, "suffix" : "" }, { "dropping-particle" : "", "family" : "Kitts", "given" : "Paul", "non-dropping-particle" : "", "parse-names" : false, "suffix" : "" }, { "dropping-particle" : "", "family" : "Murphy", "given" : "Terence D.", "non-dropping-particle" : "", "parse-names" : false, "suffix" : "" }, { "dropping-particle" : "", "family" : "Pruitt", "given" : "Kim D.", "non-dropping-particle" : "", "parse-names" : false, "suffix" : "" } ], "container-title" : "Nucleic Acids Research", "id" : "ITEM-1", "issue" : "D1", "issued" : { "date-parts" : [ [ "2016" ] ] }, "page" : "D733-D745", "title" : "Reference sequence (RefSeq) database at NCBI: Current status, taxonomic expansion, and functional annotation", "type" : "article-journal", "volume" : "44" }, "uris" : [ "http://www.mendeley.com/documents/?uuid=ae95fcd5-a8a1-4cc4-b1e0-f85c03c77573" ] } ], "mendeley" : { "formattedCitation" : "(O\u2019Leary et al., 2016)", "plainTextFormattedCitation" : "(O\u2019Leary et al., 2016)", "previouslyFormattedCitation" : "(O\u2019Leary et al., 2016)"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O’Leary et al., 2016</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Hyperoodon ampullatus</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NC_005273.1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Monodontidae</w:t>
            </w:r>
          </w:p>
        </w:tc>
        <w:tc>
          <w:tcPr>
            <w:tcW w:w="3330" w:type="dxa"/>
            <w:shd w:val="clear" w:color="auto" w:fill="auto"/>
          </w:tcPr>
          <w:p w:rsidR="007B3484" w:rsidRPr="00445E20" w:rsidRDefault="007B3484" w:rsidP="00445E20">
            <w:pPr>
              <w:pStyle w:val="ListParagraph"/>
              <w:numPr>
                <w:ilvl w:val="0"/>
                <w:numId w:val="4"/>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Monodon monoceros</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NC_005279.1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val="restart"/>
            <w:shd w:val="clear" w:color="auto" w:fill="auto"/>
          </w:tcPr>
          <w:p w:rsidR="007B3484"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p w:rsidR="0005646A" w:rsidRPr="0005646A" w:rsidRDefault="0005646A"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Delphinidae</w:t>
            </w:r>
          </w:p>
        </w:tc>
        <w:tc>
          <w:tcPr>
            <w:tcW w:w="3330" w:type="dxa"/>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Cephalorhynchus heavisidii</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NC_020696.1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noProof/>
                <w:sz w:val="20"/>
                <w:szCs w:val="20"/>
              </w:rPr>
              <w:fldChar w:fldCharType="begin" w:fldLock="1"/>
            </w:r>
            <w:r w:rsidRPr="0005646A">
              <w:rPr>
                <w:rFonts w:ascii="Book Antiqua" w:hAnsi="Book Antiqua" w:cs="Times New Roman"/>
                <w:noProof/>
                <w:sz w:val="20"/>
                <w:szCs w:val="20"/>
              </w:rPr>
              <w:instrText>ADDIN CSL_CITATION { "citationItems" : [ { "id" : "ITEM-1", "itemData" : { "DOI" : "10.1016/j.crvi.2011.11.002", "ISBN" : "1768-3238 (Electronic)\\n1631-0691 (Linking)", "ISSN" : "16310691", "PMID" : "22226162", "abstract" : "The order Cetartiodactyla includes cetaceans (whales, dolphins and porpoises) that are found in all oceans and seas, as well as in some rivers, and artiodactyls (ruminants, pigs, peccaries, hippos, camels and llamas) that are present on all continents, except Antarctica and until recent invasions, Australia. There are currently 332 recognized cetartiodactyl species, which are classified into 132 genera and 22 families. Most phylogenetic studies have focused on deep relationships, and no comprehensive time-calibrated tree for the group has been published yet. In this study, 128 new complete mitochondrial genomes of Cetartiodactyla were sequenced and aligned with those extracted from nucleotide databases. Our alignment includes 14,902 unambiguously aligned nucleotide characters for 210 taxa, representing 183 species, 107 genera, and all cetartiodactyl families. Our mtDNA data produced a statistically robust tree, which is largely consistent with previous classifications. However, a few taxa were found to be para- or polyphyletic, including the family Balaenopteridae, as well as several genera and species. Accordingly, we propose several taxonomic changes in order to render the classification compatible with our molecular phylogeny. In some cases, the results can be interpreted as possible taxonomic misidentification or evidence for mtDNA introgression. The existence of three new cryptic species of Ruminantia should therefore be confirmed by further analyses using nuclear data. We estimate divergence times using Bayesian relaxed molecular clock models. The deepest nodes appeared very sensitive to prior assumptions leading to unreliable estimates, primarily because of the misleading effects of rate heterogeneity, saturation and divergent outgroups. In addition, we detected that Whippomorpha contains slow-evolving taxa, such as large whales and hippos, as well as fast-evolving taxa, such as river dolphins. Our results nevertheless indicate that the evolutionary history of cetartiodactyls was punctuated by four main phases of rapid radiation during the Cenozoic era: the sudden occurrence of the three extant lineages within Cetartiodactyla (Cetruminantia, Suina and Tylopoda); the basal diversification of Cetacea during the Early Oligocene; and two radiations that involve Cetacea and Pecora, one at the Oligocene/Miocene boundary and the other in the Middle Miocene. In addition, we show that the high species diversity now observed in the families Bovidae and Cer\u2026", "author" : [ { "dropping-particle" : "", "family" : "Hassanin", "given" : "Alexandre", "non-dropping-particle" : "", "parse-names" : false, "suffix" : "" }, { "dropping-particle" : "", "family" : "Delsuc", "given" : "Fr\u00e9d\u00e9ric", "non-dropping-particle" : "", "parse-names" : false, "suffix" : "" }, { "dropping-particle" : "", "family" : "Ropiquet", "given" : "Anne", "non-dropping-particle" : "", "parse-names" : false, "suffix" : "" }, { "dropping-particle" : "", "family" : "Hammer", "given" : "Catrin", "non-dropping-particle" : "", "parse-names" : false, "suffix" : "" }, { "dropping-particle" : "", "family" : "Jansen Van Vuuren", "given" : "Bettine", "non-dropping-particle" : "", "parse-names" : false, "suffix" : "" }, { "dropping-particle" : "", "family" : "Matthee", "given" : "Conrad", "non-dropping-particle" : "", "parse-names" : false, "suffix" : "" }, { "dropping-particle" : "", "family" : "Ruiz-Garcia", "given" : "Manuel", "non-dropping-particle" : "", "parse-names" : false, "suffix" : "" }, { "dropping-particle" : "", "family" : "Catzeflis", "given" : "Franois", "non-dropping-particle" : "", "parse-names" : false, "suffix" : "" }, { "dropping-particle" : "", "family" : "Areskoug", "given" : "Veronika", "non-dropping-particle" : "", "parse-names" : false, "suffix" : "" }, { "dropping-particle" : "", "family" : "Nguyen", "given" : "Trung Thanh", "non-dropping-particle" : "", "parse-names" : false, "suffix" : "" }, { "dropping-particle" : "", "family" : "Couloux", "given" : "Arnaud", "non-dropping-particle" : "", "parse-names" : false, "suffix" : "" } ], "container-title" : "Comptes Rendus - Biologies", "id" : "ITEM-1", "issue" : "1", "issued" : { "date-parts" : [ [ "2012" ] ] }, "page" : "32-50", "title" : "Pattern and timing of diversification of Cetartiodactyla (Mammalia, Laurasiatheria), as revealed by a comprehensive analysis of mitochondrial genomes", "type" : "article-journal", "volume" : "335" }, "uris" : [ "http://www.mendeley.com/documents/?uuid=f6c63a54-ae8a-41fe-b34d-caca1a62b704" ] } ], "mendeley" : { "formattedCitation" : "(Hassanin et al., 2012)", "plainTextFormattedCitation" : "(Hassanin et al., 2012)", "previouslyFormattedCitation" : "(Hassanin et al., 2012)" }, "properties" : {  }, "schema" : "https://github.com/citation-style-language/schema/raw/master/csl-citation.json" }</w:instrText>
            </w:r>
            <w:r w:rsidRPr="0005646A">
              <w:rPr>
                <w:rFonts w:ascii="Book Antiqua" w:hAnsi="Book Antiqua" w:cs="Times New Roman"/>
                <w:noProof/>
                <w:sz w:val="20"/>
                <w:szCs w:val="20"/>
              </w:rPr>
              <w:fldChar w:fldCharType="separate"/>
            </w:r>
            <w:r w:rsidRPr="0005646A">
              <w:rPr>
                <w:rFonts w:ascii="Book Antiqua" w:hAnsi="Book Antiqua" w:cs="Times New Roman"/>
                <w:noProof/>
                <w:sz w:val="20"/>
                <w:szCs w:val="20"/>
              </w:rPr>
              <w:t>Hassanin et al., 2012</w:t>
            </w:r>
            <w:r w:rsidRPr="0005646A">
              <w:rPr>
                <w:rFonts w:ascii="Book Antiqua" w:hAnsi="Book Antiqua" w:cs="Times New Roman"/>
                <w:noProof/>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Delphinus capensis</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NC_012061.1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"10.1186/1471-2148-9-20", "ISBN" : "1471-2148", "ISSN" : "1471-2148", "PMID" : "19166626", "abstract" : "BACKGROUND: The phylogeny of Cetacea (whales) is not fully resolved with substantial support. The ambiguous and conflicting results of multiple phylogenetic studies may be the result of the use of too little data, phylogenetic methods that do not adequately capture the complex nature of DNA evolution, or both. In addition, there is also evidence that the generic taxonomy of Delphinidae (dolphins) underestimates its diversity. To remedy these problems, we sequenced the complete mitochondrial genomes of seven dolphins and analyzed these data with partitioned Bayesian analyses. Moreover, we incorporate a newly-developed \"relaxed\" molecular clock to model heterogenous rates of evolution among cetacean lineages. RESULTS: The \"deep\" phylogenetic relationships are well supported including the monophyly of Cetacea and Odontoceti. However, there is ambiguity in the phylogenetic affinities of two of the river dolphin clades Platanistidae (Indian River dolphins) and Lipotidae (Yangtze River dolphins). The phylogenetic analyses support a sister relationship between Delphinidae and Monodontidae + Phocoenidae. Additionally, there is statistically significant support for the paraphyly of Tursiops (bottlenose dolphins) and Stenella (spotted dolphins). CONCLUSION: Our phylogenetic analysis of complete mitochondrial genomes using recently developed models of rate autocorrelation resolved the phylogenetic relationships of the major Cetacean lineages with a high degree of confidence. Our results indicate that a rapid radiation of lineages explains the lack of support the placement of Platanistidae and Lipotidae. Moreover, our estimation of molecular divergence dates indicates that these radiations occurred in the Middle to Late Oligocene and Middle Miocene, respectively. Furthermore, by collecting and analyzing seven new mitochondrial genomes, we provide strong evidence that the delphinid genera Tursiops and Stenella are not monophyletic, and the current taxonomy masks potentially interesting patterns of morphological, physiological, behavioral, and ecological evolution.", "author" : [ { "dropping-particle" : "", "family" : "Xiong", "given" : "Ye", "non-dropping-particle" : "", "parse-names" : false, "suffix" : "" }, { "dropping-particle" : "", "family" : "Brandley", "given" : "Matthew C", "non-dropping-particle" : "", "parse-names" : false, "suffix" : "" }, { "dropping-particle" : "", "family" : "Xu", "given" : "Shixia", "non-dropping-particle" : "", "parse-names" : false, "suffix" : "" }, { "dropping-particle" : "", "family" : "Zhou", "given" : "Kaiya", "non-dropping-particle" : "", "parse-names" : false, "suffix" : "" }, { "dropping-particle" : "", "family" : "Yang", "given" : "Guang", "non-dropping-particle" : "", "parse-names" : false, "suffix" : "" } ], "container-title" : "BMC Evolutionary Biology", "id" : "ITEM-1", "issue" : "1", "issued" : { "date-parts" : [ [ "2009" ] ] }, "page" : "20", "title" : "Seven new dolphin mitochondrial genomes and a time-calibrated phylogeny of whales", "type" : "article-journal", "volume" : "9" }, "uris" : [ "http://www.mendeley.com/documents/?uuid=f9e18119-06d8-4e7f-92a8-4fae202662df" ] } ], "mendeley" : { "formattedCitation" : "(Xiong et al., 2009)", "plainTextFormattedCitation" : "(Xiong et al., 2009)", "previouslyFormattedCitation" : "(Xiong et al., 2009)"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Xiong et al., 2009</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Globicephala macrorhynchus</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NC_019578.2</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"10.1101/gr.102954.109", "ISBN" : "1088-9051", "ISSN" : "10889051", "PMID" : "20413674", "abstract" : "Killer whales (Orcinus orca) currently comprise a single, cosmopolitan species with a diverse diet. However, studies over the last 30 yr have revealed populations of sympatric \"ecotypes\" with discrete prey preferences, morphology, and behaviors. Although these ecotypes avoid social interactions and are not known to interbreed, genetic studies to date have found extremely low levels of diversity in the mitochondrial control region, and few clear phylogeographic patterns worldwide. This low level of diversity is likely due to low mitochondrial mutation rates that are common to cetaceans. Using killer whales as a case study, we have developed a method to readily sequence, assemble, and analyze complete mitochondrial genomes from large numbers of samples to more accurately assess phylogeography and estimate divergence times. This represents an important tool for wildlife management, not only for killer whales but for many marine taxa. We used high-throughput sequencing to survey whole mitochondrial genome variation of 139 samples from the North Pacific, North Atlantic, and southern oceans. Phylogenetic analysis indicated that each of the known ecotypes represents a strongly supported clade with divergence times ranging from approximately 150,000 to 700,000 yr ago. We recommend that three named ecotypes be elevated to full species, and that the remaining types be recognized as subspecies pending additional data. Establishing appropriate taxonomic designations will greatly aid in understanding the ecological impacts and conservation needs of these important marine predators. We predict that phylogeographic mitogenomics will become an important tool for improved statistical phylogeography and more precise estimates of divergence times.", "author" : [ { "dropping-particle" : "", "family" : "Morin", "given" : "Phillip A.", "non-dropping-particle" : "", "parse-names" : false, "suffix" : "" }, { "dropping-particle" : "", "family" : "Archer", "given" : "Frederick I.", "non-dropping-particle" : "", "parse-names" : false, "suffix" : "" }, { "dropping-particle" : "", "family" : "Foote", "given" : "Andrew D.", "non-dropping-particle" : "", "parse-names" : false, "suffix" : "" }, { "dropping-particle" : "", "family" : "Vilstrup", "given" : "Julia", "non-dropping-particle" : "", "parse-names" : false, "suffix" : "" }, { "dropping-particle" : "", "family" : "Allen", "given" : "Eric E.", "non-dropping-particle" : "", "parse-names" : false, "suffix" : "" }, { "dropping-particle" : "", "family" : "Wade", "given" : "Paul", "non-dropping-particle" : "", "parse-names" : false, "suffix" : "" }, { "dropping-particle" : "", "family" : "Durban", "given" : "John", "non-dropping-particle" : "", "parse-names" : false, "suffix" : "" }, { "dropping-particle" : "", "family" : "Parsons", "given" : "Kim", "non-dropping-particle" : "", "parse-names" : false, "suffix" : "" }, { "dropping-particle" : "", "family" : "Pitman", "given" : "Robert", "non-dropping-particle" : "", "parse-names" : false, "suffix" : "" }, { "dropping-particle" : "", "family" : "Li", "given" : "Lewyn", "non-dropping-particle" : "", "parse-names" : false, "suffix" : "" }, { "dropping-particle" : "", "family" : "Bouffard", "given" : "Pascal", "non-dropping-particle" : "", "parse-names" : false, "suffix" : "" }, { "dropping-particle" : "", "family" : "Nielsen", "given" : "Sandra C.Abel", "non-dropping-particle" : "", "parse-names" : false, "suffix" : "" }, { "dropping-particle" : "", "family" : "Rasmussen", "given" : "Morten", "non-dropping-particle" : "", "parse-names" : false, "suffix" : "" }, { "dropping-particle" : "", "family" : "Willerslev", "given" : "Eske", "non-dropping-particle" : "", "parse-names" : false, "suffix" : "" }, { "dropping-particle" : "", "family" : "Gilbert", "given" : "M. Thomas P.", "non-dropping-particle" : "", "parse-names" : false, "suffix" : "" }, { "dropping-particle" : "", "family" : "Harkins", "given" : "Timothy", "non-dropping-particle" : "", "parse-names" : false, "suffix" : "" } ], "container-title" : "Genome Research", "id" : "ITEM-1", "issue" : "7", "issued" : { "date-parts" : [ [ "2010" ] ] }, "page" : "908-916", "title" : "Complete mitochondrial genome phylogeographic analysis of killer whales (Orcinus orca) indicates multiple species", "type" : "article-journal", "volume" : "20" }, "uris" : [ "http://www.mendeley.com/documents/?uuid=956e9168-61a3-4ec8-986a-db61925587be" ] } ], "mendeley" : { "formattedCitation" : "(Morin et al., 2010)", "plainTextFormattedCitation" : "(Morin et al., 2010)", "previouslyFormattedCitation" : "(Morin et al., 2010)"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Morin et al., 2010</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Grampus griseus</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NC_012062.1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"10.1186/1471-2148-9-20", "ISBN" : "1471-2148", "ISSN" : "1471-2148", "PMID" : "19166626", "abstract" : "BACKGROUND: The phylogeny of Cetacea (whales) is not fully resolved with substantial support. The ambiguous and conflicting results of multiple phylogenetic studies may be the result of the use of too little data, phylogenetic methods that do not adequately capture the complex nature of DNA evolution, or both. In addition, there is also evidence that the generic taxonomy of Delphinidae (dolphins) underestimates its diversity. To remedy these problems, we sequenced the complete mitochondrial genomes of seven dolphins and analyzed these data with partitioned Bayesian analyses. Moreover, we incorporate a newly-developed \"relaxed\" molecular clock to model heterogenous rates of evolution among cetacean lineages. RESULTS: The \"deep\" phylogenetic relationships are well supported including the monophyly of Cetacea and Odontoceti. However, there is ambiguity in the phylogenetic affinities of two of the river dolphin clades Platanistidae (Indian River dolphins) and Lipotidae (Yangtze River dolphins). The phylogenetic analyses support a sister relationship between Delphinidae and Monodontidae + Phocoenidae. Additionally, there is statistically significant support for the paraphyly of Tursiops (bottlenose dolphins) and Stenella (spotted dolphins). CONCLUSION: Our phylogenetic analysis of complete mitochondrial genomes using recently developed models of rate autocorrelation resolved the phylogenetic relationships of the major Cetacean lineages with a high degree of confidence. Our results indicate that a rapid radiation of lineages explains the lack of support the placement of Platanistidae and Lipotidae. Moreover, our estimation of molecular divergence dates indicates that these radiations occurred in the Middle to Late Oligocene and Middle Miocene, respectively. Furthermore, by collecting and analyzing seven new mitochondrial genomes, we provide strong evidence that the delphinid genera Tursiops and Stenella are not monophyletic, and the current taxonomy masks potentially interesting patterns of morphological, physiological, behavioral, and ecological evolution.", "author" : [ { "dropping-particle" : "", "family" : "Xiong", "given" : "Ye", "non-dropping-particle" : "", "parse-names" : false, "suffix" : "" }, { "dropping-particle" : "", "family" : "Brandley", "given" : "Matthew C", "non-dropping-particle" : "", "parse-names" : false, "suffix" : "" }, { "dropping-particle" : "", "family" : "Xu", "given" : "Shixia", "non-dropping-particle" : "", "parse-names" : false, "suffix" : "" }, { "dropping-particle" : "", "family" : "Zhou", "given" : "Kaiya", "non-dropping-particle" : "", "parse-names" : false, "suffix" : "" }, { "dropping-particle" : "", "family" : "Yang", "given" : "Guang", "non-dropping-particle" : "", "parse-names" : false, "suffix" : "" } ], "container-title" : "BMC Evolutionary Biology", "id" : "ITEM-1", "issue" : "1", "issued" : { "date-parts" : [ [ "2009" ] ] }, "page" : "20", "title" : "Seven new dolphin mitochondrial genomes and a time-calibrated phylogeny of whales", "type" : "article-journal", "volume" : "9" }, "uris" : [ "http://www.mendeley.com/documents/?uuid=f9e18119-06d8-4e7f-92a8-4fae202662df" ] } ], "mendeley" : { "formattedCitation" : "(Xiong et al., 2009)", "plainTextFormattedCitation" : "(Xiong et al., 2009)", "previouslyFormattedCitation" : "(Xiong et al., 2009)"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Xiong et al., 2009</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Lagenorhynchus albirostris</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NC_005278.1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Orcaella brevirostris</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NC_019590.1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Orcinus orca</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NC_023889.1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"10.1101/gr.102954.109", "ISBN" : "1088-9051", "ISSN" : "10889051", "PMID" : "20413674", "abstract" : "Killer whales (Orcinus orca) currently comprise a single, cosmopolitan species with a diverse diet. However, studies over the last 30 yr have revealed populations of sympatric \"ecotypes\" with discrete prey preferences, morphology, and behaviors. Although these ecotypes avoid social interactions and are not known to interbreed, genetic studies to date have found extremely low levels of diversity in the mitochondrial control region, and few clear phylogeographic patterns worldwide. This low level of diversity is likely due to low mitochondrial mutation rates that are common to cetaceans. Using killer whales as a case study, we have developed a method to readily sequence, assemble, and analyze complete mitochondrial genomes from large numbers of samples to more accurately assess phylogeography and estimate divergence times. This represents an important tool for wildlife management, not only for killer whales but for many marine taxa. We used high-throughput sequencing to survey whole mitochondrial genome variation of 139 samples from the North Pacific, North Atlantic, and southern oceans. Phylogenetic analysis indicated that each of the known ecotypes represents a strongly supported clade with divergence times ranging from approximately 150,000 to 700,000 yr ago. We recommend that three named ecotypes be elevated to full species, and that the remaining types be recognized as subspecies pending additional data. Establishing appropriate taxonomic designations will greatly aid in understanding the ecological impacts and conservation needs of these important marine predators. We predict that phylogeographic mitogenomics will become an important tool for improved statistical phylogeography and more precise estimates of divergence times.", "author" : [ { "dropping-particle" : "", "family" : "Morin", "given" : "Phillip A.", "non-dropping-particle" : "", "parse-names" : false, "suffix" : "" }, { "dropping-particle" : "", "family" : "Archer", "given" : "Frederick I.", "non-dropping-particle" : "", "parse-names" : false, "suffix" : "" }, { "dropping-particle" : "", "family" : "Foote", "given" : "Andrew D.", "non-dropping-particle" : "", "parse-names" : false, "suffix" : "" }, { "dropping-particle" : "", "family" : "Vilstrup", "given" : "Julia", "non-dropping-particle" : "", "parse-names" : false, "suffix" : "" }, { "dropping-particle" : "", "family" : "Allen", "given" : "Eric E.", "non-dropping-particle" : "", "parse-names" : false, "suffix" : "" }, { "dropping-particle" : "", "family" : "Wade", "given" : "Paul", "non-dropping-particle" : "", "parse-names" : false, "suffix" : "" }, { "dropping-particle" : "", "family" : "Durban", "given" : "John", "non-dropping-particle" : "", "parse-names" : false, "suffix" : "" }, { "dropping-particle" : "", "family" : "Parsons", "given" : "Kim", "non-dropping-particle" : "", "parse-names" : false, "suffix" : "" }, { "dropping-particle" : "", "family" : "Pitman", "given" : "Robert", "non-dropping-particle" : "", "parse-names" : false, "suffix" : "" }, { "dropping-particle" : "", "family" : "Li", "given" : "Lewyn", "non-dropping-particle" : "", "parse-names" : false, "suffix" : "" }, { "dropping-particle" : "", "family" : "Bouffard", "given" : "Pascal", "non-dropping-particle" : "", "parse-names" : false, "suffix" : "" }, { "dropping-particle" : "", "family" : "Nielsen", "given" : "Sandra C.Abel", "non-dropping-particle" : "", "parse-names" : false, "suffix" : "" }, { "dropping-particle" : "", "family" : "Rasmussen", "given" : "Morten", "non-dropping-particle" : "", "parse-names" : false, "suffix" : "" }, { "dropping-particle" : "", "family" : "Willerslev", "given" : "Eske", "non-dropping-particle" : "", "parse-names" : false, "suffix" : "" }, { "dropping-particle" : "", "family" : "Gilbert", "given" : "M. Thomas P.", "non-dropping-particle" : "", "parse-names" : false, "suffix" : "" }, { "dropping-particle" : "", "family" : "Harkins", "given" : "Timothy", "non-dropping-particle" : "", "parse-names" : false, "suffix" : "" } ], "container-title" : "Genome Research", "id" : "ITEM-1", "issue" : "7", "issued" : { "date-parts" : [ [ "2010" ] ] }, "page" : "908-916", "title" : "Complete mitochondrial genome phylogeographic analysis of killer whales (Orcinus orca) indicates multiple species", "type" : "article-journal", "volume" : "20" }, "uris" : [ "http://www.mendeley.com/documents/?uuid=956e9168-61a3-4ec8-986a-db61925587be" ] } ], "mendeley" : { "formattedCitation" : "(Morin et al., 2010)", "plainTextFormattedCitation" : "(Morin et al., 2010)", "previouslyFormattedCitation" : "(Morin et al., 2010)"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Morin et al., 2010</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Sousa chinensis</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NC_012057.1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"10.1186/1471-2148-9-20", "ISBN" : "1471-2148", "ISSN" : "1471-2148", "PMID" : "19166626", "abstract" : "BACKGROUND: The phylogeny of Cetacea (whales) is not fully resolved with substantial support. The ambiguous and conflicting results of multiple phylogenetic studies may be the result of the use of too little data, phylogenetic methods that do not adequately capture the complex nature of DNA evolution, or both. In addition, there is also evidence that the generic taxonomy of Delphinidae (dolphins) underestimates its diversity. To remedy these problems, we sequenced the complete mitochondrial genomes of seven dolphins and analyzed these data with partitioned Bayesian analyses. Moreover, we incorporate a newly-developed \"relaxed\" molecular clock to model heterogenous rates of evolution among cetacean lineages. RESULTS: The \"deep\" phylogenetic relationships are well supported including the monophyly of Cetacea and Odontoceti. However, there is ambiguity in the phylogenetic affinities of two of the river dolphin clades Platanistidae (Indian River dolphins) and Lipotidae (Yangtze River dolphins). The phylogenetic analyses support a sister relationship between Delphinidae and Monodontidae + Phocoenidae. Additionally, there is statistically significant support for the paraphyly of Tursiops (bottlenose dolphins) and Stenella (spotted dolphins). CONCLUSION: Our phylogenetic analysis of complete mitochondrial genomes using recently developed models of rate autocorrelation resolved the phylogenetic relationships of the major Cetacean lineages with a high degree of confidence. Our results indicate that a rapid radiation of lineages explains the lack of support the placement of Platanistidae and Lipotidae. Moreover, our estimation of molecular divergence dates indicates that these radiations occurred in the Middle to Late Oligocene and Middle Miocene, respectively. Furthermore, by collecting and analyzing seven new mitochondrial genomes, we provide strong evidence that the delphinid genera Tursiops and Stenella are not monophyletic, and the current taxonomy masks potentially interesting patterns of morphological, physiological, behavioral, and ecological evolution.", "author" : [ { "dropping-particle" : "", "family" : "Xiong", "given" : "Ye", "non-dropping-particle" : "", "parse-names" : false, "suffix" : "" }, { "dropping-particle" : "", "family" : "Brandley", "given" : "Matthew C", "non-dropping-particle" : "", "parse-names" : false, "suffix" : "" }, { "dropping-particle" : "", "family" : "Xu", "given" : "Shixia", "non-dropping-particle" : "", "parse-names" : false, "suffix" : "" }, { "dropping-particle" : "", "family" : "Zhou", "given" : "Kaiya", "non-dropping-particle" : "", "parse-names" : false, "suffix" : "" }, { "dropping-particle" : "", "family" : "Yang", "given" : "Guang", "non-dropping-particle" : "", "parse-names" : false, "suffix" : "" } ], "container-title" : "BMC Evolutionary Biology", "id" : "ITEM-1", "issue" : "1", "issued" : { "date-parts" : [ [ "2009" ] ] }, "page" : "20", "title" : "Seven new dolphin mitochondrial genomes and a time-calibrated phylogeny of whales", "type" : "article-journal", "volume" : "9" }, "uris" : [ "http://www.mendeley.com/documents/?uuid=f9e18119-06d8-4e7f-92a8-4fae202662df" ] } ], "mendeley" : { "formattedCitation" : "(Xiong et al., 2009)", "plainTextFormattedCitation" : "(Xiong et al., 2009)", "previouslyFormattedCitation" : "(Xiong et al., 2009)"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Xiong et al., 2009</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Stenella attenuata</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NC_012051.1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"10.1186/1471-2148-9-20", "ISBN" : "1471-2148", "ISSN" : "1471-2148", "PMID" : "19166626", "abstract" : "BACKGROUND: The phylogeny of Cetacea (whales) is not fully resolved with substantial support. The ambiguous and conflicting results of multiple phylogenetic studies may be the result of the use of too little data, phylogenetic methods that do not adequately capture the complex nature of DNA evolution, or both. In addition, there is also evidence that the generic taxonomy of Delphinidae (dolphins) underestimates its diversity. To remedy these problems, we sequenced the complete mitochondrial genomes of seven dolphins and analyzed these data with partitioned Bayesian analyses. Moreover, we incorporate a newly-developed \"relaxed\" molecular clock to model heterogenous rates of evolution among cetacean lineages. RESULTS: The \"deep\" phylogenetic relationships are well supported including the monophyly of Cetacea and Odontoceti. However, there is ambiguity in the phylogenetic affinities of two of the river dolphin clades Platanistidae (Indian River dolphins) and Lipotidae (Yangtze River dolphins). The phylogenetic analyses support a sister relationship between Delphinidae and Monodontidae + Phocoenidae. Additionally, there is statistically significant support for the paraphyly of Tursiops (bottlenose dolphins) and Stenella (spotted dolphins). CONCLUSION: Our phylogenetic analysis of complete mitochondrial genomes using recently developed models of rate autocorrelation resolved the phylogenetic relationships of the major Cetacean lineages with a high degree of confidence. Our results indicate that a rapid radiation of lineages explains the lack of support the placement of Platanistidae and Lipotidae. Moreover, our estimation of molecular divergence dates indicates that these radiations occurred in the Middle to Late Oligocene and Middle Miocene, respectively. Furthermore, by collecting and analyzing seven new mitochondrial genomes, we provide strong evidence that the delphinid genera Tursiops and Stenella are not monophyletic, and the current taxonomy masks potentially interesting patterns of morphological, physiological, behavioral, and ecological evolution.", "author" : [ { "dropping-particle" : "", "family" : "Xiong", "given" : "Ye", "non-dropping-particle" : "", "parse-names" : false, "suffix" : "" }, { "dropping-particle" : "", "family" : "Brandley", "given" : "Matthew C", "non-dropping-particle" : "", "parse-names" : false, "suffix" : "" }, { "dropping-particle" : "", "family" : "Xu", "given" : "Shixia", "non-dropping-particle" : "", "parse-names" : false, "suffix" : "" }, { "dropping-particle" : "", "family" : "Zhou", "given" : "Kaiya", "non-dropping-particle" : "", "parse-names" : false, "suffix" : "" }, { "dropping-particle" : "", "family" : "Yang", "given" : "Guang", "non-dropping-particle" : "", "parse-names" : false, "suffix" : "" } ], "container-title" : "BMC Evolutionary Biology", "id" : "ITEM-1", "issue" : "1", "issued" : { "date-parts" : [ [ "2009" ] ] }, "page" : "20", "title" : "Seven new dolphin mitochondrial genomes and a time-calibrated phylogeny of whales", "type" : "article-journal", "volume" : "9" }, "uris" : [ "http://www.mendeley.com/documents/?uuid=f9e18119-06d8-4e7f-92a8-4fae202662df" ] } ], "mendeley" : { "formattedCitation" : "(Xiong et al., 2009)", "plainTextFormattedCitation" : "(Xiong et al., 2009)", "previouslyFormattedCitation" : "(Xiong et al., 2009)"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Xiong et al., 2009</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Tursiops aduncus</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NC_012058.1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"10.1186/1471-2148-9-20", "ISBN" : "1471-2148", "ISSN" : "1471-2148", "PMID" : "19166626", "abstract" : "BACKGROUND: The phylogeny of Cetacea (whales) is not fully resolved with substantial support. The ambiguous and conflicting results of multiple phylogenetic studies may be the result of the use of too little data, phylogenetic methods that do not adequately capture the complex nature of DNA evolution, or both. In addition, there is also evidence that the generic taxonomy of Delphinidae (dolphins) underestimates its diversity. To remedy these problems, we sequenced the complete mitochondrial genomes of seven dolphins and analyzed these data with partitioned Bayesian analyses. Moreover, we incorporate a newly-developed \"relaxed\" molecular clock to model heterogenous rates of evolution among cetacean lineages. RESULTS: The \"deep\" phylogenetic relationships are well supported including the monophyly of Cetacea and Odontoceti. However, there is ambiguity in the phylogenetic affinities of two of the river dolphin clades Platanistidae (Indian River dolphins) and Lipotidae (Yangtze River dolphins). The phylogenetic analyses support a sister relationship between Delphinidae and Monodontidae + Phocoenidae. Additionally, there is statistically significant support for the paraphyly of Tursiops (bottlenose dolphins) and Stenella (spotted dolphins). CONCLUSION: Our phylogenetic analysis of complete mitochondrial genomes using recently developed models of rate autocorrelation resolved the phylogenetic relationships of the major Cetacean lineages with a high degree of confidence. Our results indicate that a rapid radiation of lineages explains the lack of support the placement of Platanistidae and Lipotidae. Moreover, our estimation of molecular divergence dates indicates that these radiations occurred in the Middle to Late Oligocene and Middle Miocene, respectively. Furthermore, by collecting and analyzing seven new mitochondrial genomes, we provide strong evidence that the delphinid genera Tursiops and Stenella are not monophyletic, and the current taxonomy masks potentially interesting patterns of morphological, physiological, behavioral, and ecological evolution.", "author" : [ { "dropping-particle" : "", "family" : "Xiong", "given" : "Ye", "non-dropping-particle" : "", "parse-names" : false, "suffix" : "" }, { "dropping-particle" : "", "family" : "Brandley", "given" : "Matthew C", "non-dropping-particle" : "", "parse-names" : false, "suffix" : "" }, { "dropping-particle" : "", "family" : "Xu", "given" : "Shixia", "non-dropping-particle" : "", "parse-names" : false, "suffix" : "" }, { "dropping-particle" : "", "family" : "Zhou", "given" : "Kaiya", "non-dropping-particle" : "", "parse-names" : false, "suffix" : "" }, { "dropping-particle" : "", "family" : "Yang", "given" : "Guang", "non-dropping-particle" : "", "parse-names" : false, "suffix" : "" } ], "container-title" : "BMC Evolutionary Biology", "id" : "ITEM-1", "issue" : "1", "issued" : { "date-parts" : [ [ "2009" ] ] }, "page" : "20", "title" : "Seven new dolphin mitochondrial genomes and a time-calibrated phylogeny of whales", "type" : "article-journal", "volume" : "9" }, "uris" : [ "http://www.mendeley.com/documents/?uuid=f9e18119-06d8-4e7f-92a8-4fae202662df" ] } ], "mendeley" : { "formattedCitation" : "(Xiong et al., 2009)", "plainTextFormattedCitation" : "(Xiong et al., 2009)", "previouslyFormattedCitation" : "(Xiong et al., 2009)"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Xiong et al., 2009</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Tursiops truncatus</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NC_012059.1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"10.1186/1471-2148-9-20", "ISBN" : "1471-2148", "ISSN" : "1471-2148", "PMID" : "19166626", "abstract" : "BACKGROUND: The phylogeny of Cetacea (whales) is not fully resolved with substantial support. The ambiguous and conflicting results of multiple phylogenetic studies may be the result of the use of too little data, phylogenetic methods that do not adequately capture the complex nature of DNA evolution, or both. In addition, there is also evidence that the generic taxonomy of Delphinidae (dolphins) underestimates its diversity. To remedy these problems, we sequenced the complete mitochondrial genomes of seven dolphins and analyzed these data with partitioned Bayesian analyses. Moreover, we incorporate a newly-developed \"relaxed\" molecular clock to model heterogenous rates of evolution among cetacean lineages. RESULTS: The \"deep\" phylogenetic relationships are well supported including the monophyly of Cetacea and Odontoceti. However, there is ambiguity in the phylogenetic affinities of two of the river dolphin clades Platanistidae (Indian River dolphins) and Lipotidae (Yangtze River dolphins). The phylogenetic analyses support a sister relationship between Delphinidae and Monodontidae + Phocoenidae. Additionally, there is statistically significant support for the paraphyly of Tursiops (bottlenose dolphins) and Stenella (spotted dolphins). CONCLUSION: Our phylogenetic analysis of complete mitochondrial genomes using recently developed models of rate autocorrelation resolved the phylogenetic relationships of the major Cetacean lineages with a high degree of confidence. Our results indicate that a rapid radiation of lineages explains the lack of support the placement of Platanistidae and Lipotidae. Moreover, our estimation of molecular divergence dates indicates that these radiations occurred in the Middle to Late Oligocene and Middle Miocene, respectively. Furthermore, by collecting and analyzing seven new mitochondrial genomes, we provide strong evidence that the delphinid genera Tursiops and Stenella are not monophyletic, and the current taxonomy masks potentially interesting patterns of morphological, physiological, behavioral, and ecological evolution.", "author" : [ { "dropping-particle" : "", "family" : "Xiong", "given" : "Ye", "non-dropping-particle" : "", "parse-names" : false, "suffix" : "" }, { "dropping-particle" : "", "family" : "Brandley", "given" : "Matthew C", "non-dropping-particle" : "", "parse-names" : false, "suffix" : "" }, { "dropping-particle" : "", "family" : "Xu", "given" : "Shixia", "non-dropping-particle" : "", "parse-names" : false, "suffix" : "" }, { "dropping-particle" : "", "family" : "Zhou", "given" : "Kaiya", "non-dropping-particle" : "", "parse-names" : false, "suffix" : "" }, { "dropping-particle" : "", "family" : "Yang", "given" : "Guang", "non-dropping-particle" : "", "parse-names" : false, "suffix" : "" } ], "container-title" : "BMC Evolutionary Biology", "id" : "ITEM-1", "issue" : "1", "issued" : { "date-parts" : [ [ "2009" ] ] }, "page" : "20", "title" : "Seven new dolphin mitochondrial genomes and a time-calibrated phylogeny of whales", "type" : "article-journal", "volume" : "9" }, "uris" : [ "http://www.mendeley.com/documents/?uuid=f9e18119-06d8-4e7f-92a8-4fae202662df" ] } ], "mendeley" : { "formattedCitation" : "(Xiong et al., 2009)", "plainTextFormattedCitation" : "(Xiong et al., 2009)", "previouslyFormattedCitation" : "(Xiong et al., 2009)"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Xiong et al., 2009</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vMerge w:val="restart"/>
            <w:shd w:val="clear" w:color="auto" w:fill="auto"/>
          </w:tcPr>
          <w:p w:rsidR="007B3484"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Phocoenidae</w:t>
            </w:r>
          </w:p>
          <w:p w:rsidR="0005646A" w:rsidRPr="0005646A" w:rsidRDefault="0005646A"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Phocoenidae</w:t>
            </w:r>
          </w:p>
        </w:tc>
        <w:tc>
          <w:tcPr>
            <w:tcW w:w="3330" w:type="dxa"/>
            <w:shd w:val="clear" w:color="auto" w:fill="auto"/>
          </w:tcPr>
          <w:p w:rsidR="007B3484" w:rsidRPr="00445E20" w:rsidRDefault="007B3484" w:rsidP="00445E20">
            <w:pPr>
              <w:pStyle w:val="ListParagraph"/>
              <w:numPr>
                <w:ilvl w:val="0"/>
                <w:numId w:val="4"/>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Neophocaena phocaenoides</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NC_021461.1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trHeight w:val="360"/>
          <w:jc w:val="center"/>
        </w:trPr>
        <w:tc>
          <w:tcPr>
            <w:cnfStyle w:val="001000000000" w:firstRow="0" w:lastRow="0" w:firstColumn="1" w:lastColumn="0" w:oddVBand="0" w:evenVBand="0" w:oddHBand="0" w:evenHBand="0" w:firstRowFirstColumn="0" w:firstRowLastColumn="0" w:lastRowFirstColumn="0" w:lastRowLastColumn="0"/>
            <w:tcW w:w="2430" w:type="dxa"/>
            <w:vMerge/>
            <w:tcBorders>
              <w:bottom w:val="single" w:sz="4" w:space="0" w:color="auto"/>
            </w:tcBorders>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bottom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tcBorders>
              <w:bottom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tcBorders>
              <w:bottom w:val="single" w:sz="4" w:space="0" w:color="auto"/>
            </w:tcBorders>
            <w:shd w:val="clear" w:color="auto" w:fill="auto"/>
          </w:tcPr>
          <w:p w:rsidR="007B3484" w:rsidRPr="00445E20" w:rsidRDefault="007B3484" w:rsidP="00445E20">
            <w:pPr>
              <w:pStyle w:val="ListParagraph"/>
              <w:numPr>
                <w:ilvl w:val="0"/>
                <w:numId w:val="4"/>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Phocoena phocoena</w:t>
            </w:r>
          </w:p>
        </w:tc>
        <w:tc>
          <w:tcPr>
            <w:tcW w:w="1539" w:type="dxa"/>
            <w:tcBorders>
              <w:bottom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NC_005280.1</w:t>
            </w:r>
          </w:p>
        </w:tc>
        <w:tc>
          <w:tcPr>
            <w:tcW w:w="2610" w:type="dxa"/>
            <w:tcBorders>
              <w:bottom w:val="single" w:sz="4" w:space="0" w:color="auto"/>
            </w:tcBorders>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val="restart"/>
            <w:tcBorders>
              <w:top w:val="single" w:sz="4" w:space="0" w:color="auto"/>
            </w:tcBorders>
            <w:shd w:val="clear" w:color="auto" w:fill="auto"/>
          </w:tcPr>
          <w:p w:rsidR="00EC5CF5" w:rsidRDefault="00EC5CF5" w:rsidP="007B3484">
            <w:pPr>
              <w:rPr>
                <w:rFonts w:ascii="Book Antiqua" w:hAnsi="Book Antiqua" w:cs="Times New Roman"/>
                <w:sz w:val="20"/>
                <w:szCs w:val="20"/>
              </w:rPr>
            </w:pPr>
            <w:r w:rsidRPr="0005646A">
              <w:rPr>
                <w:rFonts w:ascii="Book Antiqua" w:hAnsi="Book Antiqua" w:cs="Times New Roman"/>
                <w:sz w:val="20"/>
                <w:szCs w:val="20"/>
              </w:rPr>
              <w:t>Cetacea</w:t>
            </w:r>
            <w:r>
              <w:rPr>
                <w:rFonts w:ascii="Book Antiqua" w:hAnsi="Book Antiqua" w:cs="Times New Roman"/>
                <w:sz w:val="20"/>
                <w:szCs w:val="20"/>
              </w:rPr>
              <w:t xml:space="preserve"> </w:t>
            </w:r>
          </w:p>
          <w:p w:rsidR="007B3484" w:rsidRPr="0005646A" w:rsidRDefault="00EC5CF5" w:rsidP="007B3484">
            <w:pPr>
              <w:rPr>
                <w:rFonts w:ascii="Book Antiqua" w:hAnsi="Book Antiqua" w:cs="Times New Roman"/>
                <w:sz w:val="20"/>
                <w:szCs w:val="20"/>
              </w:rPr>
            </w:pPr>
            <w:r>
              <w:rPr>
                <w:rFonts w:ascii="Book Antiqua" w:hAnsi="Book Antiqua" w:cs="Times New Roman"/>
                <w:sz w:val="20"/>
                <w:szCs w:val="20"/>
              </w:rPr>
              <w:t>(Marine Dolphin)</w:t>
            </w:r>
          </w:p>
        </w:tc>
        <w:tc>
          <w:tcPr>
            <w:tcW w:w="1265" w:type="dxa"/>
            <w:vMerge w:val="restart"/>
            <w:tcBorders>
              <w:top w:val="single" w:sz="4" w:space="0" w:color="auto"/>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Mysticeti</w:t>
            </w:r>
          </w:p>
        </w:tc>
        <w:tc>
          <w:tcPr>
            <w:tcW w:w="1795" w:type="dxa"/>
            <w:vMerge w:val="restart"/>
            <w:tcBorders>
              <w:top w:val="single" w:sz="4" w:space="0" w:color="auto"/>
            </w:tcBorders>
            <w:shd w:val="clear" w:color="auto" w:fill="auto"/>
          </w:tcPr>
          <w:p w:rsidR="007B3484"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Balaenidae</w:t>
            </w:r>
          </w:p>
          <w:p w:rsidR="0005646A" w:rsidRPr="0005646A" w:rsidRDefault="0005646A"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Balaenidae</w:t>
            </w:r>
          </w:p>
        </w:tc>
        <w:tc>
          <w:tcPr>
            <w:tcW w:w="3330" w:type="dxa"/>
            <w:tcBorders>
              <w:top w:val="single" w:sz="4" w:space="0" w:color="auto"/>
            </w:tcBorders>
            <w:shd w:val="clear" w:color="auto" w:fill="auto"/>
          </w:tcPr>
          <w:p w:rsidR="007B3484" w:rsidRPr="00445E20" w:rsidRDefault="007B3484" w:rsidP="0023438C">
            <w:pPr>
              <w:pStyle w:val="ListParagraph"/>
              <w:numPr>
                <w:ilvl w:val="0"/>
                <w:numId w:val="5"/>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Balaena mysticetus</w:t>
            </w:r>
          </w:p>
        </w:tc>
        <w:tc>
          <w:tcPr>
            <w:tcW w:w="1539" w:type="dxa"/>
            <w:tcBorders>
              <w:top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NC_005268.1</w:t>
            </w:r>
          </w:p>
        </w:tc>
        <w:tc>
          <w:tcPr>
            <w:tcW w:w="2610" w:type="dxa"/>
            <w:tcBorders>
              <w:top w:val="single" w:sz="4" w:space="0" w:color="auto"/>
            </w:tcBorders>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23438C">
            <w:pPr>
              <w:pStyle w:val="ListParagraph"/>
              <w:numPr>
                <w:ilvl w:val="0"/>
                <w:numId w:val="5"/>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Eubalaena australis</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NC_006930.1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"10.1080/10635150590905939", "ISBN" : "1063-5157", "ISSN" : "10635157", "PMID" : "15805012", "abstract" : "The phylogenetic relationships among baleen whales (Order: Cetacea) remain uncertain despite extensive research in cetacean molecular phylogenetics and a potential morphological sample size of over 2 million animals harvested. Questions remain regarding the number of species and the monophyly of genera, as well as higher order relationships. Here, we approach mysticete phylogeny with complete mitochondrial genome sequence analysis. We determined complete mtDNA sequences of 10 extant Mysticeti species, inferred their phylogenetic relationships, and estimated node divergence times. The mtDNA sequence analysis concurs with previous molecular studies in the ordering of the principal branches, with Balaenidae (right whales) as sister to all other mysticetes base, followed by Neobalaenidae (pygmy right whale), Eschrichtiidae (gray whale), and finally Balaenopteridae (rorquals + humpback whale). The mtDNA analysis further suggests that four lineages exist within the clade of Eschrichtiidae + Balaenopteridae, including a sister relationship between the humpback and fin whales, and a monophyletic group formed by the blue, sei, and Bryde's whales, each of which represents a newly recognized phylogenetic relationship in Mysticeti. We also estimated the divergence times of all extant mysticete species, accounting for evolutionary rate heterogeneity among lineages. When the mtDNA divergence estimates are compared with the mysticete fossil record, several lineages have molecular divergence estimates strikingly older than indicated by paleontological data. We suggest this discrepancy reflects both a large amount of ancestral polymorphism and long generation times of ancestral baleen whale populations.", "author" : [ { "dropping-particle" : "", "family" : "Sasaki", "given" : "Takeshi", "non-dropping-particle" : "", "parse-names" : false, "suffix" : "" }, { "dropping-particle" : "", "family" : "Nikaido", "given" : "Masato", "non-dropping-particle" : "", "parse-names" : false, "suffix" : "" }, { "dropping-particle" : "", "family" : "Hamilton", "given" : "Healy", "non-dropping-particle" : "", "parse-names" : false, "suffix" : "" }, { "dropping-particle" : "", "family" : "Goto", "given" : "Mutsuo", "non-dropping-particle" : "", "parse-names" : false, "suffix" : "" }, { "dropping-particle" : "", "family" : "Kato", "given" : "Hidehiro", "non-dropping-particle" : "", "parse-names" : false, "suffix" : "" }, { "dropping-particle" : "", "family" : "Kanda", "given" : "Naohisa", "non-dropping-particle" : "", "parse-names" : false, "suffix" : "" }, { "dropping-particle" : "", "family" : "Pastene", "given" : "Luis A.", "non-dropping-particle" : "", "parse-names" : false, "suffix" : "" }, { "dropping-particle" : "", "family" : "Cao", "given" : "Ying", "non-dropping-particle" : "", "parse-names" : false, "suffix" : "" }, { "dropping-particle" : "", "family" : "Fordyce", "given" : "R. Ewan", "non-dropping-particle" : "", "parse-names" : false, "suffix" : "" }, { "dropping-particle" : "", "family" : "Hasegawa", "given" : "Masami", "non-dropping-particle" : "", "parse-names" : false, "suffix" : "" }, { "dropping-particle" : "", "family" : "Okada", "given" : "Norihiro", "non-dropping-particle" : "", "parse-names" : false, "suffix" : "" } ], "container-title" : "Systematic Biology", "id" : "ITEM-1", "issue" : "1", "issued" : { "date-parts" : [ [ "2005" ] ] }, "page" : "77-90", "title" : "Mitochondrial phylogenetics and evolution of mysticete whales", "type" : "article-journal", "volume" : "54" }, "uris" : [ "http://www.mendeley.com/documents/?uuid=b232945a-ae6e-4b66-9277-7d8a4f0d6657" ] } ], "mendeley" : { "formattedCitation" : "(Sasaki et al., 2005)", "plainTextFormattedCitation" : "(Sasaki et al., 2005)", "previouslyFormattedCitation" : "(Sasaki et al., 2005)"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Sasaki et al., 2005</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Neobalaenidae</w:t>
            </w:r>
          </w:p>
        </w:tc>
        <w:tc>
          <w:tcPr>
            <w:tcW w:w="3330" w:type="dxa"/>
            <w:shd w:val="clear" w:color="auto" w:fill="auto"/>
          </w:tcPr>
          <w:p w:rsidR="007B3484" w:rsidRPr="00445E20" w:rsidRDefault="007B3484" w:rsidP="0023438C">
            <w:pPr>
              <w:pStyle w:val="ListParagraph"/>
              <w:numPr>
                <w:ilvl w:val="0"/>
                <w:numId w:val="5"/>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Caperea marginata</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NC_005269.1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Eschrichtiidae</w:t>
            </w:r>
          </w:p>
        </w:tc>
        <w:tc>
          <w:tcPr>
            <w:tcW w:w="3330" w:type="dxa"/>
            <w:shd w:val="clear" w:color="auto" w:fill="auto"/>
          </w:tcPr>
          <w:p w:rsidR="007B3484" w:rsidRPr="00445E20" w:rsidRDefault="007B3484" w:rsidP="0023438C">
            <w:pPr>
              <w:pStyle w:val="ListParagraph"/>
              <w:numPr>
                <w:ilvl w:val="0"/>
                <w:numId w:val="5"/>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Eschrichtius robustus</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NC_005270.1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vMerge w:val="restart"/>
            <w:shd w:val="clear" w:color="auto" w:fill="auto"/>
          </w:tcPr>
          <w:p w:rsidR="007B3484"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Balaenopteridae</w:t>
            </w:r>
          </w:p>
          <w:p w:rsidR="0005646A" w:rsidRDefault="0005646A"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Balaenopteridae</w:t>
            </w:r>
          </w:p>
          <w:p w:rsidR="0005646A" w:rsidRDefault="0005646A"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Balaenopteridae</w:t>
            </w:r>
          </w:p>
          <w:p w:rsidR="0005646A" w:rsidRPr="0005646A" w:rsidRDefault="0005646A"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Balaenopteridae</w:t>
            </w:r>
          </w:p>
        </w:tc>
        <w:tc>
          <w:tcPr>
            <w:tcW w:w="3330" w:type="dxa"/>
            <w:shd w:val="clear" w:color="auto" w:fill="auto"/>
          </w:tcPr>
          <w:p w:rsidR="007B3484" w:rsidRPr="00445E20" w:rsidRDefault="007B3484" w:rsidP="0023438C">
            <w:pPr>
              <w:pStyle w:val="ListParagraph"/>
              <w:numPr>
                <w:ilvl w:val="0"/>
                <w:numId w:val="5"/>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Balaenoptera acutorostrata</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NC_005271.1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"10.1016/j.gene.2004.02.010", "ISBN" : "4646147874", "ISSN" : "03781119", "PMID" : "15177677", "abstract" : "The evolution of the order Cetacea (whales, dolphins, porpoises) has, for a long time, attracted the attention of evolutionary biologists. Here we examine cetacean phylogenetic relationships on the basis of analyses of complete mitochondrial genomes that represent all extant cetacean families. The results suggest that the ancestors of recent cetaceans had an explosive evolutionary radiation 30-35 million years before present. During this period, extant cetaceans divided into the two primary groups, Mysticeti (baleen whales) and Odontoceti (toothed whales). Soon after this basal split, the Odontoceti diverged into the four extant lineages, sperm whales, beaked whales, Indian river dolphins and delphinoids (iniid river dolphins, narwhals/belugas, porpoises and true dolphins). The current data set has allowed test of two recent morphological hypotheses on cetacean origin. One of these hypotheses posits that Artiodactyla and Cetacea originated from the extinct group Mesonychia, and the other that Mesonychia/Cetacea constitutes a sister group to Artiodactyla. The current results are inconsistent with both these hypotheses. The findings suggest that the claimed morphological similarities between Mesonychia and Cetacea are the result of evolutionary convergence rather than common ancestry. ?? 2004 Elsevier B.V. All rights reserved.", "author" : [ { "dropping-particle" : "", "family" : "Arnason", "given" : "Ulfur", "non-dropping-particle" : "", "parse-names" : false, "suffix" : "" }, { "dropping-particle" : "", "family" : "Gullberg", "given" : "Anette", "non-dropping-particle" : "", "parse-names" : false, "suffix" : "" }, { "dropping-particle" : "", "family" : "Janke", "given" : "Axel", "non-dropping-particle" : "", "parse-names" : false, "suffix" : "" } ], "container-title" : "Gene", "id" : "ITEM-1", "issue" : "SUPPL.", "issued" : { "date-parts" : [ [ "2004" ] ] }, "page" : "27-34", "title" : "Mitogenomic analyses provide new insights into cetacean origin and evolution", "type" : "article-journal", "volume" : "333" }, "uris" : [ "http://www.mendeley.com/documents/?uuid=312baa82-0f61-475a-8e03-2dcae26df429" ] } ], "mendeley" : { "formattedCitation" : "(Arnason et al., 2004)", "plainTextFormattedCitation" : "(Arnason et al., 2004)", "previouslyFormattedCitation" : "(Arnason et al., 2004)"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2004</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23438C">
            <w:pPr>
              <w:pStyle w:val="ListParagraph"/>
              <w:numPr>
                <w:ilvl w:val="0"/>
                <w:numId w:val="5"/>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Balaenoptera musculus</w:t>
            </w:r>
          </w:p>
        </w:tc>
        <w:tc>
          <w:tcPr>
            <w:tcW w:w="1539" w:type="dxa"/>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NC_001601.1</w:t>
            </w:r>
          </w:p>
        </w:tc>
        <w:tc>
          <w:tcPr>
            <w:tcW w:w="2610" w:type="dxa"/>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noProof/>
                <w:sz w:val="20"/>
                <w:szCs w:val="20"/>
              </w:rPr>
            </w:pPr>
            <w:r w:rsidRPr="00C12130">
              <w:rPr>
                <w:rFonts w:ascii="Book Antiqua" w:hAnsi="Book Antiqua" w:cs="Times New Roman"/>
                <w:noProof/>
                <w:sz w:val="20"/>
                <w:szCs w:val="20"/>
              </w:rPr>
              <w:fldChar w:fldCharType="begin" w:fldLock="1"/>
            </w:r>
            <w:r w:rsidRPr="00C12130">
              <w:rPr>
                <w:rFonts w:ascii="Book Antiqua" w:hAnsi="Book Antiqua" w:cs="Times New Roman"/>
                <w:noProof/>
                <w:sz w:val="20"/>
                <w:szCs w:val="20"/>
              </w:rPr>
              <w:instrText>ADDIN CSL_CITATION { "citationItems" : [ { "id" : "ITEM-1", "itemData" : { "DOI" : "10.1038/369556a0", "ISBN" : "0761925449", "ISSN" : "00280836", "PMID" : "7515481", "abstract" : "Contraction of skeletal muscle is triggered by the release of Ca2+ from the sarcoplasmic reticulum (SR) after depolarization of transverse tubules. The ryanodine receptor exists as a 'foot' protein in the junctional gap between the sarcoplasmic reticulum and the transverse tubule in skeletal muscle, and is proposed to function as a calcium-release channel during excitation-contraction (E-C) coupling. Previous complementary DNA-cloning studies have defined three distinct subtypes of the ryanodine receptor in mammalian tissues, namely skeletal muscle, cardiac and brain types. We report here mice with a targeted mutation in the skeletal muscle ryanodine receptor gene. Mice homozygous for the mutation die perinatally with gross abnormalities of the skeletal muscle. The contractile response to electrical stimulation under physiological conditions is totally abolished in the mutant muscle, although ryanodine receptors other than the skeletal-muscle type seem to exist because the response to caffeine is retained. Our results show that the skeletal muscle ryanodine receptor is essential for both muscular maturation and E-C coupling, and also imply that the function of the skeletal muscle ryanodine receptor during E-C coupling cannot be substituted by other subtypes of the receptor.", "author" : [ { "dropping-particle" : "", "family" : "Strand", "given" : "Michheline", "non-dropping-particle" : "", "parse-names" : false, "suffix" : "" }, { "dropping-particle" : "", "family" : "Prolla", "given" : "Tomas A", "non-dropping-particle" : "", "parse-names" : false, "suffix" : "" }, { "dropping-particle" : "", "family" : "Liskay", "given" : "R Michael", "non-dropping-particle" : "", "parse-names" : false, "suffix" : "" }, { "dropping-particle" : "", "family" : "Petes", "given" : "Thomas D", "non-dropping-particle" : "", "parse-names" : false, "suffix" : "" } ], "container-title" : "Group", "id" : "ITEM-1", "issue" : "6442", "issued" : { "date-parts" : [ [ "1993" ] ] }, "page" : "556-9", "title" : "1993 Nature Publishing Group", "type" : "article", "volume" : "365" }, "uris" : [ "http://www.mendeley.com/documents/?uuid=2a5ecf0c-7dff-4205-9800-0302238dcccd" ] } ], "mendeley" : { "formattedCitation" : "(Strand et al., 1993)", "plainTextFormattedCitation" : "(Strand et al., 1993)", "previouslyFormattedCitation" : "(Strand et al., 1993)" }, "properties" : {  }, "schema" : "https://github.com/citation-style-language/schema/raw/master/csl-citation.json" }</w:instrText>
            </w:r>
            <w:r w:rsidRPr="00C12130">
              <w:rPr>
                <w:rFonts w:ascii="Book Antiqua" w:hAnsi="Book Antiqua" w:cs="Times New Roman"/>
                <w:noProof/>
                <w:sz w:val="20"/>
                <w:szCs w:val="20"/>
              </w:rPr>
              <w:fldChar w:fldCharType="separate"/>
            </w:r>
            <w:r w:rsidRPr="00C12130">
              <w:rPr>
                <w:rFonts w:ascii="Book Antiqua" w:hAnsi="Book Antiqua" w:cs="Times New Roman"/>
                <w:noProof/>
                <w:sz w:val="20"/>
                <w:szCs w:val="20"/>
              </w:rPr>
              <w:t>Strand et al., 1993</w:t>
            </w:r>
            <w:r w:rsidRPr="00C12130">
              <w:rPr>
                <w:rFonts w:ascii="Book Antiqua" w:hAnsi="Book Antiqua" w:cs="Times New Roman"/>
                <w:noProof/>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vMerge/>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3330" w:type="dxa"/>
            <w:shd w:val="clear" w:color="auto" w:fill="auto"/>
          </w:tcPr>
          <w:p w:rsidR="007B3484" w:rsidRPr="00445E20" w:rsidRDefault="007B3484" w:rsidP="0023438C">
            <w:pPr>
              <w:pStyle w:val="ListParagraph"/>
              <w:numPr>
                <w:ilvl w:val="0"/>
                <w:numId w:val="5"/>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Balaenoptera physalus</w:t>
            </w:r>
          </w:p>
        </w:tc>
        <w:tc>
          <w:tcPr>
            <w:tcW w:w="1539" w:type="dxa"/>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NC_001321.1</w:t>
            </w:r>
          </w:p>
        </w:tc>
        <w:tc>
          <w:tcPr>
            <w:tcW w:w="2610" w:type="dxa"/>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"abstract" : "Summary The composition of the mitochondrial DNA (mtDNA) of the fin whale,Balaenoptera physalus, was determined. The length of the molecule is 16,398 bp, and its organization conforms with that of other mammals. The general similarity between the mtDNA of the fin whale and the cow is greater than the similarity between the fin whale and other species (human, mouse, rat) in which the composition of the entire molecule has been described. The D-loop region of the mtDNA of the fin whale is 81% identical to the D-loop of dolphin DNA, and the central portion of the D-loop is similar to the bovine D-loop. The accumulation of transversions and gaps in the 12S and 16S rRNA genes was assessed by comparing the fin whale, cow, and human. The sequence difference between human and the whale and human and the cow was at the same level, indicating that the rate of evolution of the mtDNA rRNA genes is about the same in artiodactyls and cetaceans. In the 12S rRNA gene an accumulation rate of 0.05% per million years places the separation of cetaceans and artiodactyls at about 55 million years ago. The corresponding figure for human and either the whale or the cow is about 80 million years. In the 16S rRNA gene a 0.08% accumulation rate of transversions and gaps per million years yields concurring figures. A comparison between the cytochromeb gene of the fin whale and cytochromeb sequences in the literature, including dolphin (Stenella) sequences, identified the cetaceans as monophyletic and the artiodactyls as their closest relatives. The comparison between the cytochromeb sequences of the fin whale andStenella showed that differences in codon positions one or two were frequently associated with a change in another codon position.", "author" : [ { "dropping-particle" : "", "family" : "Arnason", "given" : "Ulfur", "non-dropping-particle" : "", "parse-names" : false, "suffix" : "" }, { "dropping-particle" : "", "family" : "Gullberg", "given" : "Anette", "non-dropping-particle" : "", "parse-names" : false, "suffix" : "" }, { "dropping-particle" : "", "family" : "Widegren", "given" : "Bengt", "non-dropping-particle" : "", "parse-names" : false, "suffix" : "" } ], "container-title" : "J Mol Evol", "id" : "ITEM-1", "issue" : "6", "issued" : { "date-parts" : [ [ "1991" ] ] }, "page" : "556-568", "title" : "The complete nucleotide sequence of the mitochondrial DNA of the fin whale, Balaenoptera physalus", "type" : "article", "volume" : "33" }, "uris" : [ "http://www.mendeley.com/documents/?uuid=45ebf694-541b-42d4-b6fc-bc5f68b526a7" ] } ], "mendeley" : { "formattedCitation" : "(Arnason et al., 1991)", "plainTextFormattedCitation" : "(Arnason et al., 1991)", "previouslyFormattedCitation" : "(Arnason et al., 1991)"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Arnason et al., 1991</w:t>
            </w:r>
            <w:r w:rsidRPr="0005646A">
              <w:rPr>
                <w:rFonts w:ascii="Book Antiqua" w:hAnsi="Book Antiqua" w:cs="Times New Roman"/>
                <w:sz w:val="20"/>
                <w:szCs w:val="20"/>
              </w:rPr>
              <w:fldChar w:fldCharType="end"/>
            </w:r>
          </w:p>
        </w:tc>
      </w:tr>
      <w:tr w:rsidR="007B3484" w:rsidRPr="0005646A" w:rsidTr="0023438C">
        <w:trPr>
          <w:trHeight w:val="324"/>
          <w:jc w:val="center"/>
        </w:trPr>
        <w:tc>
          <w:tcPr>
            <w:cnfStyle w:val="001000000000" w:firstRow="0" w:lastRow="0" w:firstColumn="1" w:lastColumn="0" w:oddVBand="0" w:evenVBand="0" w:oddHBand="0" w:evenHBand="0" w:firstRowFirstColumn="0" w:firstRowLastColumn="0" w:lastRowFirstColumn="0" w:lastRowLastColumn="0"/>
            <w:tcW w:w="2430" w:type="dxa"/>
            <w:vMerge/>
            <w:tcBorders>
              <w:bottom w:val="single" w:sz="4" w:space="0" w:color="auto"/>
            </w:tcBorders>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bottom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1795" w:type="dxa"/>
            <w:vMerge/>
            <w:tcBorders>
              <w:bottom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3330" w:type="dxa"/>
            <w:tcBorders>
              <w:bottom w:val="single" w:sz="4" w:space="0" w:color="auto"/>
            </w:tcBorders>
            <w:shd w:val="clear" w:color="auto" w:fill="auto"/>
          </w:tcPr>
          <w:p w:rsidR="007B3484" w:rsidRPr="00445E20" w:rsidRDefault="007B3484" w:rsidP="0023438C">
            <w:pPr>
              <w:pStyle w:val="ListParagraph"/>
              <w:numPr>
                <w:ilvl w:val="0"/>
                <w:numId w:val="5"/>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445E20">
              <w:rPr>
                <w:rFonts w:ascii="Book Antiqua" w:hAnsi="Book Antiqua" w:cs="Times New Roman"/>
                <w:i/>
                <w:sz w:val="20"/>
                <w:szCs w:val="20"/>
              </w:rPr>
              <w:t>Megaptera novaeangliae</w:t>
            </w:r>
          </w:p>
        </w:tc>
        <w:tc>
          <w:tcPr>
            <w:tcW w:w="1539" w:type="dxa"/>
            <w:tcBorders>
              <w:bottom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NC_006927.1</w:t>
            </w:r>
          </w:p>
        </w:tc>
        <w:tc>
          <w:tcPr>
            <w:tcW w:w="2610" w:type="dxa"/>
            <w:tcBorders>
              <w:bottom w:val="single" w:sz="4" w:space="0" w:color="auto"/>
            </w:tcBorders>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"10.1080/10635150590905939", "ISBN" : "1063-5157", "ISSN" : "10635157", "PMID" : "15805012", "abstract" : "The phylogenetic relationships among baleen whales (Order: Cetacea) remain uncertain despite extensive research in cetacean molecular phylogenetics and a potential morphological sample size of over 2 million animals harvested. Questions remain regarding the number of species and the monophyly of genera, as well as higher order relationships. Here, we approach mysticete phylogeny with complete mitochondrial genome sequence analysis. We determined complete mtDNA sequences of 10 extant Mysticeti species, inferred their phylogenetic relationships, and estimated node divergence times. The mtDNA sequence analysis concurs with previous molecular studies in the ordering of the principal branches, with Balaenidae (right whales) as sister to all other mysticetes base, followed by Neobalaenidae (pygmy right whale), Eschrichtiidae (gray whale), and finally Balaenopteridae (rorquals + humpback whale). The mtDNA analysis further suggests that four lineages exist within the clade of Eschrichtiidae + Balaenopteridae, including a sister relationship between the humpback and fin whales, and a monophyletic group formed by the blue, sei, and Bryde's whales, each of which represents a newly recognized phylogenetic relationship in Mysticeti. We also estimated the divergence times of all extant mysticete species, accounting for evolutionary rate heterogeneity among lineages. When the mtDNA divergence estimates are compared with the mysticete fossil record, several lineages have molecular divergence estimates strikingly older than indicated by paleontological data. We suggest this discrepancy reflects both a large amount of ancestral polymorphism and long generation times of ancestral baleen whale populations.", "author" : [ { "dropping-particle" : "", "family" : "Sasaki", "given" : "Takeshi", "non-dropping-particle" : "", "parse-names" : false, "suffix" : "" }, { "dropping-particle" : "", "family" : "Nikaido", "given" : "Masato", "non-dropping-particle" : "", "parse-names" : false, "suffix" : "" }, { "dropping-particle" : "", "family" : "Hamilton", "given" : "Healy", "non-dropping-particle" : "", "parse-names" : false, "suffix" : "" }, { "dropping-particle" : "", "family" : "Goto", "given" : "Mutsuo", "non-dropping-particle" : "", "parse-names" : false, "suffix" : "" }, { "dropping-particle" : "", "family" : "Kato", "given" : "Hidehiro", "non-dropping-particle" : "", "parse-names" : false, "suffix" : "" }, { "dropping-particle" : "", "family" : "Kanda", "given" : "Naohisa", "non-dropping-particle" : "", "parse-names" : false, "suffix" : "" }, { "dropping-particle" : "", "family" : "Pastene", "given" : "Luis A.", "non-dropping-particle" : "", "parse-names" : false, "suffix" : "" }, { "dropping-particle" : "", "family" : "Cao", "given" : "Ying", "non-dropping-particle" : "", "parse-names" : false, "suffix" : "" }, { "dropping-particle" : "", "family" : "Fordyce", "given" : "R. Ewan", "non-dropping-particle" : "", "parse-names" : false, "suffix" : "" }, { "dropping-particle" : "", "family" : "Hasegawa", "given" : "Masami", "non-dropping-particle" : "", "parse-names" : false, "suffix" : "" }, { "dropping-particle" : "", "family" : "Okada", "given" : "Norihiro", "non-dropping-particle" : "", "parse-names" : false, "suffix" : "" } ], "container-title" : "Systematic Biology", "id" : "ITEM-1", "issue" : "1", "issued" : { "date-parts" : [ [ "2005" ] ] }, "page" : "77-90", "title" : "Mitochondrial phylogenetics and evolution of mysticete whales", "type" : "article-journal", "volume" : "54" }, "uris" : [ "http://www.mendeley.com/documents/?uuid=b232945a-ae6e-4b66-9277-7d8a4f0d6657" ] } ], "mendeley" : { "formattedCitation" : "(Sasaki et al., 2005)", "plainTextFormattedCitation" : "(Sasaki et al., 2005)", "previouslyFormattedCitation" : "(Sasaki et al., 2005)"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Sasaki et al., 2005</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2430" w:type="dxa"/>
            <w:vMerge w:val="restart"/>
            <w:tcBorders>
              <w:top w:val="single" w:sz="4" w:space="0" w:color="auto"/>
            </w:tcBorders>
            <w:shd w:val="clear" w:color="auto" w:fill="auto"/>
          </w:tcPr>
          <w:p w:rsidR="007B3484" w:rsidRPr="0005646A" w:rsidRDefault="007B3484" w:rsidP="0005646A">
            <w:pPr>
              <w:rPr>
                <w:rFonts w:ascii="Book Antiqua" w:hAnsi="Book Antiqua" w:cs="Times New Roman"/>
                <w:sz w:val="20"/>
                <w:szCs w:val="20"/>
              </w:rPr>
            </w:pPr>
            <w:r w:rsidRPr="0005646A">
              <w:rPr>
                <w:rFonts w:ascii="Book Antiqua" w:hAnsi="Book Antiqua" w:cs="Times New Roman"/>
                <w:sz w:val="20"/>
                <w:szCs w:val="20"/>
              </w:rPr>
              <w:t>Outgroup</w:t>
            </w:r>
            <w:r w:rsidR="0005646A" w:rsidRPr="0005646A">
              <w:rPr>
                <w:rFonts w:ascii="Book Antiqua" w:hAnsi="Book Antiqua" w:cs="Times New Roman"/>
                <w:sz w:val="20"/>
                <w:szCs w:val="20"/>
              </w:rPr>
              <w:t xml:space="preserve"> </w:t>
            </w:r>
            <w:r w:rsidRPr="0005646A">
              <w:rPr>
                <w:rFonts w:ascii="Book Antiqua" w:hAnsi="Book Antiqua" w:cs="Times New Roman"/>
                <w:sz w:val="20"/>
                <w:szCs w:val="20"/>
              </w:rPr>
              <w:t>Artiodactyla</w:t>
            </w:r>
          </w:p>
        </w:tc>
        <w:tc>
          <w:tcPr>
            <w:tcW w:w="1265" w:type="dxa"/>
            <w:tcBorders>
              <w:top w:val="single" w:sz="4" w:space="0" w:color="auto"/>
              <w:left w:val="nil"/>
              <w:bottom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Artiodactyl</w:t>
            </w:r>
          </w:p>
        </w:tc>
        <w:tc>
          <w:tcPr>
            <w:tcW w:w="1795" w:type="dxa"/>
            <w:tcBorders>
              <w:top w:val="single" w:sz="4" w:space="0" w:color="auto"/>
              <w:bottom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Hippopotamidae</w:t>
            </w:r>
          </w:p>
        </w:tc>
        <w:tc>
          <w:tcPr>
            <w:tcW w:w="3330" w:type="dxa"/>
            <w:tcBorders>
              <w:top w:val="single" w:sz="4" w:space="0" w:color="auto"/>
              <w:bottom w:val="single" w:sz="4" w:space="0" w:color="auto"/>
            </w:tcBorders>
            <w:shd w:val="clear" w:color="auto" w:fill="auto"/>
          </w:tcPr>
          <w:p w:rsidR="007B3484" w:rsidRPr="0023438C" w:rsidRDefault="007B3484" w:rsidP="0023438C">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23438C">
              <w:rPr>
                <w:rFonts w:ascii="Book Antiqua" w:hAnsi="Book Antiqua" w:cs="Times New Roman"/>
                <w:i/>
                <w:sz w:val="20"/>
                <w:szCs w:val="20"/>
              </w:rPr>
              <w:t>Hippopotamus amphibius</w:t>
            </w:r>
          </w:p>
        </w:tc>
        <w:tc>
          <w:tcPr>
            <w:tcW w:w="1539" w:type="dxa"/>
            <w:tcBorders>
              <w:top w:val="single" w:sz="4" w:space="0" w:color="auto"/>
              <w:bottom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NC_000889.1</w:t>
            </w:r>
          </w:p>
        </w:tc>
        <w:tc>
          <w:tcPr>
            <w:tcW w:w="2610" w:type="dxa"/>
            <w:tcBorders>
              <w:top w:val="single" w:sz="4" w:space="0" w:color="auto"/>
              <w:bottom w:val="single" w:sz="4" w:space="0" w:color="auto"/>
            </w:tcBorders>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"10.1098/rspb.1998.0567", "ISBN" : "0962-8452", "ISSN" : "0962-8452", "PMID" : "9881471", "abstract" : "Although the sister-group relationship between Cetacea and Artiodactyla is widely accepted, the actual artiodactyl group which is closest to Cetacea has not been conclusively identified. In the present study, we have sequenced the complete mitochondrial genome of the hippopotamus, Hippopotamus amphibius, and included it in phylogenetic analyses together with 15 other placental mammals. These analyses separated the hippopotamus from the other suiform included, the pig, and identified the hippopotamus as the artiodactyl sister group of the cetaceans, thereby making both. Artiodactyla and the suborder. Suiformes paraphyletic. The divergence between the hippopotamid and cetacean lineages was calculated using this molecular data and was estimated at ca. 54 Ma BP.", "author" : [ { "dropping-particle" : "", "family" : "Ursing", "given" : "B. M.", "non-dropping-particle" : "", "parse-names" : false, "suffix" : "" }, { "dropping-particle" : "", "family" : "Arnason", "given" : "U.", "non-dropping-particle" : "", "parse-names" : false, "suffix" : "" } ], "container-title" : "Proceedings of the Royal Society B: Biological Sciences", "id" : "ITEM-1", "issue" : "1412", "issued" : { "date-parts" : [ [ "1998" ] ] }, "page" : "2251-2255", "title" : "Analyses of mitochondrial genomes strongly support a hippopotamus-whale clade", "type" : "article-journal", "volume" : "265" }, "uris" : [ "http://www.mendeley.com/documents/?uuid=d80d707d-53b1-47a8-9777-e22d72978c13" ] } ], "mendeley" : { "formattedCitation" : "(Ursing and Arnason, 1998)", "plainTextFormattedCitation" : "(Ursing and Arnason, 1998)", "previouslyFormattedCitation" : "(Ursing and Arnason, 1998)"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Ursing and Arnason, 1998</w:t>
            </w:r>
            <w:r w:rsidRPr="0005646A">
              <w:rPr>
                <w:rFonts w:ascii="Book Antiqua" w:hAnsi="Book Antiqua" w:cs="Times New Roman"/>
                <w:sz w:val="20"/>
                <w:szCs w:val="20"/>
              </w:rPr>
              <w:fldChar w:fldCharType="end"/>
            </w:r>
          </w:p>
        </w:tc>
      </w:tr>
      <w:tr w:rsidR="007B3484" w:rsidRPr="0005646A" w:rsidTr="0023438C">
        <w:trPr>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shd w:val="clear" w:color="auto" w:fill="auto"/>
          </w:tcPr>
          <w:p w:rsidR="007B3484" w:rsidRPr="0005646A" w:rsidRDefault="007B3484" w:rsidP="007B3484">
            <w:pPr>
              <w:rPr>
                <w:rFonts w:ascii="Book Antiqua" w:hAnsi="Book Antiqua" w:cs="Times New Roman"/>
                <w:sz w:val="20"/>
                <w:szCs w:val="20"/>
              </w:rPr>
            </w:pPr>
          </w:p>
        </w:tc>
        <w:tc>
          <w:tcPr>
            <w:tcW w:w="1265" w:type="dxa"/>
            <w:vMerge w:val="restart"/>
            <w:tcBorders>
              <w:top w:val="single" w:sz="4" w:space="0" w:color="auto"/>
              <w:left w:val="nil"/>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Pecora</w:t>
            </w:r>
          </w:p>
        </w:tc>
        <w:tc>
          <w:tcPr>
            <w:tcW w:w="1795" w:type="dxa"/>
            <w:tcBorders>
              <w:top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Bovidae</w:t>
            </w:r>
          </w:p>
        </w:tc>
        <w:tc>
          <w:tcPr>
            <w:tcW w:w="3330" w:type="dxa"/>
            <w:tcBorders>
              <w:top w:val="single" w:sz="4" w:space="0" w:color="auto"/>
            </w:tcBorders>
            <w:shd w:val="clear" w:color="auto" w:fill="auto"/>
          </w:tcPr>
          <w:p w:rsidR="007B3484" w:rsidRPr="0023438C" w:rsidRDefault="007B3484" w:rsidP="0023438C">
            <w:pPr>
              <w:pStyle w:val="ListParagraph"/>
              <w:numPr>
                <w:ilvl w:val="0"/>
                <w:numId w:val="7"/>
              </w:numPr>
              <w:ind w:left="342" w:hanging="342"/>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23438C">
              <w:rPr>
                <w:rFonts w:ascii="Book Antiqua" w:hAnsi="Book Antiqua" w:cs="Times New Roman"/>
                <w:i/>
                <w:sz w:val="20"/>
                <w:szCs w:val="20"/>
              </w:rPr>
              <w:t>Bos taurus</w:t>
            </w:r>
          </w:p>
        </w:tc>
        <w:tc>
          <w:tcPr>
            <w:tcW w:w="1539" w:type="dxa"/>
            <w:tcBorders>
              <w:top w:val="single" w:sz="4" w:space="0" w:color="auto"/>
            </w:tcBorders>
            <w:shd w:val="clear" w:color="auto" w:fill="auto"/>
          </w:tcPr>
          <w:p w:rsidR="007B3484" w:rsidRPr="0005646A" w:rsidRDefault="007B3484" w:rsidP="007B3484">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NC_006853.1</w:t>
            </w:r>
          </w:p>
        </w:tc>
        <w:tc>
          <w:tcPr>
            <w:tcW w:w="2610" w:type="dxa"/>
            <w:tcBorders>
              <w:top w:val="single" w:sz="4" w:space="0" w:color="auto"/>
            </w:tcBorders>
            <w:shd w:val="clear" w:color="auto" w:fill="auto"/>
          </w:tcPr>
          <w:p w:rsidR="007B3484" w:rsidRPr="0005646A" w:rsidRDefault="007B3484" w:rsidP="0005646A">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"10.1093/nar/gkv1189", "ISBN" : "1362-4962 (Electronic) 0305-1048 (Linking)", "ISSN" : "13624962", "PMID" : "26553804", "abstract" : "The RefSeq project at the National Center for Biotech- nology Information (NCBI) maintains and curates a publicly available database of annotated genomic, transcript, and protein sequence records (http:// www.ncbi.nlm.nih.gov/refseq/). The RefSeq project leverages the data submitted to the International Nu- cleotide Sequence Database Collaboration (INSDC) against a combination of computation, manual cu- ration, and collaboration to produce a standard set of stable, non-redundant reference sequences. The RefSeq project augments these reference sequences with current knowledge including publications, func- tional features and informative nomenclature. The database currently represents sequences from more than 55 000 organisms (&gt;4800 viruses, &gt;40 000 prokaryotes and &gt;10 000 eukaryotes; RefSeq re- lease 71), ranging from a single record to complete genomes. This paper summarizes the current sta- tus of the viral, prokaryotic, and eukaryotic branches of the RefSeq project, reports on improvements to data access and details efforts to further expand the taxonomic representation of the collection. We also highlight diverse functional curation initiatives that support multiple uses of RefSeq data including tax- onomic validation, genome annotation, comparative genomics, and clinical testing. We summarize our approach to utilizing available RNA-Seq and other data types in our manual curation process for verte- brate, plant, and other species, and describe a new direction for prokaryotic genomes and protein name management.", "author" : [ { "dropping-particle" : "", "family" : "O'Leary", "given" : "Nuala A.", "non-dropping-particle" : "", "parse-names" : false, "suffix" : "" }, { "dropping-particle" : "", "family" : "Wright", "given" : "Mathew W.", "non-dropping-particle" : "", "parse-names" : false, "suffix" : "" }, { "dropping-particle" : "", "family" : "Brister", "given" : "J. Rodney", "non-dropping-particle" : "", "parse-names" : false, "suffix" : "" }, { "dropping-particle" : "", "family" : "Ciufo", "given" : "Stacy", "non-dropping-particle" : "", "parse-names" : false, "suffix" : "" }, { "dropping-particle" : "", "family" : "Haddad", "given" : "Diana", "non-dropping-particle" : "", "parse-names" : false, "suffix" : "" }, { "dropping-particle" : "", "family" : "McVeigh", "given" : "Rich", "non-dropping-particle" : "", "parse-names" : false, "suffix" : "" }, { "dropping-particle" : "", "family" : "Rajput", "given" : "Bhanu", "non-dropping-particle" : "", "parse-names" : false, "suffix" : "" }, { "dropping-particle" : "", "family" : "Robbertse", "given" : "Barbara", "non-dropping-particle" : "", "parse-names" : false, "suffix" : "" }, { "dropping-particle" : "", "family" : "Smith-White", "given" : "Brian", "non-dropping-particle" : "", "parse-names" : false, "suffix" : "" }, { "dropping-particle" : "", "family" : "Ako-Adjei", "given" : "Danso", "non-dropping-particle" : "", "parse-names" : false, "suffix" : "" }, { "dropping-particle" : "", "family" : "Astashyn", "given" : "Alexander", "non-dropping-particle" : "", "parse-names" : false, "suffix" : "" }, { "dropping-particle" : "", "family" : "Badretdin", "given" : "Azat", "non-dropping-particle" : "", "parse-names" : false, "suffix" : "" }, { "dropping-particle" : "", "family" : "Bao", "given" : "Yiming", "non-dropping-particle" : "", "parse-names" : false, "suffix" : "" }, { "dropping-particle" : "", "family" : "Blinkova", "given" : "Olga", "non-dropping-particle" : "", "parse-names" : false, "suffix" : "" }, { "dropping-particle" : "", "family" : "Brover", "given" : "Vyacheslav", "non-dropping-particle" : "", "parse-names" : false, "suffix" : "" }, { "dropping-particle" : "", "family" : "Chetvernin", "given" : "Vyacheslav", "non-dropping-particle" : "", "parse-names" : false, "suffix" : "" }, { "dropping-particle" : "", "family" : "Choi", "given" : "Jinna", "non-dropping-particle" : "", "parse-names" : false, "suffix" : "" }, { "dropping-particle" : "", "family" : "Cox", "given" : "Eric", "non-dropping-particle" : "", "parse-names" : false, "suffix" : "" }, { "dropping-particle" : "", "family" : "Ermolaeva", "given" : "Olga", "non-dropping-particle" : "", "parse-names" : false, "suffix" : "" }, { "dropping-particle" : "", "family" : "Farrell", "given" : "Catherine M.", "non-dropping-particle" : "", "parse-names" : false, "suffix" : "" }, { "dropping-particle" : "", "family" : "Goldfarb", "given" : "Tamara", "non-dropping-particle" : "", "parse-names" : false, "suffix" : "" }, { "dropping-particle" : "", "family" : "Gupta", "given" : "Tripti", "non-dropping-particle" : "", "parse-names" : false, "suffix" : "" }, { "dropping-particle" : "", "family" : "Haft", "given" : "Daniel", "non-dropping-particle" : "", "parse-names" : false, "suffix" : "" }, { "dropping-particle" : "", "family" : "Hatcher", "given" : "Eneida", "non-dropping-particle" : "", "parse-names" : false, "suffix" : "" }, { "dropping-particle" : "", "family" : "Hlavina", "given" : "Wratko", "non-dropping-particle" : "", "parse-names" : false, "suffix" : "" }, { "dropping-particle" : "", "family" : "Joardar", "given" : "Vinita S.", "non-dropping-particle" : "", "parse-names" : false, "suffix" : "" }, { "dropping-particle" : "", "family" : "Kodali", "given" : "Vamsi K.", "non-dropping-particle" : "", "parse-names" : false, "suffix" : "" }, { "dropping-particle" : "", "family" : "Li", "given" : "Wenjun", "non-dropping-particle" : "", "parse-names" : false, "suffix" : "" }, { "dropping-particle" : "", "family" : "Maglott", "given" : "Donna", "non-dropping-particle" : "", "parse-names" : false, "suffix" : "" }, { "dropping-particle" : "", "family" : "Masterson", "given" : "Patrick", "non-dropping-particle" : "", "parse-names" : false, "suffix" : "" }, { "dropping-particle" : "", "family" : "McGarvey", "given" : "Kelly M.", "non-dropping-particle" : "", "parse-names" : false, "suffix" : "" }, { "dropping-particle" : "", "family" : "Murphy", "given" : "Michael R.", "non-dropping-particle" : "", "parse-names" : false, "suffix" : "" }, { "dropping-particle" : "", "family" : "O'Neill", "given" : "Kathleen", "non-dropping-particle" : "", "parse-names" : false, "suffix" : "" }, { "dropping-particle" : "", "family" : "Pujar", "given" : "Shashikant", "non-dropping-particle" : "", "parse-names" : false, "suffix" : "" }, { "dropping-particle" : "", "family" : "Rangwala", "given" : "Sanjida H.", "non-dropping-particle" : "", "parse-names" : false, "suffix" : "" }, { "dropping-particle" : "", "family" : "Rausch", "given" : "Daniel", "non-dropping-particle" : "", "parse-names" : false, "suffix" : "" }, { "dropping-particle" : "", "family" : "Riddick", "given" : "Lillian D.", "non-dropping-particle" : "", "parse-names" : false, "suffix" : "" }, { "dropping-particle" : "", "family" : "Schoch", "given" : "Conrad", "non-dropping-particle" : "", "parse-names" : false, "suffix" : "" }, { "dropping-particle" : "", "family" : "Shkeda", "given" : "Andrei", "non-dropping-particle" : "", "parse-names" : false, "suffix" : "" }, { "dropping-particle" : "", "family" : "Storz", "given" : "Susan S.", "non-dropping-particle" : "", "parse-names" : false, "suffix" : "" }, { "dropping-particle" : "", "family" : "Sun", "given" : "Hanzhen", "non-dropping-particle" : "", "parse-names" : false, "suffix" : "" }, { "dropping-particle" : "", "family" : "Thibaud-Nissen", "given" : "Francoise", "non-dropping-particle" : "", "parse-names" : false, "suffix" : "" }, { "dropping-particle" : "", "family" : "Tolstoy", "given" : "Igor", "non-dropping-particle" : "", "parse-names" : false, "suffix" : "" }, { "dropping-particle" : "", "family" : "Tully", "given" : "Raymond E.", "non-dropping-particle" : "", "parse-names" : false, "suffix" : "" }, { "dropping-particle" : "", "family" : "Vatsan", "given" : "Anjana R.", "non-dropping-particle" : "", "parse-names" : false, "suffix" : "" }, { "dropping-particle" : "", "family" : "Wallin", "given" : "Craig", "non-dropping-particle" : "", "parse-names" : false, "suffix" : "" }, { "dropping-particle" : "", "family" : "Webb", "given" : "David", "non-dropping-particle" : "", "parse-names" : false, "suffix" : "" }, { "dropping-particle" : "", "family" : "Wu", "given" : "Wendy", "non-dropping-particle" : "", "parse-names" : false, "suffix" : "" }, { "dropping-particle" : "", "family" : "Landrum", "given" : "Melissa J.", "non-dropping-particle" : "", "parse-names" : false, "suffix" : "" }, { "dropping-particle" : "", "family" : "Kimchi", "given" : "Avi", "non-dropping-particle" : "", "parse-names" : false, "suffix" : "" }, { "dropping-particle" : "", "family" : "Tatusova", "given" : "Tatiana", "non-dropping-particle" : "", "parse-names" : false, "suffix" : "" }, { "dropping-particle" : "", "family" : "DiCuccio", "given" : "Michael", "non-dropping-particle" : "", "parse-names" : false, "suffix" : "" }, { "dropping-particle" : "", "family" : "Kitts", "given" : "Paul", "non-dropping-particle" : "", "parse-names" : false, "suffix" : "" }, { "dropping-particle" : "", "family" : "Murphy", "given" : "Terence D.", "non-dropping-particle" : "", "parse-names" : false, "suffix" : "" }, { "dropping-particle" : "", "family" : "Pruitt", "given" : "Kim D.", "non-dropping-particle" : "", "parse-names" : false, "suffix" : "" } ], "container-title" : "Nucleic Acids Research", "id" : "ITEM-1", "issue" : "D1", "issued" : { "date-parts" : [ [ "2016" ] ] }, "page" : "D733-D745", "title" : "Reference sequence (RefSeq) database at NCBI: Current status, taxonomic expansion, and functional annotation", "type" : "article-journal", "volume" : "44" }, "uris" : [ "http://www.mendeley.com/documents/?uuid=ae95fcd5-a8a1-4cc4-b1e0-f85c03c77573" ] } ], "mendeley" : { "formattedCitation" : "(O\u2019Leary et al., 2016)", "plainTextFormattedCitation" : "(O\u2019Leary et al., 2016)", "previouslyFormattedCitation" : "(O\u2019Leary et al., 2016)"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O’Leary et al., 2016</w:t>
            </w:r>
            <w:r w:rsidRPr="0005646A">
              <w:rPr>
                <w:rFonts w:ascii="Book Antiqua" w:hAnsi="Book Antiqua" w:cs="Times New Roman"/>
                <w:sz w:val="20"/>
                <w:szCs w:val="20"/>
              </w:rPr>
              <w:fldChar w:fldCharType="end"/>
            </w:r>
          </w:p>
        </w:tc>
      </w:tr>
      <w:tr w:rsidR="007B3484" w:rsidRPr="0005646A" w:rsidTr="0023438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30" w:type="dxa"/>
            <w:vMerge/>
            <w:tcBorders>
              <w:bottom w:val="single" w:sz="4" w:space="0" w:color="auto"/>
            </w:tcBorders>
            <w:shd w:val="clear" w:color="auto" w:fill="auto"/>
          </w:tcPr>
          <w:p w:rsidR="007B3484" w:rsidRPr="0005646A" w:rsidRDefault="007B3484" w:rsidP="007B3484">
            <w:pPr>
              <w:rPr>
                <w:rFonts w:ascii="Book Antiqua" w:hAnsi="Book Antiqua" w:cs="Times New Roman"/>
                <w:sz w:val="20"/>
                <w:szCs w:val="20"/>
              </w:rPr>
            </w:pPr>
          </w:p>
        </w:tc>
        <w:tc>
          <w:tcPr>
            <w:tcW w:w="1265" w:type="dxa"/>
            <w:vMerge/>
            <w:tcBorders>
              <w:left w:val="nil"/>
              <w:bottom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795" w:type="dxa"/>
            <w:tcBorders>
              <w:bottom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Giraffidae</w:t>
            </w:r>
          </w:p>
        </w:tc>
        <w:tc>
          <w:tcPr>
            <w:tcW w:w="3330" w:type="dxa"/>
            <w:tcBorders>
              <w:bottom w:val="single" w:sz="4" w:space="0" w:color="auto"/>
            </w:tcBorders>
            <w:shd w:val="clear" w:color="auto" w:fill="auto"/>
          </w:tcPr>
          <w:p w:rsidR="007B3484" w:rsidRPr="0023438C" w:rsidRDefault="007B3484" w:rsidP="0023438C">
            <w:pPr>
              <w:pStyle w:val="ListParagraph"/>
              <w:numPr>
                <w:ilvl w:val="0"/>
                <w:numId w:val="7"/>
              </w:numPr>
              <w:ind w:left="342" w:hanging="342"/>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23438C">
              <w:rPr>
                <w:rFonts w:ascii="Book Antiqua" w:hAnsi="Book Antiqua" w:cs="Times New Roman"/>
                <w:i/>
                <w:sz w:val="20"/>
                <w:szCs w:val="20"/>
              </w:rPr>
              <w:t>Giraffa camelopardalis angolensis</w:t>
            </w:r>
          </w:p>
        </w:tc>
        <w:tc>
          <w:tcPr>
            <w:tcW w:w="1539" w:type="dxa"/>
            <w:tcBorders>
              <w:bottom w:val="single" w:sz="4" w:space="0" w:color="auto"/>
            </w:tcBorders>
            <w:shd w:val="clear" w:color="auto" w:fill="auto"/>
          </w:tcPr>
          <w:p w:rsidR="007B3484" w:rsidRPr="0005646A" w:rsidRDefault="007B3484" w:rsidP="007B3484">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t>NC_012100.1</w:t>
            </w:r>
          </w:p>
        </w:tc>
        <w:tc>
          <w:tcPr>
            <w:tcW w:w="2610" w:type="dxa"/>
            <w:tcBorders>
              <w:bottom w:val="single" w:sz="4" w:space="0" w:color="auto"/>
            </w:tcBorders>
            <w:shd w:val="clear" w:color="auto" w:fill="auto"/>
          </w:tcPr>
          <w:p w:rsidR="007B3484" w:rsidRPr="0005646A" w:rsidRDefault="007B3484" w:rsidP="0005646A">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05646A">
              <w:rPr>
                <w:rFonts w:ascii="Book Antiqua" w:hAnsi="Book Antiqua" w:cs="Times New Roman"/>
                <w:sz w:val="20"/>
                <w:szCs w:val="20"/>
              </w:rPr>
              <w:fldChar w:fldCharType="begin" w:fldLock="1"/>
            </w:r>
            <w:r w:rsidRPr="0005646A">
              <w:rPr>
                <w:rFonts w:ascii="Book Antiqua" w:hAnsi="Book Antiqua" w:cs="Times New Roman"/>
                <w:sz w:val="20"/>
                <w:szCs w:val="20"/>
              </w:rPr>
              <w:instrText>ADDIN CSL_CITATION { "citationItems" : [ { "id" : "ITEM-1", "itemData" : { "DOI" : "10.1093/nar/gkv1189", "ISBN" : "1362-4962 (Electronic) 0305-1048 (Linking)", "ISSN" : "13624962", "PMID" : "26553804", "abstract" : "The RefSeq project at the National Center for Biotech- nology Information (NCBI) maintains and curates a publicly available database of annotated genomic, transcript, and protein sequence records (http:// www.ncbi.nlm.nih.gov/refseq/). The RefSeq project leverages the data submitted to the International Nu- cleotide Sequence Database Collaboration (INSDC) against a combination of computation, manual cu- ration, and collaboration to produce a standard set of stable, non-redundant reference sequences. The RefSeq project augments these reference sequences with current knowledge including publications, func- tional features and informative nomenclature. The database currently represents sequences from more than 55 000 organisms (&gt;4800 viruses, &gt;40 000 prokaryotes and &gt;10 000 eukaryotes; RefSeq re- lease 71), ranging from a single record to complete genomes. This paper summarizes the current sta- tus of the viral, prokaryotic, and eukaryotic branches of the RefSeq project, reports on improvements to data access and details efforts to further expand the taxonomic representation of the collection. We also highlight diverse functional curation initiatives that support multiple uses of RefSeq data including tax- onomic validation, genome annotation, comparative genomics, and clinical testing. We summarize our approach to utilizing available RNA-Seq and other data types in our manual curation process for verte- brate, plant, and other species, and describe a new direction for prokaryotic genomes and protein name management.", "author" : [ { "dropping-particle" : "", "family" : "O'Leary", "given" : "Nuala A.", "non-dropping-particle" : "", "parse-names" : false, "suffix" : "" }, { "dropping-particle" : "", "family" : "Wright", "given" : "Mathew W.", "non-dropping-particle" : "", "parse-names" : false, "suffix" : "" }, { "dropping-particle" : "", "family" : "Brister", "given" : "J. Rodney", "non-dropping-particle" : "", "parse-names" : false, "suffix" : "" }, { "dropping-particle" : "", "family" : "Ciufo", "given" : "Stacy", "non-dropping-particle" : "", "parse-names" : false, "suffix" : "" }, { "dropping-particle" : "", "family" : "Haddad", "given" : "Diana", "non-dropping-particle" : "", "parse-names" : false, "suffix" : "" }, { "dropping-particle" : "", "family" : "McVeigh", "given" : "Rich", "non-dropping-particle" : "", "parse-names" : false, "suffix" : "" }, { "dropping-particle" : "", "family" : "Rajput", "given" : "Bhanu", "non-dropping-particle" : "", "parse-names" : false, "suffix" : "" }, { "dropping-particle" : "", "family" : "Robbertse", "given" : "Barbara", "non-dropping-particle" : "", "parse-names" : false, "suffix" : "" }, { "dropping-particle" : "", "family" : "Smith-White", "given" : "Brian", "non-dropping-particle" : "", "parse-names" : false, "suffix" : "" }, { "dropping-particle" : "", "family" : "Ako-Adjei", "given" : "Danso", "non-dropping-particle" : "", "parse-names" : false, "suffix" : "" }, { "dropping-particle" : "", "family" : "Astashyn", "given" : "Alexander", "non-dropping-particle" : "", "parse-names" : false, "suffix" : "" }, { "dropping-particle" : "", "family" : "Badretdin", "given" : "Azat", "non-dropping-particle" : "", "parse-names" : false, "suffix" : "" }, { "dropping-particle" : "", "family" : "Bao", "given" : "Yiming", "non-dropping-particle" : "", "parse-names" : false, "suffix" : "" }, { "dropping-particle" : "", "family" : "Blinkova", "given" : "Olga", "non-dropping-particle" : "", "parse-names" : false, "suffix" : "" }, { "dropping-particle" : "", "family" : "Brover", "given" : "Vyacheslav", "non-dropping-particle" : "", "parse-names" : false, "suffix" : "" }, { "dropping-particle" : "", "family" : "Chetvernin", "given" : "Vyacheslav", "non-dropping-particle" : "", "parse-names" : false, "suffix" : "" }, { "dropping-particle" : "", "family" : "Choi", "given" : "Jinna", "non-dropping-particle" : "", "parse-names" : false, "suffix" : "" }, { "dropping-particle" : "", "family" : "Cox", "given" : "Eric", "non-dropping-particle" : "", "parse-names" : false, "suffix" : "" }, { "dropping-particle" : "", "family" : "Ermolaeva", "given" : "Olga", "non-dropping-particle" : "", "parse-names" : false, "suffix" : "" }, { "dropping-particle" : "", "family" : "Farrell", "given" : "Catherine M.", "non-dropping-particle" : "", "parse-names" : false, "suffix" : "" }, { "dropping-particle" : "", "family" : "Goldfarb", "given" : "Tamara", "non-dropping-particle" : "", "parse-names" : false, "suffix" : "" }, { "dropping-particle" : "", "family" : "Gupta", "given" : "Tripti", "non-dropping-particle" : "", "parse-names" : false, "suffix" : "" }, { "dropping-particle" : "", "family" : "Haft", "given" : "Daniel", "non-dropping-particle" : "", "parse-names" : false, "suffix" : "" }, { "dropping-particle" : "", "family" : "Hatcher", "given" : "Eneida", "non-dropping-particle" : "", "parse-names" : false, "suffix" : "" }, { "dropping-particle" : "", "family" : "Hlavina", "given" : "Wratko", "non-dropping-particle" : "", "parse-names" : false, "suffix" : "" }, { "dropping-particle" : "", "family" : "Joardar", "given" : "Vinita S.", "non-dropping-particle" : "", "parse-names" : false, "suffix" : "" }, { "dropping-particle" : "", "family" : "Kodali", "given" : "Vamsi K.", "non-dropping-particle" : "", "parse-names" : false, "suffix" : "" }, { "dropping-particle" : "", "family" : "Li", "given" : "Wenjun", "non-dropping-particle" : "", "parse-names" : false, "suffix" : "" }, { "dropping-particle" : "", "family" : "Maglott", "given" : "Donna", "non-dropping-particle" : "", "parse-names" : false, "suffix" : "" }, { "dropping-particle" : "", "family" : "Masterson", "given" : "Patrick", "non-dropping-particle" : "", "parse-names" : false, "suffix" : "" }, { "dropping-particle" : "", "family" : "McGarvey", "given" : "Kelly M.", "non-dropping-particle" : "", "parse-names" : false, "suffix" : "" }, { "dropping-particle" : "", "family" : "Murphy", "given" : "Michael R.", "non-dropping-particle" : "", "parse-names" : false, "suffix" : "" }, { "dropping-particle" : "", "family" : "O'Neill", "given" : "Kathleen", "non-dropping-particle" : "", "parse-names" : false, "suffix" : "" }, { "dropping-particle" : "", "family" : "Pujar", "given" : "Shashikant", "non-dropping-particle" : "", "parse-names" : false, "suffix" : "" }, { "dropping-particle" : "", "family" : "Rangwala", "given" : "Sanjida H.", "non-dropping-particle" : "", "parse-names" : false, "suffix" : "" }, { "dropping-particle" : "", "family" : "Rausch", "given" : "Daniel", "non-dropping-particle" : "", "parse-names" : false, "suffix" : "" }, { "dropping-particle" : "", "family" : "Riddick", "given" : "Lillian D.", "non-dropping-particle" : "", "parse-names" : false, "suffix" : "" }, { "dropping-particle" : "", "family" : "Schoch", "given" : "Conrad", "non-dropping-particle" : "", "parse-names" : false, "suffix" : "" }, { "dropping-particle" : "", "family" : "Shkeda", "given" : "Andrei", "non-dropping-particle" : "", "parse-names" : false, "suffix" : "" }, { "dropping-particle" : "", "family" : "Storz", "given" : "Susan S.", "non-dropping-particle" : "", "parse-names" : false, "suffix" : "" }, { "dropping-particle" : "", "family" : "Sun", "given" : "Hanzhen", "non-dropping-particle" : "", "parse-names" : false, "suffix" : "" }, { "dropping-particle" : "", "family" : "Thibaud-Nissen", "given" : "Francoise", "non-dropping-particle" : "", "parse-names" : false, "suffix" : "" }, { "dropping-particle" : "", "family" : "Tolstoy", "given" : "Igor", "non-dropping-particle" : "", "parse-names" : false, "suffix" : "" }, { "dropping-particle" : "", "family" : "Tully", "given" : "Raymond E.", "non-dropping-particle" : "", "parse-names" : false, "suffix" : "" }, { "dropping-particle" : "", "family" : "Vatsan", "given" : "Anjana R.", "non-dropping-particle" : "", "parse-names" : false, "suffix" : "" }, { "dropping-particle" : "", "family" : "Wallin", "given" : "Craig", "non-dropping-particle" : "", "parse-names" : false, "suffix" : "" }, { "dropping-particle" : "", "family" : "Webb", "given" : "David", "non-dropping-particle" : "", "parse-names" : false, "suffix" : "" }, { "dropping-particle" : "", "family" : "Wu", "given" : "Wendy", "non-dropping-particle" : "", "parse-names" : false, "suffix" : "" }, { "dropping-particle" : "", "family" : "Landrum", "given" : "Melissa J.", "non-dropping-particle" : "", "parse-names" : false, "suffix" : "" }, { "dropping-particle" : "", "family" : "Kimchi", "given" : "Avi", "non-dropping-particle" : "", "parse-names" : false, "suffix" : "" }, { "dropping-particle" : "", "family" : "Tatusova", "given" : "Tatiana", "non-dropping-particle" : "", "parse-names" : false, "suffix" : "" }, { "dropping-particle" : "", "family" : "DiCuccio", "given" : "Michael", "non-dropping-particle" : "", "parse-names" : false, "suffix" : "" }, { "dropping-particle" : "", "family" : "Kitts", "given" : "Paul", "non-dropping-particle" : "", "parse-names" : false, "suffix" : "" }, { "dropping-particle" : "", "family" : "Murphy", "given" : "Terence D.", "non-dropping-particle" : "", "parse-names" : false, "suffix" : "" }, { "dropping-particle" : "", "family" : "Pruitt", "given" : "Kim D.", "non-dropping-particle" : "", "parse-names" : false, "suffix" : "" } ], "container-title" : "Nucleic Acids Research", "id" : "ITEM-1", "issue" : "D1", "issued" : { "date-parts" : [ [ "2016" ] ] }, "page" : "D733-D745", "title" : "Reference sequence (RefSeq) database at NCBI: Current status, taxonomic expansion, and functional annotation", "type" : "article-journal", "volume" : "44" }, "uris" : [ "http://www.mendeley.com/documents/?uuid=ae95fcd5-a8a1-4cc4-b1e0-f85c03c77573" ] } ], "mendeley" : { "formattedCitation" : "(O\u2019Leary et al., 2016)", "plainTextFormattedCitation" : "(O\u2019Leary et al., 2016)", "previouslyFormattedCitation" : "(O\u2019Leary et al., 2016)" }, "properties" : {  }, "schema" : "https://github.com/citation-style-language/schema/raw/master/csl-citation.json" }</w:instrText>
            </w:r>
            <w:r w:rsidRPr="0005646A">
              <w:rPr>
                <w:rFonts w:ascii="Book Antiqua" w:hAnsi="Book Antiqua" w:cs="Times New Roman"/>
                <w:sz w:val="20"/>
                <w:szCs w:val="20"/>
              </w:rPr>
              <w:fldChar w:fldCharType="separate"/>
            </w:r>
            <w:r w:rsidRPr="0005646A">
              <w:rPr>
                <w:rFonts w:ascii="Book Antiqua" w:hAnsi="Book Antiqua" w:cs="Times New Roman"/>
                <w:noProof/>
                <w:sz w:val="20"/>
                <w:szCs w:val="20"/>
              </w:rPr>
              <w:t>O’Leary et al., 2016</w:t>
            </w:r>
            <w:r w:rsidRPr="0005646A">
              <w:rPr>
                <w:rFonts w:ascii="Book Antiqua" w:hAnsi="Book Antiqua" w:cs="Times New Roman"/>
                <w:sz w:val="20"/>
                <w:szCs w:val="20"/>
              </w:rPr>
              <w:fldChar w:fldCharType="end"/>
            </w:r>
          </w:p>
        </w:tc>
      </w:tr>
    </w:tbl>
    <w:p w:rsidR="008E2C5B" w:rsidRPr="00437BAB" w:rsidRDefault="008E2C5B" w:rsidP="00D66F25">
      <w:pPr>
        <w:rPr>
          <w:rFonts w:ascii="Times New Roman" w:hAnsi="Times New Roman" w:cs="Times New Roman"/>
          <w:b/>
          <w:bCs/>
          <w:sz w:val="24"/>
          <w:szCs w:val="24"/>
        </w:rPr>
      </w:pPr>
    </w:p>
    <w:sectPr w:rsidR="008E2C5B" w:rsidRPr="00437BAB" w:rsidSect="007B3484">
      <w:pgSz w:w="16838" w:h="11906" w:orient="landscape"/>
      <w:pgMar w:top="1152"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B43" w:rsidRDefault="00491B43" w:rsidP="001619AB">
      <w:pPr>
        <w:spacing w:after="0" w:line="240" w:lineRule="auto"/>
      </w:pPr>
      <w:r>
        <w:separator/>
      </w:r>
    </w:p>
  </w:endnote>
  <w:endnote w:type="continuationSeparator" w:id="0">
    <w:p w:rsidR="00491B43" w:rsidRDefault="00491B43" w:rsidP="00161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DejaVu LGC Sans">
    <w:altName w:val="MS Gothic"/>
    <w:charset w:val="8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B43" w:rsidRDefault="00491B43" w:rsidP="001619AB">
      <w:pPr>
        <w:spacing w:after="0" w:line="240" w:lineRule="auto"/>
      </w:pPr>
      <w:r>
        <w:separator/>
      </w:r>
    </w:p>
  </w:footnote>
  <w:footnote w:type="continuationSeparator" w:id="0">
    <w:p w:rsidR="00491B43" w:rsidRDefault="00491B43" w:rsidP="00161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Heading1"/>
      <w:lvlText w:val="%1."/>
      <w:lvlJc w:val="left"/>
      <w:pPr>
        <w:tabs>
          <w:tab w:val="num" w:pos="0"/>
        </w:tabs>
        <w:ind w:left="360" w:hanging="360"/>
      </w:pPr>
    </w:lvl>
    <w:lvl w:ilvl="1">
      <w:start w:val="1"/>
      <w:numFmt w:val="decimal"/>
      <w:pStyle w:val="Heading2"/>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Arial" w:hAnsi="Arial" w:cs="Arial"/>
        <w:b/>
        <w:bCs/>
        <w:iCs/>
      </w:rPr>
    </w:lvl>
    <w:lvl w:ilvl="1">
      <w:start w:val="1"/>
      <w:numFmt w:val="decimal"/>
      <w:lvlText w:val="6.%2"/>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F4010A2"/>
    <w:multiLevelType w:val="hybridMultilevel"/>
    <w:tmpl w:val="AAC27BEA"/>
    <w:lvl w:ilvl="0" w:tplc="0ED0C2CC">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2E3583"/>
    <w:multiLevelType w:val="hybridMultilevel"/>
    <w:tmpl w:val="72022F40"/>
    <w:lvl w:ilvl="0" w:tplc="FA842EF4">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BB4382"/>
    <w:multiLevelType w:val="hybridMultilevel"/>
    <w:tmpl w:val="0FD6F4EA"/>
    <w:lvl w:ilvl="0" w:tplc="0ED0C2CC">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E42EB7"/>
    <w:multiLevelType w:val="hybridMultilevel"/>
    <w:tmpl w:val="D306407A"/>
    <w:lvl w:ilvl="0" w:tplc="0ED0C2CC">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30422"/>
    <w:multiLevelType w:val="hybridMultilevel"/>
    <w:tmpl w:val="AAC27BEA"/>
    <w:lvl w:ilvl="0" w:tplc="0ED0C2CC">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E2"/>
    <w:rsid w:val="00001A08"/>
    <w:rsid w:val="000111A6"/>
    <w:rsid w:val="00015806"/>
    <w:rsid w:val="00016708"/>
    <w:rsid w:val="00017400"/>
    <w:rsid w:val="00017402"/>
    <w:rsid w:val="00017482"/>
    <w:rsid w:val="000210F8"/>
    <w:rsid w:val="00024502"/>
    <w:rsid w:val="00024D20"/>
    <w:rsid w:val="00026C48"/>
    <w:rsid w:val="00031278"/>
    <w:rsid w:val="00032D41"/>
    <w:rsid w:val="00036219"/>
    <w:rsid w:val="000375B2"/>
    <w:rsid w:val="000476B9"/>
    <w:rsid w:val="00047D38"/>
    <w:rsid w:val="0005646A"/>
    <w:rsid w:val="00056931"/>
    <w:rsid w:val="000606B7"/>
    <w:rsid w:val="00061CE8"/>
    <w:rsid w:val="00070E92"/>
    <w:rsid w:val="000737A2"/>
    <w:rsid w:val="00075ACE"/>
    <w:rsid w:val="000806A2"/>
    <w:rsid w:val="000839C1"/>
    <w:rsid w:val="00091B95"/>
    <w:rsid w:val="00093F2A"/>
    <w:rsid w:val="000966B1"/>
    <w:rsid w:val="000A527A"/>
    <w:rsid w:val="000A6458"/>
    <w:rsid w:val="000B072A"/>
    <w:rsid w:val="000B655D"/>
    <w:rsid w:val="000D1CD9"/>
    <w:rsid w:val="000D2F1C"/>
    <w:rsid w:val="000E4F8D"/>
    <w:rsid w:val="000F19D2"/>
    <w:rsid w:val="000F7B4D"/>
    <w:rsid w:val="0010231A"/>
    <w:rsid w:val="00105AC6"/>
    <w:rsid w:val="00123970"/>
    <w:rsid w:val="0013063C"/>
    <w:rsid w:val="0013349E"/>
    <w:rsid w:val="0013486E"/>
    <w:rsid w:val="001527BD"/>
    <w:rsid w:val="001619AB"/>
    <w:rsid w:val="00172CA7"/>
    <w:rsid w:val="0017698D"/>
    <w:rsid w:val="00177113"/>
    <w:rsid w:val="00183604"/>
    <w:rsid w:val="0018737E"/>
    <w:rsid w:val="001953EA"/>
    <w:rsid w:val="00197710"/>
    <w:rsid w:val="001B4157"/>
    <w:rsid w:val="001B61C0"/>
    <w:rsid w:val="001B7379"/>
    <w:rsid w:val="001C3DEB"/>
    <w:rsid w:val="001C65C4"/>
    <w:rsid w:val="001D3DD8"/>
    <w:rsid w:val="001D3F54"/>
    <w:rsid w:val="001D41FE"/>
    <w:rsid w:val="001D5247"/>
    <w:rsid w:val="001E1604"/>
    <w:rsid w:val="002009F6"/>
    <w:rsid w:val="00201286"/>
    <w:rsid w:val="00215B7F"/>
    <w:rsid w:val="00222B3B"/>
    <w:rsid w:val="00226FB1"/>
    <w:rsid w:val="002271DC"/>
    <w:rsid w:val="002309E3"/>
    <w:rsid w:val="00232CE5"/>
    <w:rsid w:val="0023438C"/>
    <w:rsid w:val="002361BD"/>
    <w:rsid w:val="00243682"/>
    <w:rsid w:val="002477A1"/>
    <w:rsid w:val="00260118"/>
    <w:rsid w:val="00261941"/>
    <w:rsid w:val="00261C8C"/>
    <w:rsid w:val="00262EBF"/>
    <w:rsid w:val="00263542"/>
    <w:rsid w:val="00263B39"/>
    <w:rsid w:val="00272851"/>
    <w:rsid w:val="00272B30"/>
    <w:rsid w:val="0027472F"/>
    <w:rsid w:val="00275B7A"/>
    <w:rsid w:val="00280C43"/>
    <w:rsid w:val="002820A3"/>
    <w:rsid w:val="002960E0"/>
    <w:rsid w:val="002A063F"/>
    <w:rsid w:val="002A0F97"/>
    <w:rsid w:val="002A6F7E"/>
    <w:rsid w:val="002A7101"/>
    <w:rsid w:val="002A7A3B"/>
    <w:rsid w:val="002B091D"/>
    <w:rsid w:val="002B0994"/>
    <w:rsid w:val="002B1986"/>
    <w:rsid w:val="002B5F4E"/>
    <w:rsid w:val="002B6FAE"/>
    <w:rsid w:val="002C01AB"/>
    <w:rsid w:val="002D1B57"/>
    <w:rsid w:val="002D1CC0"/>
    <w:rsid w:val="002D471E"/>
    <w:rsid w:val="002D631B"/>
    <w:rsid w:val="002E39BB"/>
    <w:rsid w:val="002E3ABE"/>
    <w:rsid w:val="002F39DD"/>
    <w:rsid w:val="002F40BD"/>
    <w:rsid w:val="002F5606"/>
    <w:rsid w:val="002F679E"/>
    <w:rsid w:val="00310AF3"/>
    <w:rsid w:val="00316E32"/>
    <w:rsid w:val="003212FB"/>
    <w:rsid w:val="00326D97"/>
    <w:rsid w:val="003354D8"/>
    <w:rsid w:val="00340C7A"/>
    <w:rsid w:val="00342536"/>
    <w:rsid w:val="0035000D"/>
    <w:rsid w:val="003526CC"/>
    <w:rsid w:val="00357D31"/>
    <w:rsid w:val="00363C22"/>
    <w:rsid w:val="00366093"/>
    <w:rsid w:val="00371BD3"/>
    <w:rsid w:val="0037467C"/>
    <w:rsid w:val="00374964"/>
    <w:rsid w:val="00377BE6"/>
    <w:rsid w:val="00380E24"/>
    <w:rsid w:val="00380FF1"/>
    <w:rsid w:val="0038118D"/>
    <w:rsid w:val="00386BA9"/>
    <w:rsid w:val="00390A33"/>
    <w:rsid w:val="00391374"/>
    <w:rsid w:val="00391B1A"/>
    <w:rsid w:val="00396536"/>
    <w:rsid w:val="003A23CB"/>
    <w:rsid w:val="003B54DC"/>
    <w:rsid w:val="003C106A"/>
    <w:rsid w:val="003C6B83"/>
    <w:rsid w:val="003D1FE0"/>
    <w:rsid w:val="003D5BA0"/>
    <w:rsid w:val="003E0C9F"/>
    <w:rsid w:val="003E76E3"/>
    <w:rsid w:val="003F005F"/>
    <w:rsid w:val="003F0DB6"/>
    <w:rsid w:val="003F6447"/>
    <w:rsid w:val="004214DE"/>
    <w:rsid w:val="0042247A"/>
    <w:rsid w:val="00426B09"/>
    <w:rsid w:val="004336F7"/>
    <w:rsid w:val="004349A0"/>
    <w:rsid w:val="00435841"/>
    <w:rsid w:val="004378C4"/>
    <w:rsid w:val="00437BAB"/>
    <w:rsid w:val="00437E3C"/>
    <w:rsid w:val="00441C68"/>
    <w:rsid w:val="00445E12"/>
    <w:rsid w:val="00445E20"/>
    <w:rsid w:val="00447707"/>
    <w:rsid w:val="00447DA0"/>
    <w:rsid w:val="004502D0"/>
    <w:rsid w:val="00452DA6"/>
    <w:rsid w:val="00456901"/>
    <w:rsid w:val="0046368B"/>
    <w:rsid w:val="00464B1C"/>
    <w:rsid w:val="00466683"/>
    <w:rsid w:val="00466991"/>
    <w:rsid w:val="004669CE"/>
    <w:rsid w:val="00470E4F"/>
    <w:rsid w:val="0048414C"/>
    <w:rsid w:val="00491B43"/>
    <w:rsid w:val="004A108D"/>
    <w:rsid w:val="004A4CDD"/>
    <w:rsid w:val="004A715E"/>
    <w:rsid w:val="004B13BF"/>
    <w:rsid w:val="004B2418"/>
    <w:rsid w:val="004B3003"/>
    <w:rsid w:val="004B51F4"/>
    <w:rsid w:val="004B5DC9"/>
    <w:rsid w:val="004C177D"/>
    <w:rsid w:val="004C2DE2"/>
    <w:rsid w:val="004C39C4"/>
    <w:rsid w:val="004C465B"/>
    <w:rsid w:val="004D0B37"/>
    <w:rsid w:val="004E58C5"/>
    <w:rsid w:val="004F166B"/>
    <w:rsid w:val="004F1A3B"/>
    <w:rsid w:val="004F553F"/>
    <w:rsid w:val="004F6BC8"/>
    <w:rsid w:val="005013D4"/>
    <w:rsid w:val="00510369"/>
    <w:rsid w:val="00512490"/>
    <w:rsid w:val="00513B33"/>
    <w:rsid w:val="00513DCE"/>
    <w:rsid w:val="00526A43"/>
    <w:rsid w:val="00526B18"/>
    <w:rsid w:val="00533E3F"/>
    <w:rsid w:val="005373CA"/>
    <w:rsid w:val="00541374"/>
    <w:rsid w:val="00546F7D"/>
    <w:rsid w:val="00550F1A"/>
    <w:rsid w:val="005530BC"/>
    <w:rsid w:val="00554C0A"/>
    <w:rsid w:val="00554ED5"/>
    <w:rsid w:val="005650E0"/>
    <w:rsid w:val="005676AE"/>
    <w:rsid w:val="005821EF"/>
    <w:rsid w:val="00583B7A"/>
    <w:rsid w:val="005874AD"/>
    <w:rsid w:val="00591747"/>
    <w:rsid w:val="005A30D7"/>
    <w:rsid w:val="005A324C"/>
    <w:rsid w:val="005B09F0"/>
    <w:rsid w:val="005B3AF6"/>
    <w:rsid w:val="005C1550"/>
    <w:rsid w:val="005C1EDB"/>
    <w:rsid w:val="005C3A29"/>
    <w:rsid w:val="005C3B37"/>
    <w:rsid w:val="005D4993"/>
    <w:rsid w:val="005E40CA"/>
    <w:rsid w:val="005E478E"/>
    <w:rsid w:val="005E4D00"/>
    <w:rsid w:val="005E4E54"/>
    <w:rsid w:val="005E69D4"/>
    <w:rsid w:val="005E7255"/>
    <w:rsid w:val="005F25A3"/>
    <w:rsid w:val="005F5A4A"/>
    <w:rsid w:val="005F7AB8"/>
    <w:rsid w:val="00606333"/>
    <w:rsid w:val="0062188E"/>
    <w:rsid w:val="0062444B"/>
    <w:rsid w:val="0062730E"/>
    <w:rsid w:val="00631B37"/>
    <w:rsid w:val="00633347"/>
    <w:rsid w:val="00635BEC"/>
    <w:rsid w:val="00643BDF"/>
    <w:rsid w:val="0065060D"/>
    <w:rsid w:val="0065155D"/>
    <w:rsid w:val="00654654"/>
    <w:rsid w:val="006548AB"/>
    <w:rsid w:val="00656F35"/>
    <w:rsid w:val="006633D7"/>
    <w:rsid w:val="00664A14"/>
    <w:rsid w:val="00671AC1"/>
    <w:rsid w:val="0067337F"/>
    <w:rsid w:val="006736D8"/>
    <w:rsid w:val="00673DB1"/>
    <w:rsid w:val="006837F7"/>
    <w:rsid w:val="00685806"/>
    <w:rsid w:val="00696EF2"/>
    <w:rsid w:val="006A28D5"/>
    <w:rsid w:val="006A669B"/>
    <w:rsid w:val="006B56DD"/>
    <w:rsid w:val="006B650F"/>
    <w:rsid w:val="006C3970"/>
    <w:rsid w:val="006C3E24"/>
    <w:rsid w:val="006C4B36"/>
    <w:rsid w:val="006C769B"/>
    <w:rsid w:val="006D0A05"/>
    <w:rsid w:val="006D311E"/>
    <w:rsid w:val="006D795E"/>
    <w:rsid w:val="006E41B7"/>
    <w:rsid w:val="006E7093"/>
    <w:rsid w:val="006E753C"/>
    <w:rsid w:val="006F7F39"/>
    <w:rsid w:val="00702C54"/>
    <w:rsid w:val="007058E9"/>
    <w:rsid w:val="00707757"/>
    <w:rsid w:val="00712B8A"/>
    <w:rsid w:val="00714EC2"/>
    <w:rsid w:val="00721C2F"/>
    <w:rsid w:val="00721C49"/>
    <w:rsid w:val="00725727"/>
    <w:rsid w:val="00726EA6"/>
    <w:rsid w:val="00730EB0"/>
    <w:rsid w:val="0073702C"/>
    <w:rsid w:val="00743959"/>
    <w:rsid w:val="00754780"/>
    <w:rsid w:val="00760B32"/>
    <w:rsid w:val="0076587A"/>
    <w:rsid w:val="007715F0"/>
    <w:rsid w:val="007731A3"/>
    <w:rsid w:val="00782375"/>
    <w:rsid w:val="00785C1C"/>
    <w:rsid w:val="00787CEA"/>
    <w:rsid w:val="00791255"/>
    <w:rsid w:val="0079144B"/>
    <w:rsid w:val="007A00E6"/>
    <w:rsid w:val="007A01EF"/>
    <w:rsid w:val="007A3CA4"/>
    <w:rsid w:val="007A4259"/>
    <w:rsid w:val="007A4E92"/>
    <w:rsid w:val="007A60FC"/>
    <w:rsid w:val="007A725A"/>
    <w:rsid w:val="007B3484"/>
    <w:rsid w:val="007B5DE8"/>
    <w:rsid w:val="007C0AF8"/>
    <w:rsid w:val="007C268E"/>
    <w:rsid w:val="007C326D"/>
    <w:rsid w:val="007C3C8D"/>
    <w:rsid w:val="007C5413"/>
    <w:rsid w:val="007C77C9"/>
    <w:rsid w:val="007E43A0"/>
    <w:rsid w:val="007F6C9F"/>
    <w:rsid w:val="007F758E"/>
    <w:rsid w:val="007F777B"/>
    <w:rsid w:val="00812E54"/>
    <w:rsid w:val="008160FD"/>
    <w:rsid w:val="00816A92"/>
    <w:rsid w:val="00817C81"/>
    <w:rsid w:val="00820C53"/>
    <w:rsid w:val="00820FE2"/>
    <w:rsid w:val="00830D44"/>
    <w:rsid w:val="0083347D"/>
    <w:rsid w:val="00833F86"/>
    <w:rsid w:val="0083585E"/>
    <w:rsid w:val="0083671E"/>
    <w:rsid w:val="00845622"/>
    <w:rsid w:val="00845987"/>
    <w:rsid w:val="00846975"/>
    <w:rsid w:val="00850DE2"/>
    <w:rsid w:val="00850FF1"/>
    <w:rsid w:val="00851B12"/>
    <w:rsid w:val="00854C63"/>
    <w:rsid w:val="00863B51"/>
    <w:rsid w:val="00866209"/>
    <w:rsid w:val="00866302"/>
    <w:rsid w:val="00870A25"/>
    <w:rsid w:val="008716BD"/>
    <w:rsid w:val="00872078"/>
    <w:rsid w:val="008735BA"/>
    <w:rsid w:val="00875E98"/>
    <w:rsid w:val="00882D25"/>
    <w:rsid w:val="008831FC"/>
    <w:rsid w:val="0088681C"/>
    <w:rsid w:val="008937F4"/>
    <w:rsid w:val="008966D5"/>
    <w:rsid w:val="00897D44"/>
    <w:rsid w:val="008A33F9"/>
    <w:rsid w:val="008A4057"/>
    <w:rsid w:val="008B5CC4"/>
    <w:rsid w:val="008C08FA"/>
    <w:rsid w:val="008C1B5B"/>
    <w:rsid w:val="008C24E8"/>
    <w:rsid w:val="008D35DB"/>
    <w:rsid w:val="008D565C"/>
    <w:rsid w:val="008D7C92"/>
    <w:rsid w:val="008E2C5B"/>
    <w:rsid w:val="008E2D6B"/>
    <w:rsid w:val="008E7AA5"/>
    <w:rsid w:val="008F3B26"/>
    <w:rsid w:val="008F456D"/>
    <w:rsid w:val="008F558D"/>
    <w:rsid w:val="008F5B31"/>
    <w:rsid w:val="00904C62"/>
    <w:rsid w:val="00930104"/>
    <w:rsid w:val="0093219F"/>
    <w:rsid w:val="0093422A"/>
    <w:rsid w:val="00936DF1"/>
    <w:rsid w:val="00940630"/>
    <w:rsid w:val="009448E2"/>
    <w:rsid w:val="009575B1"/>
    <w:rsid w:val="00967D05"/>
    <w:rsid w:val="009821B6"/>
    <w:rsid w:val="00984A5D"/>
    <w:rsid w:val="00997451"/>
    <w:rsid w:val="009A2908"/>
    <w:rsid w:val="009A2961"/>
    <w:rsid w:val="009A3967"/>
    <w:rsid w:val="009B0866"/>
    <w:rsid w:val="009B459A"/>
    <w:rsid w:val="009B5551"/>
    <w:rsid w:val="009B7034"/>
    <w:rsid w:val="009C1BF2"/>
    <w:rsid w:val="009C20FB"/>
    <w:rsid w:val="009C33BF"/>
    <w:rsid w:val="009C578D"/>
    <w:rsid w:val="009D24E7"/>
    <w:rsid w:val="009D372E"/>
    <w:rsid w:val="009E1FE9"/>
    <w:rsid w:val="009E5611"/>
    <w:rsid w:val="009E6CCD"/>
    <w:rsid w:val="009F1C3D"/>
    <w:rsid w:val="009F2A0F"/>
    <w:rsid w:val="009F5651"/>
    <w:rsid w:val="00A00C14"/>
    <w:rsid w:val="00A115E1"/>
    <w:rsid w:val="00A1595F"/>
    <w:rsid w:val="00A27B2B"/>
    <w:rsid w:val="00A30327"/>
    <w:rsid w:val="00A321D3"/>
    <w:rsid w:val="00A3257D"/>
    <w:rsid w:val="00A32721"/>
    <w:rsid w:val="00A3586D"/>
    <w:rsid w:val="00A364C7"/>
    <w:rsid w:val="00A438FF"/>
    <w:rsid w:val="00A46C86"/>
    <w:rsid w:val="00A477A0"/>
    <w:rsid w:val="00A47D9E"/>
    <w:rsid w:val="00A50A84"/>
    <w:rsid w:val="00A5313D"/>
    <w:rsid w:val="00A6650B"/>
    <w:rsid w:val="00A6652E"/>
    <w:rsid w:val="00A75A45"/>
    <w:rsid w:val="00A92706"/>
    <w:rsid w:val="00A92CCE"/>
    <w:rsid w:val="00A97723"/>
    <w:rsid w:val="00AA0B13"/>
    <w:rsid w:val="00AA217F"/>
    <w:rsid w:val="00AA6D15"/>
    <w:rsid w:val="00AA71D1"/>
    <w:rsid w:val="00AB6453"/>
    <w:rsid w:val="00AB6865"/>
    <w:rsid w:val="00AC09AF"/>
    <w:rsid w:val="00AC38CE"/>
    <w:rsid w:val="00AD02D9"/>
    <w:rsid w:val="00AD085F"/>
    <w:rsid w:val="00AD0B40"/>
    <w:rsid w:val="00AD1523"/>
    <w:rsid w:val="00AE6B12"/>
    <w:rsid w:val="00AF25DB"/>
    <w:rsid w:val="00AF62D0"/>
    <w:rsid w:val="00B00810"/>
    <w:rsid w:val="00B00AC3"/>
    <w:rsid w:val="00B043FC"/>
    <w:rsid w:val="00B11102"/>
    <w:rsid w:val="00B2431D"/>
    <w:rsid w:val="00B24BFA"/>
    <w:rsid w:val="00B355C6"/>
    <w:rsid w:val="00B41222"/>
    <w:rsid w:val="00B4439D"/>
    <w:rsid w:val="00B4641D"/>
    <w:rsid w:val="00B527A0"/>
    <w:rsid w:val="00B5440A"/>
    <w:rsid w:val="00B57507"/>
    <w:rsid w:val="00B6362D"/>
    <w:rsid w:val="00B750FC"/>
    <w:rsid w:val="00B76375"/>
    <w:rsid w:val="00B80595"/>
    <w:rsid w:val="00B849D9"/>
    <w:rsid w:val="00B87A11"/>
    <w:rsid w:val="00B91B15"/>
    <w:rsid w:val="00B94089"/>
    <w:rsid w:val="00B94207"/>
    <w:rsid w:val="00BA11C4"/>
    <w:rsid w:val="00BA6369"/>
    <w:rsid w:val="00BB0DB3"/>
    <w:rsid w:val="00BB1251"/>
    <w:rsid w:val="00BB2A41"/>
    <w:rsid w:val="00BB40D9"/>
    <w:rsid w:val="00BC356A"/>
    <w:rsid w:val="00BC3DC7"/>
    <w:rsid w:val="00BC59B8"/>
    <w:rsid w:val="00BD00DF"/>
    <w:rsid w:val="00BD01F3"/>
    <w:rsid w:val="00BD0BA4"/>
    <w:rsid w:val="00BD41B3"/>
    <w:rsid w:val="00BE0F6B"/>
    <w:rsid w:val="00BE4F34"/>
    <w:rsid w:val="00BF3EE0"/>
    <w:rsid w:val="00BF4AE0"/>
    <w:rsid w:val="00BF78B7"/>
    <w:rsid w:val="00C01071"/>
    <w:rsid w:val="00C0178E"/>
    <w:rsid w:val="00C030CA"/>
    <w:rsid w:val="00C04E4A"/>
    <w:rsid w:val="00C05372"/>
    <w:rsid w:val="00C05B62"/>
    <w:rsid w:val="00C12130"/>
    <w:rsid w:val="00C14CB8"/>
    <w:rsid w:val="00C17759"/>
    <w:rsid w:val="00C215C7"/>
    <w:rsid w:val="00C31C25"/>
    <w:rsid w:val="00C345A5"/>
    <w:rsid w:val="00C4071A"/>
    <w:rsid w:val="00C40F86"/>
    <w:rsid w:val="00C41AA8"/>
    <w:rsid w:val="00C43F6D"/>
    <w:rsid w:val="00C4432E"/>
    <w:rsid w:val="00C53882"/>
    <w:rsid w:val="00C54FBF"/>
    <w:rsid w:val="00C57741"/>
    <w:rsid w:val="00C65BC5"/>
    <w:rsid w:val="00C729B2"/>
    <w:rsid w:val="00C72BF4"/>
    <w:rsid w:val="00C72E8F"/>
    <w:rsid w:val="00C73C42"/>
    <w:rsid w:val="00C74EBF"/>
    <w:rsid w:val="00C8015E"/>
    <w:rsid w:val="00C8155B"/>
    <w:rsid w:val="00C83208"/>
    <w:rsid w:val="00C878D1"/>
    <w:rsid w:val="00C97337"/>
    <w:rsid w:val="00CA5991"/>
    <w:rsid w:val="00CB04E0"/>
    <w:rsid w:val="00CB0759"/>
    <w:rsid w:val="00CB378E"/>
    <w:rsid w:val="00CC4E9D"/>
    <w:rsid w:val="00CC5CB0"/>
    <w:rsid w:val="00CE37B8"/>
    <w:rsid w:val="00CE3AB4"/>
    <w:rsid w:val="00CE7B06"/>
    <w:rsid w:val="00CF1106"/>
    <w:rsid w:val="00CF5FD7"/>
    <w:rsid w:val="00D0058C"/>
    <w:rsid w:val="00D05847"/>
    <w:rsid w:val="00D0626B"/>
    <w:rsid w:val="00D10829"/>
    <w:rsid w:val="00D123A1"/>
    <w:rsid w:val="00D257A9"/>
    <w:rsid w:val="00D26AD8"/>
    <w:rsid w:val="00D316F4"/>
    <w:rsid w:val="00D53020"/>
    <w:rsid w:val="00D53EF9"/>
    <w:rsid w:val="00D56135"/>
    <w:rsid w:val="00D5683A"/>
    <w:rsid w:val="00D630A1"/>
    <w:rsid w:val="00D633F9"/>
    <w:rsid w:val="00D65C06"/>
    <w:rsid w:val="00D66F25"/>
    <w:rsid w:val="00D678FA"/>
    <w:rsid w:val="00D7656D"/>
    <w:rsid w:val="00DA337A"/>
    <w:rsid w:val="00DA601A"/>
    <w:rsid w:val="00DC4B70"/>
    <w:rsid w:val="00DD2D9C"/>
    <w:rsid w:val="00DD3C55"/>
    <w:rsid w:val="00DD40CE"/>
    <w:rsid w:val="00DE23CE"/>
    <w:rsid w:val="00DE6DE9"/>
    <w:rsid w:val="00DE7996"/>
    <w:rsid w:val="00DF4BCD"/>
    <w:rsid w:val="00DF6863"/>
    <w:rsid w:val="00E02067"/>
    <w:rsid w:val="00E138C5"/>
    <w:rsid w:val="00E14D0C"/>
    <w:rsid w:val="00E152E4"/>
    <w:rsid w:val="00E201D0"/>
    <w:rsid w:val="00E21BD8"/>
    <w:rsid w:val="00E24719"/>
    <w:rsid w:val="00E2631C"/>
    <w:rsid w:val="00E27AB6"/>
    <w:rsid w:val="00E304F8"/>
    <w:rsid w:val="00E3629E"/>
    <w:rsid w:val="00E41389"/>
    <w:rsid w:val="00E415AB"/>
    <w:rsid w:val="00E459E3"/>
    <w:rsid w:val="00E5199E"/>
    <w:rsid w:val="00E555E1"/>
    <w:rsid w:val="00E570D5"/>
    <w:rsid w:val="00E66357"/>
    <w:rsid w:val="00E66C46"/>
    <w:rsid w:val="00E738E7"/>
    <w:rsid w:val="00E74983"/>
    <w:rsid w:val="00E7499B"/>
    <w:rsid w:val="00E86BE1"/>
    <w:rsid w:val="00E87BBD"/>
    <w:rsid w:val="00E92431"/>
    <w:rsid w:val="00E9343A"/>
    <w:rsid w:val="00EA227A"/>
    <w:rsid w:val="00EB0701"/>
    <w:rsid w:val="00EB3A38"/>
    <w:rsid w:val="00EB538B"/>
    <w:rsid w:val="00EB5959"/>
    <w:rsid w:val="00EC5CF5"/>
    <w:rsid w:val="00ED2380"/>
    <w:rsid w:val="00ED262A"/>
    <w:rsid w:val="00ED535E"/>
    <w:rsid w:val="00EE3AA4"/>
    <w:rsid w:val="00EE545F"/>
    <w:rsid w:val="00F02567"/>
    <w:rsid w:val="00F053E0"/>
    <w:rsid w:val="00F10503"/>
    <w:rsid w:val="00F1230D"/>
    <w:rsid w:val="00F2428B"/>
    <w:rsid w:val="00F26C31"/>
    <w:rsid w:val="00F2754C"/>
    <w:rsid w:val="00F31BA1"/>
    <w:rsid w:val="00F3288B"/>
    <w:rsid w:val="00F445A7"/>
    <w:rsid w:val="00F60D9D"/>
    <w:rsid w:val="00F61939"/>
    <w:rsid w:val="00F635F4"/>
    <w:rsid w:val="00F74E6E"/>
    <w:rsid w:val="00F80A2A"/>
    <w:rsid w:val="00F83161"/>
    <w:rsid w:val="00F85075"/>
    <w:rsid w:val="00F97490"/>
    <w:rsid w:val="00FA1360"/>
    <w:rsid w:val="00FA2F73"/>
    <w:rsid w:val="00FC3041"/>
    <w:rsid w:val="00FC4EB9"/>
    <w:rsid w:val="00FC596A"/>
    <w:rsid w:val="00FC59B8"/>
    <w:rsid w:val="00FC6F75"/>
    <w:rsid w:val="00FD07D0"/>
    <w:rsid w:val="00FD247E"/>
    <w:rsid w:val="00FD2D4C"/>
    <w:rsid w:val="00FD6CA7"/>
    <w:rsid w:val="00FE05E6"/>
    <w:rsid w:val="00FE69DF"/>
    <w:rsid w:val="00FF0E17"/>
    <w:rsid w:val="00FF15C4"/>
    <w:rsid w:val="00FF5031"/>
    <w:rsid w:val="00FF7B71"/>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759876-BBDB-41E3-B11D-D978522A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E8F"/>
  </w:style>
  <w:style w:type="paragraph" w:styleId="Heading1">
    <w:name w:val="heading 1"/>
    <w:basedOn w:val="Normal"/>
    <w:next w:val="Normal"/>
    <w:link w:val="Heading1Char"/>
    <w:qFormat/>
    <w:rsid w:val="00BB1251"/>
    <w:pPr>
      <w:keepNext/>
      <w:widowControl w:val="0"/>
      <w:numPr>
        <w:numId w:val="1"/>
      </w:numPr>
      <w:suppressAutoHyphens/>
      <w:spacing w:after="0" w:line="240" w:lineRule="auto"/>
      <w:outlineLvl w:val="0"/>
    </w:pPr>
    <w:rPr>
      <w:rFonts w:ascii="Times New Roman" w:eastAsia="DejaVu LGC Sans" w:hAnsi="Times New Roman" w:cs="Trebuchet MS"/>
      <w:b/>
      <w:bCs/>
      <w:kern w:val="1"/>
      <w:sz w:val="24"/>
      <w:szCs w:val="20"/>
      <w:lang w:val="en-US" w:eastAsia="zh-CN" w:bidi="hi-IN"/>
    </w:rPr>
  </w:style>
  <w:style w:type="paragraph" w:styleId="Heading2">
    <w:name w:val="heading 2"/>
    <w:basedOn w:val="Normal"/>
    <w:next w:val="Normal"/>
    <w:link w:val="Heading2Char"/>
    <w:qFormat/>
    <w:rsid w:val="00BB1251"/>
    <w:pPr>
      <w:keepNext/>
      <w:widowControl w:val="0"/>
      <w:numPr>
        <w:ilvl w:val="1"/>
        <w:numId w:val="1"/>
      </w:numPr>
      <w:suppressAutoHyphens/>
      <w:spacing w:before="120" w:after="120" w:line="240" w:lineRule="auto"/>
      <w:outlineLvl w:val="1"/>
    </w:pPr>
    <w:rPr>
      <w:rFonts w:ascii="Times New Roman" w:eastAsia="DejaVu LGC Sans" w:hAnsi="Times New Roman" w:cs="DejaVu LGC Sans"/>
      <w:b/>
      <w:bCs/>
      <w:kern w:val="1"/>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61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19AB"/>
    <w:rPr>
      <w:sz w:val="20"/>
      <w:szCs w:val="20"/>
    </w:rPr>
  </w:style>
  <w:style w:type="character" w:styleId="FootnoteReference">
    <w:name w:val="footnote reference"/>
    <w:basedOn w:val="DefaultParagraphFont"/>
    <w:uiPriority w:val="99"/>
    <w:semiHidden/>
    <w:unhideWhenUsed/>
    <w:rsid w:val="001619AB"/>
    <w:rPr>
      <w:vertAlign w:val="superscript"/>
    </w:rPr>
  </w:style>
  <w:style w:type="paragraph" w:styleId="BalloonText">
    <w:name w:val="Balloon Text"/>
    <w:basedOn w:val="Normal"/>
    <w:link w:val="BalloonTextChar"/>
    <w:uiPriority w:val="99"/>
    <w:semiHidden/>
    <w:unhideWhenUsed/>
    <w:rsid w:val="00FC4E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EB9"/>
    <w:rPr>
      <w:rFonts w:ascii="Tahoma" w:hAnsi="Tahoma" w:cs="Tahoma"/>
      <w:sz w:val="16"/>
      <w:szCs w:val="16"/>
    </w:rPr>
  </w:style>
  <w:style w:type="character" w:customStyle="1" w:styleId="Heading1Char">
    <w:name w:val="Heading 1 Char"/>
    <w:basedOn w:val="DefaultParagraphFont"/>
    <w:link w:val="Heading1"/>
    <w:rsid w:val="00BB1251"/>
    <w:rPr>
      <w:rFonts w:ascii="Times New Roman" w:eastAsia="DejaVu LGC Sans" w:hAnsi="Times New Roman" w:cs="Trebuchet MS"/>
      <w:b/>
      <w:bCs/>
      <w:kern w:val="1"/>
      <w:sz w:val="24"/>
      <w:szCs w:val="20"/>
      <w:lang w:val="en-US" w:eastAsia="zh-CN" w:bidi="hi-IN"/>
    </w:rPr>
  </w:style>
  <w:style w:type="character" w:customStyle="1" w:styleId="Heading2Char">
    <w:name w:val="Heading 2 Char"/>
    <w:basedOn w:val="DefaultParagraphFont"/>
    <w:link w:val="Heading2"/>
    <w:rsid w:val="00BB1251"/>
    <w:rPr>
      <w:rFonts w:ascii="Times New Roman" w:eastAsia="DejaVu LGC Sans" w:hAnsi="Times New Roman" w:cs="DejaVu LGC Sans"/>
      <w:b/>
      <w:bCs/>
      <w:kern w:val="1"/>
      <w:sz w:val="24"/>
      <w:szCs w:val="24"/>
      <w:lang w:val="en-US" w:eastAsia="zh-CN" w:bidi="hi-IN"/>
    </w:rPr>
  </w:style>
  <w:style w:type="character" w:styleId="Hyperlink">
    <w:name w:val="Hyperlink"/>
    <w:basedOn w:val="DefaultParagraphFont"/>
    <w:uiPriority w:val="99"/>
    <w:unhideWhenUsed/>
    <w:rsid w:val="005C1EDB"/>
    <w:rPr>
      <w:color w:val="0000FF" w:themeColor="hyperlink"/>
      <w:u w:val="single"/>
    </w:rPr>
  </w:style>
  <w:style w:type="table" w:styleId="TableGrid">
    <w:name w:val="Table Grid"/>
    <w:basedOn w:val="TableNormal"/>
    <w:uiPriority w:val="59"/>
    <w:rsid w:val="00352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24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490"/>
  </w:style>
  <w:style w:type="paragraph" w:styleId="Footer">
    <w:name w:val="footer"/>
    <w:basedOn w:val="Normal"/>
    <w:link w:val="FooterChar"/>
    <w:uiPriority w:val="99"/>
    <w:unhideWhenUsed/>
    <w:rsid w:val="005124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490"/>
  </w:style>
  <w:style w:type="character" w:styleId="LineNumber">
    <w:name w:val="line number"/>
    <w:basedOn w:val="DefaultParagraphFont"/>
    <w:uiPriority w:val="99"/>
    <w:semiHidden/>
    <w:unhideWhenUsed/>
    <w:rsid w:val="009E6CCD"/>
  </w:style>
  <w:style w:type="paragraph" w:styleId="ListParagraph">
    <w:name w:val="List Paragraph"/>
    <w:basedOn w:val="Normal"/>
    <w:uiPriority w:val="34"/>
    <w:qFormat/>
    <w:rsid w:val="00820C53"/>
    <w:pPr>
      <w:ind w:left="720"/>
      <w:contextualSpacing/>
    </w:pPr>
  </w:style>
  <w:style w:type="table" w:styleId="PlainTable4">
    <w:name w:val="Plain Table 4"/>
    <w:basedOn w:val="TableNormal"/>
    <w:uiPriority w:val="44"/>
    <w:rsid w:val="007B348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2783">
      <w:bodyDiv w:val="1"/>
      <w:marLeft w:val="0"/>
      <w:marRight w:val="0"/>
      <w:marTop w:val="0"/>
      <w:marBottom w:val="0"/>
      <w:divBdr>
        <w:top w:val="none" w:sz="0" w:space="0" w:color="auto"/>
        <w:left w:val="none" w:sz="0" w:space="0" w:color="auto"/>
        <w:bottom w:val="none" w:sz="0" w:space="0" w:color="auto"/>
        <w:right w:val="none" w:sz="0" w:space="0" w:color="auto"/>
      </w:divBdr>
    </w:div>
    <w:div w:id="990013758">
      <w:bodyDiv w:val="1"/>
      <w:marLeft w:val="0"/>
      <w:marRight w:val="0"/>
      <w:marTop w:val="0"/>
      <w:marBottom w:val="0"/>
      <w:divBdr>
        <w:top w:val="none" w:sz="0" w:space="0" w:color="auto"/>
        <w:left w:val="none" w:sz="0" w:space="0" w:color="auto"/>
        <w:bottom w:val="none" w:sz="0" w:space="0" w:color="auto"/>
        <w:right w:val="none" w:sz="0" w:space="0" w:color="auto"/>
      </w:divBdr>
    </w:div>
    <w:div w:id="1016807868">
      <w:bodyDiv w:val="1"/>
      <w:marLeft w:val="0"/>
      <w:marRight w:val="0"/>
      <w:marTop w:val="0"/>
      <w:marBottom w:val="0"/>
      <w:divBdr>
        <w:top w:val="none" w:sz="0" w:space="0" w:color="auto"/>
        <w:left w:val="none" w:sz="0" w:space="0" w:color="auto"/>
        <w:bottom w:val="none" w:sz="0" w:space="0" w:color="auto"/>
        <w:right w:val="none" w:sz="0" w:space="0" w:color="auto"/>
      </w:divBdr>
    </w:div>
    <w:div w:id="1087767801">
      <w:bodyDiv w:val="1"/>
      <w:marLeft w:val="0"/>
      <w:marRight w:val="0"/>
      <w:marTop w:val="0"/>
      <w:marBottom w:val="0"/>
      <w:divBdr>
        <w:top w:val="none" w:sz="0" w:space="0" w:color="auto"/>
        <w:left w:val="none" w:sz="0" w:space="0" w:color="auto"/>
        <w:bottom w:val="none" w:sz="0" w:space="0" w:color="auto"/>
        <w:right w:val="none" w:sz="0" w:space="0" w:color="auto"/>
      </w:divBdr>
    </w:div>
    <w:div w:id="1114792813">
      <w:bodyDiv w:val="1"/>
      <w:marLeft w:val="0"/>
      <w:marRight w:val="0"/>
      <w:marTop w:val="0"/>
      <w:marBottom w:val="0"/>
      <w:divBdr>
        <w:top w:val="none" w:sz="0" w:space="0" w:color="auto"/>
        <w:left w:val="none" w:sz="0" w:space="0" w:color="auto"/>
        <w:bottom w:val="none" w:sz="0" w:space="0" w:color="auto"/>
        <w:right w:val="none" w:sz="0" w:space="0" w:color="auto"/>
      </w:divBdr>
    </w:div>
    <w:div w:id="171357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Year>2005</b:Year>
    <b:Volume>36</b:Volume>
    <b:BIBTEX_Entry>article</b:BIBTEX_Entry>
    <b:SourceType>JournalArticle</b:SourceType>
    <b:Title>The Population Biology of Mitochondrial DNA and Its Phylogenetic Implications</b:Title>
    <b:BIBTEX_Abstract>The reconstruction of evolutionary trees from mitochondrial DNA (mtDNA) data is a common tool with which to infer the relationships of living organisms. The wide use of mtDNA stems from the ease of getting new sequence data for a set of orthologus genes and from the availability of many existing mtDNA sequences for a wide array of species. In this review we argue that developing a fuller understanding of the biology of mitochondria is essential for the rigorous application of mtDNA to inferences about the evolutionary history of species or populations. Though much progress has been made in understanding the parameters that shape the evolution of mitochondria and mtDNA, many questions still remain, and a better understanding of the role this organelle plays in regulating organismal fitness is becoming increasingly critical for accurate phylogeny reconstruction. In population biology, the limited information content of one nonrecombining genetic marker can compromise evolutionary inference, and the effects of nuclear genetic variation—and environmental factors—in mtDNA fitness differences can compound these problems. In systematics, the limited gene set, biased amino acid composition, and problems of compensatory substitutions can cloud phylogenetic signal. Dissecting the functional bases of these biases offers both challenges and opportunities in comparative biology.</b:BIBTEX_Abstract>
    <b:Tag>Ballard2005</b:Tag>
    <b:BIBTEX_KeyWords>abstract the reconstruction of,data is a common,dna,evolutionary trees from mitochondrial,fitness,infer the relationships of,living or-,mtdna,neutrality,phylogeny,selection,tool with which to</b:BIBTEX_KeyWords>
    <b:URL>http://www.annualreviews.org/doi/10.1146/annurev.ecolsys.36.091704.175513</b:URL>
    <b:DOI>10.1146/annurev.ecolsys.36.091704.175513</b:DOI>
    <b:Author>
      <b:Author>
        <b:NameList>
          <b:Person>
            <b:Last>Ballard</b:Last>
            <b:Middle>William O.</b:Middle>
            <b:First>J.</b:First>
          </b:Person>
          <b:Person>
            <b:Last>Rand</b:Last>
            <b:Middle>M.</b:Middle>
            <b:First>David</b:First>
          </b:Person>
        </b:NameList>
      </b:Author>
    </b:Author>
    <b:Pages>621-642</b:Pages>
    <b:JournalName>Annual Review of Ecology, Evolution, and Systematics</b:JournalName>
    <b:Number>1</b:Number>
    <b:StandardNumber> ISBN: 1543592X ISSN: 1543-592X</b:StandardNumber>
    <b:RefOrder>2</b:RefOrder>
  </b:Source>
  <b:Source>
    <b:Tag>Yan99</b:Tag>
    <b:SourceType>JournalArticle</b:SourceType>
    <b:Guid>{D6117B0B-F535-47AC-8502-16053398C796}</b:Guid>
    <b:Author>
      <b:Author>
        <b:NameList>
          <b:Person>
            <b:Last>Yang G Zhou</b:Last>
            <b:First>K.Y.</b:First>
            <b:Middle>1999</b:Middle>
          </b:Person>
        </b:NameList>
      </b:Author>
    </b:Author>
    <b:Title>A study on the molecular phylogeny of river dolphins</b:Title>
    <b:Year>1999</b:Year>
    <b:RefOrder>1</b:RefOrder>
  </b:Source>
</b:Sources>
</file>

<file path=customXml/itemProps1.xml><?xml version="1.0" encoding="utf-8"?>
<ds:datastoreItem xmlns:ds="http://schemas.openxmlformats.org/officeDocument/2006/customXml" ds:itemID="{362B54EA-F2E7-4E3A-8F13-4C07A487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19522</Words>
  <Characters>111281</Characters>
  <Application>Microsoft Office Word</Application>
  <DocSecurity>0</DocSecurity>
  <Lines>927</Lines>
  <Paragraphs>261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Chandrakant Jadhav</dc:creator>
  <cp:keywords/>
  <dc:description/>
  <cp:lastModifiedBy>Gulab Khedkar</cp:lastModifiedBy>
  <cp:revision>10</cp:revision>
  <dcterms:created xsi:type="dcterms:W3CDTF">2018-05-15T12:17:00Z</dcterms:created>
  <dcterms:modified xsi:type="dcterms:W3CDTF">2020-05-22T08:47:00Z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http://www.zotero.org/styles/elsevier-harvard2</vt:lpwstr>
  </property>
  <property fmtid="{D5CDD505-2E9C-101B-9397-08002B2CF9AE}" pid="13" name="Mendeley Recent Style Name 5_1">
    <vt:lpwstr>Elsevier - Harvard 2</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http://www.zotero.org/styles/plos-one</vt:lpwstr>
  </property>
  <property fmtid="{D5CDD505-2E9C-101B-9397-08002B2CF9AE}" pid="19" name="Mendeley Recent Style Name 8_1">
    <vt:lpwstr>PLOS ONE</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d208eadd-9ed2-3eee-bb89-b2d0c67702aa</vt:lpwstr>
  </property>
  <property fmtid="{D5CDD505-2E9C-101B-9397-08002B2CF9AE}" pid="24" name="Mendeley Citation Style_1">
    <vt:lpwstr>http://www.zotero.org/styles/elsevier-harvard2</vt:lpwstr>
  </property>
</Properties>
</file>