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2240" w14:textId="77777777" w:rsidR="00A25910" w:rsidRPr="00A25910" w:rsidRDefault="00A25910" w:rsidP="00A25910">
      <w:pPr>
        <w:pStyle w:val="Titre1"/>
        <w:rPr>
          <w:rFonts w:asciiTheme="minorHAnsi" w:hAnsiTheme="minorHAnsi" w:cstheme="minorHAnsi"/>
          <w:shd w:val="clear" w:color="auto" w:fill="FFFFFF"/>
          <w:lang w:val="en-US"/>
        </w:rPr>
      </w:pPr>
      <w:r w:rsidRPr="00A25910">
        <w:rPr>
          <w:rFonts w:asciiTheme="minorHAnsi" w:hAnsiTheme="minorHAnsi" w:cstheme="minorHAnsi"/>
          <w:shd w:val="clear" w:color="auto" w:fill="FFFFFF"/>
          <w:lang w:val="en-US"/>
        </w:rPr>
        <w:t>Longitudinal evaluation of hippocampal subfields volumes and episodic memory in breast cancer patients and matched healthy controls</w:t>
      </w:r>
    </w:p>
    <w:p w14:paraId="694DB655" w14:textId="77777777" w:rsidR="00A25910" w:rsidRPr="00A25910" w:rsidRDefault="00A25910" w:rsidP="00A25910">
      <w:pPr>
        <w:spacing w:before="240" w:line="360" w:lineRule="auto"/>
        <w:rPr>
          <w:rFonts w:cstheme="minorHAnsi"/>
          <w:lang w:val="en-US"/>
        </w:rPr>
      </w:pPr>
      <w:r w:rsidRPr="00A25910">
        <w:rPr>
          <w:rFonts w:cstheme="minorHAnsi"/>
          <w:lang w:val="en-US"/>
        </w:rPr>
        <w:t xml:space="preserve">Baptiste </w:t>
      </w:r>
      <w:proofErr w:type="spellStart"/>
      <w:r w:rsidRPr="00A25910">
        <w:rPr>
          <w:rFonts w:cstheme="minorHAnsi"/>
          <w:lang w:val="en-US"/>
        </w:rPr>
        <w:t>Lerosier</w:t>
      </w:r>
      <w:proofErr w:type="spellEnd"/>
      <w:r w:rsidRPr="00A25910">
        <w:rPr>
          <w:rFonts w:cstheme="minorHAnsi"/>
          <w:lang w:val="en-US"/>
        </w:rPr>
        <w:t xml:space="preserve"> </w:t>
      </w:r>
      <w:r w:rsidRPr="00A25910">
        <w:rPr>
          <w:rFonts w:cstheme="minorHAnsi"/>
          <w:vertAlign w:val="superscript"/>
          <w:lang w:val="en-US"/>
        </w:rPr>
        <w:t>1</w:t>
      </w:r>
      <w:r w:rsidRPr="00A25910">
        <w:rPr>
          <w:rFonts w:cstheme="minorHAnsi"/>
          <w:lang w:val="en-US"/>
        </w:rPr>
        <w:t xml:space="preserve">, Shailendra </w:t>
      </w:r>
      <w:proofErr w:type="spellStart"/>
      <w:r w:rsidRPr="00A25910">
        <w:rPr>
          <w:rFonts w:cstheme="minorHAnsi"/>
          <w:lang w:val="en-US"/>
        </w:rPr>
        <w:t>Segobin</w:t>
      </w:r>
      <w:proofErr w:type="spellEnd"/>
      <w:r w:rsidRPr="00A25910">
        <w:rPr>
          <w:rFonts w:cstheme="minorHAnsi"/>
          <w:lang w:val="en-US"/>
        </w:rPr>
        <w:t xml:space="preserve"> </w:t>
      </w:r>
      <w:r w:rsidRPr="00A25910">
        <w:rPr>
          <w:rFonts w:cstheme="minorHAnsi"/>
          <w:vertAlign w:val="superscript"/>
          <w:lang w:val="en-US"/>
        </w:rPr>
        <w:t>1</w:t>
      </w:r>
      <w:r w:rsidRPr="00A25910">
        <w:rPr>
          <w:rFonts w:cstheme="minorHAnsi"/>
          <w:lang w:val="en-US"/>
        </w:rPr>
        <w:t xml:space="preserve">, </w:t>
      </w:r>
      <w:proofErr w:type="spellStart"/>
      <w:r w:rsidRPr="00A25910">
        <w:rPr>
          <w:rFonts w:cstheme="minorHAnsi"/>
          <w:lang w:val="en-US"/>
        </w:rPr>
        <w:t>Djelila</w:t>
      </w:r>
      <w:proofErr w:type="spellEnd"/>
      <w:r w:rsidRPr="00A25910">
        <w:rPr>
          <w:rFonts w:cstheme="minorHAnsi"/>
          <w:lang w:val="en-US"/>
        </w:rPr>
        <w:t xml:space="preserve"> </w:t>
      </w:r>
      <w:proofErr w:type="spellStart"/>
      <w:r w:rsidRPr="00A25910">
        <w:rPr>
          <w:rFonts w:cstheme="minorHAnsi"/>
          <w:lang w:val="en-US"/>
        </w:rPr>
        <w:t>Allouache</w:t>
      </w:r>
      <w:proofErr w:type="spellEnd"/>
      <w:r w:rsidRPr="00A25910">
        <w:rPr>
          <w:rFonts w:cstheme="minorHAnsi"/>
          <w:lang w:val="en-US"/>
        </w:rPr>
        <w:t xml:space="preserve"> </w:t>
      </w:r>
      <w:r w:rsidRPr="00A25910">
        <w:rPr>
          <w:rFonts w:cstheme="minorHAnsi"/>
          <w:vertAlign w:val="superscript"/>
          <w:lang w:val="en-US"/>
        </w:rPr>
        <w:t>2,3</w:t>
      </w:r>
      <w:r w:rsidRPr="00A25910">
        <w:rPr>
          <w:rFonts w:cstheme="minorHAnsi"/>
          <w:lang w:val="en-US"/>
        </w:rPr>
        <w:t xml:space="preserve">, Sabine </w:t>
      </w:r>
      <w:proofErr w:type="spellStart"/>
      <w:r w:rsidRPr="00A25910">
        <w:rPr>
          <w:rFonts w:cstheme="minorHAnsi"/>
          <w:lang w:val="en-US"/>
        </w:rPr>
        <w:t>Noal</w:t>
      </w:r>
      <w:proofErr w:type="spellEnd"/>
      <w:r w:rsidRPr="00A25910">
        <w:rPr>
          <w:rFonts w:cstheme="minorHAnsi"/>
          <w:lang w:val="en-US"/>
        </w:rPr>
        <w:t xml:space="preserve"> </w:t>
      </w:r>
      <w:r w:rsidRPr="00A25910">
        <w:rPr>
          <w:rFonts w:cstheme="minorHAnsi"/>
          <w:vertAlign w:val="superscript"/>
          <w:lang w:val="en-US"/>
        </w:rPr>
        <w:t>2,3</w:t>
      </w:r>
      <w:r w:rsidRPr="00A25910">
        <w:rPr>
          <w:rFonts w:cstheme="minorHAnsi"/>
          <w:lang w:val="en-US"/>
        </w:rPr>
        <w:t xml:space="preserve">, Christelle Levy </w:t>
      </w:r>
      <w:r w:rsidRPr="00A25910">
        <w:rPr>
          <w:rFonts w:cstheme="minorHAnsi"/>
          <w:vertAlign w:val="superscript"/>
          <w:lang w:val="en-US"/>
        </w:rPr>
        <w:t>2,3</w:t>
      </w:r>
      <w:r w:rsidRPr="00A25910">
        <w:rPr>
          <w:rFonts w:cstheme="minorHAnsi"/>
          <w:lang w:val="en-US"/>
        </w:rPr>
        <w:t xml:space="preserve">, Ali R. Khan </w:t>
      </w:r>
      <w:r w:rsidRPr="00A25910">
        <w:rPr>
          <w:rFonts w:cstheme="minorHAnsi"/>
          <w:vertAlign w:val="superscript"/>
          <w:lang w:val="en-US"/>
        </w:rPr>
        <w:t>4,5,6</w:t>
      </w:r>
      <w:r w:rsidRPr="00A25910">
        <w:rPr>
          <w:rFonts w:cstheme="minorHAnsi"/>
          <w:lang w:val="en-US"/>
        </w:rPr>
        <w:t xml:space="preserve">, Bradley G. Karat </w:t>
      </w:r>
      <w:r w:rsidRPr="00A25910">
        <w:rPr>
          <w:rFonts w:cstheme="minorHAnsi"/>
          <w:vertAlign w:val="superscript"/>
          <w:lang w:val="en-US"/>
        </w:rPr>
        <w:t>4,5</w:t>
      </w:r>
      <w:r w:rsidRPr="00A25910">
        <w:rPr>
          <w:rFonts w:cstheme="minorHAnsi"/>
          <w:lang w:val="en-US"/>
        </w:rPr>
        <w:t xml:space="preserve">, Francois Christy </w:t>
      </w:r>
      <w:r w:rsidRPr="00A25910">
        <w:rPr>
          <w:rFonts w:cstheme="minorHAnsi"/>
          <w:vertAlign w:val="superscript"/>
          <w:lang w:val="en-US"/>
        </w:rPr>
        <w:t>7</w:t>
      </w:r>
      <w:r w:rsidRPr="00A25910">
        <w:rPr>
          <w:rFonts w:cstheme="minorHAnsi"/>
          <w:lang w:val="en-US"/>
        </w:rPr>
        <w:t xml:space="preserve">, Florence Joly </w:t>
      </w:r>
      <w:r w:rsidRPr="00A25910">
        <w:rPr>
          <w:rFonts w:cstheme="minorHAnsi"/>
          <w:vertAlign w:val="superscript"/>
          <w:lang w:val="en-US"/>
        </w:rPr>
        <w:t>2,7,8,9</w:t>
      </w:r>
      <w:r w:rsidRPr="00A25910">
        <w:rPr>
          <w:rFonts w:cstheme="minorHAnsi"/>
          <w:lang w:val="en-US"/>
        </w:rPr>
        <w:t xml:space="preserve">, Gael </w:t>
      </w:r>
      <w:proofErr w:type="spellStart"/>
      <w:r w:rsidRPr="00A25910">
        <w:rPr>
          <w:rFonts w:cstheme="minorHAnsi"/>
          <w:lang w:val="en-US"/>
        </w:rPr>
        <w:t>Chetelat</w:t>
      </w:r>
      <w:proofErr w:type="spellEnd"/>
      <w:r w:rsidRPr="00A25910">
        <w:rPr>
          <w:rFonts w:cstheme="minorHAnsi"/>
          <w:lang w:val="en-US"/>
        </w:rPr>
        <w:t xml:space="preserve"> </w:t>
      </w:r>
      <w:r w:rsidRPr="00A25910">
        <w:rPr>
          <w:rFonts w:cstheme="minorHAnsi"/>
          <w:vertAlign w:val="superscript"/>
          <w:lang w:val="en-US"/>
        </w:rPr>
        <w:t>10</w:t>
      </w:r>
      <w:r w:rsidRPr="00A25910">
        <w:rPr>
          <w:rFonts w:cstheme="minorHAnsi"/>
          <w:lang w:val="en-US"/>
        </w:rPr>
        <w:t xml:space="preserve">, Francis Eustache </w:t>
      </w:r>
      <w:r w:rsidRPr="00A25910">
        <w:rPr>
          <w:rFonts w:cstheme="minorHAnsi"/>
          <w:vertAlign w:val="superscript"/>
          <w:lang w:val="en-US"/>
        </w:rPr>
        <w:t>1</w:t>
      </w:r>
      <w:r w:rsidRPr="00A25910">
        <w:rPr>
          <w:rFonts w:cstheme="minorHAnsi"/>
          <w:lang w:val="en-US"/>
        </w:rPr>
        <w:t xml:space="preserve">, </w:t>
      </w:r>
      <w:proofErr w:type="spellStart"/>
      <w:r w:rsidRPr="00A25910">
        <w:rPr>
          <w:rFonts w:cstheme="minorHAnsi"/>
          <w:lang w:val="en-US"/>
        </w:rPr>
        <w:t>Bénédicte</w:t>
      </w:r>
      <w:proofErr w:type="spellEnd"/>
      <w:r w:rsidRPr="00A25910">
        <w:rPr>
          <w:rFonts w:cstheme="minorHAnsi"/>
          <w:lang w:val="en-US"/>
        </w:rPr>
        <w:t xml:space="preserve"> </w:t>
      </w:r>
      <w:proofErr w:type="spellStart"/>
      <w:r w:rsidRPr="00A25910">
        <w:rPr>
          <w:rFonts w:cstheme="minorHAnsi"/>
          <w:lang w:val="en-US"/>
        </w:rPr>
        <w:t>Giffard</w:t>
      </w:r>
      <w:proofErr w:type="spellEnd"/>
      <w:r w:rsidRPr="00A25910">
        <w:rPr>
          <w:rFonts w:cstheme="minorHAnsi"/>
          <w:lang w:val="en-US"/>
        </w:rPr>
        <w:t xml:space="preserve"> </w:t>
      </w:r>
      <w:r w:rsidRPr="00A25910">
        <w:rPr>
          <w:rFonts w:cstheme="minorHAnsi"/>
          <w:vertAlign w:val="superscript"/>
          <w:lang w:val="en-US"/>
        </w:rPr>
        <w:t>1,9,11</w:t>
      </w:r>
      <w:r w:rsidRPr="00A25910">
        <w:rPr>
          <w:rFonts w:cstheme="minorHAnsi"/>
          <w:lang w:val="en-US"/>
        </w:rPr>
        <w:t xml:space="preserve">, Joy Perrier PhD </w:t>
      </w:r>
      <w:r w:rsidRPr="00A25910">
        <w:rPr>
          <w:rFonts w:cstheme="minorHAnsi"/>
          <w:vertAlign w:val="superscript"/>
          <w:lang w:val="en-US"/>
        </w:rPr>
        <w:t>1,11</w:t>
      </w:r>
    </w:p>
    <w:p w14:paraId="6558C6D9" w14:textId="77777777" w:rsidR="00A25910" w:rsidRPr="00A25910" w:rsidRDefault="00A25910" w:rsidP="00A25910">
      <w:pPr>
        <w:spacing w:line="240" w:lineRule="auto"/>
        <w:rPr>
          <w:rFonts w:cstheme="minorHAnsi"/>
        </w:rPr>
      </w:pPr>
      <w:r w:rsidRPr="00A25910">
        <w:rPr>
          <w:rFonts w:cstheme="minorHAnsi"/>
          <w:vertAlign w:val="superscript"/>
        </w:rPr>
        <w:t xml:space="preserve">1 </w:t>
      </w:r>
      <w:r w:rsidRPr="00A25910">
        <w:rPr>
          <w:rFonts w:cstheme="minorHAnsi"/>
        </w:rPr>
        <w:t xml:space="preserve">Université de Caen Normandie, Inserm, EPHE, PSL Université Paris, CHU de Caen, GIP </w:t>
      </w:r>
      <w:proofErr w:type="spellStart"/>
      <w:r w:rsidRPr="00A25910">
        <w:rPr>
          <w:rFonts w:cstheme="minorHAnsi"/>
        </w:rPr>
        <w:t>Cyceron</w:t>
      </w:r>
      <w:proofErr w:type="spellEnd"/>
      <w:r w:rsidRPr="00A25910">
        <w:rPr>
          <w:rFonts w:cstheme="minorHAnsi"/>
        </w:rPr>
        <w:t xml:space="preserve">, U1077, Neuropsychologie et Imagerie de la Mémoire Humaine (NIMH), Caen, 14000, France. </w:t>
      </w:r>
    </w:p>
    <w:p w14:paraId="19D16939" w14:textId="77777777" w:rsidR="00A25910" w:rsidRPr="00A25910" w:rsidRDefault="00A25910" w:rsidP="00A25910">
      <w:pPr>
        <w:spacing w:line="240" w:lineRule="auto"/>
        <w:rPr>
          <w:rFonts w:cstheme="minorHAnsi"/>
          <w:lang w:val="en-US"/>
        </w:rPr>
      </w:pPr>
      <w:r w:rsidRPr="00A25910">
        <w:rPr>
          <w:rFonts w:cstheme="minorHAnsi"/>
          <w:vertAlign w:val="superscript"/>
          <w:lang w:val="en-US"/>
        </w:rPr>
        <w:t>2</w:t>
      </w:r>
      <w:r w:rsidRPr="00A25910">
        <w:rPr>
          <w:rFonts w:cstheme="minorHAnsi"/>
          <w:lang w:val="en-US"/>
        </w:rPr>
        <w:t xml:space="preserve"> Medical Oncology Department, University Hospital of Caen, Caen, France.</w:t>
      </w:r>
    </w:p>
    <w:p w14:paraId="11BE62E3" w14:textId="77777777" w:rsidR="00A25910" w:rsidRPr="00A25910" w:rsidRDefault="00A25910" w:rsidP="00A25910">
      <w:pPr>
        <w:spacing w:line="240" w:lineRule="auto"/>
        <w:rPr>
          <w:rFonts w:cstheme="minorHAnsi"/>
          <w:lang w:val="en-US"/>
        </w:rPr>
      </w:pPr>
      <w:r w:rsidRPr="00A25910">
        <w:rPr>
          <w:rFonts w:cstheme="minorHAnsi"/>
          <w:vertAlign w:val="superscript"/>
          <w:lang w:val="en-US"/>
        </w:rPr>
        <w:t xml:space="preserve">3 </w:t>
      </w:r>
      <w:r w:rsidRPr="00A25910">
        <w:rPr>
          <w:rFonts w:cstheme="minorHAnsi"/>
          <w:lang w:val="en-US"/>
        </w:rPr>
        <w:t xml:space="preserve">Breast Committee Department, Centre François </w:t>
      </w:r>
      <w:proofErr w:type="spellStart"/>
      <w:r w:rsidRPr="00A25910">
        <w:rPr>
          <w:rFonts w:cstheme="minorHAnsi"/>
          <w:lang w:val="en-US"/>
        </w:rPr>
        <w:t>Baclesse</w:t>
      </w:r>
      <w:proofErr w:type="spellEnd"/>
      <w:r w:rsidRPr="00A25910">
        <w:rPr>
          <w:rFonts w:cstheme="minorHAnsi"/>
          <w:lang w:val="en-US"/>
        </w:rPr>
        <w:t>, Caen, France.</w:t>
      </w:r>
    </w:p>
    <w:p w14:paraId="4FE45443" w14:textId="77777777" w:rsidR="00A25910" w:rsidRPr="00A25910" w:rsidRDefault="00A25910" w:rsidP="00A25910">
      <w:pPr>
        <w:spacing w:line="240" w:lineRule="auto"/>
        <w:rPr>
          <w:rFonts w:cstheme="minorHAnsi"/>
          <w:vertAlign w:val="superscript"/>
          <w:lang w:val="en-US"/>
        </w:rPr>
      </w:pPr>
      <w:r w:rsidRPr="00A25910">
        <w:rPr>
          <w:rFonts w:cstheme="minorHAnsi"/>
          <w:vertAlign w:val="superscript"/>
          <w:lang w:val="en-US"/>
        </w:rPr>
        <w:t xml:space="preserve">4 </w:t>
      </w:r>
      <w:r w:rsidRPr="00A25910">
        <w:rPr>
          <w:rFonts w:cstheme="minorHAnsi"/>
          <w:lang w:val="en-US"/>
        </w:rPr>
        <w:t>Robarts Research Institute, Schulich School of Medicine and Dentistry, The University of Western Ontario, London, Canada.</w:t>
      </w:r>
    </w:p>
    <w:p w14:paraId="05817838" w14:textId="77777777" w:rsidR="00A25910" w:rsidRPr="00A25910" w:rsidRDefault="00A25910" w:rsidP="00A25910">
      <w:pPr>
        <w:spacing w:line="240" w:lineRule="auto"/>
        <w:rPr>
          <w:rFonts w:cstheme="minorHAnsi"/>
          <w:lang w:val="en-US"/>
        </w:rPr>
      </w:pPr>
      <w:r w:rsidRPr="00A25910">
        <w:rPr>
          <w:rFonts w:cstheme="minorHAnsi"/>
          <w:vertAlign w:val="superscript"/>
          <w:lang w:val="en-US"/>
        </w:rPr>
        <w:t xml:space="preserve">5 </w:t>
      </w:r>
      <w:r w:rsidRPr="00A25910">
        <w:rPr>
          <w:rFonts w:cstheme="minorHAnsi"/>
          <w:lang w:val="en-US"/>
        </w:rPr>
        <w:t>Western Institute for Neuroscience, The University of Western Ontario, London, Canada.</w:t>
      </w:r>
    </w:p>
    <w:p w14:paraId="52EDA2B5" w14:textId="77777777" w:rsidR="00A25910" w:rsidRPr="00A25910" w:rsidRDefault="00A25910" w:rsidP="00A25910">
      <w:pPr>
        <w:spacing w:line="240" w:lineRule="auto"/>
        <w:rPr>
          <w:rFonts w:cstheme="minorHAnsi"/>
          <w:lang w:val="en-US"/>
        </w:rPr>
      </w:pPr>
      <w:r w:rsidRPr="00A25910">
        <w:rPr>
          <w:rFonts w:cstheme="minorHAnsi"/>
          <w:vertAlign w:val="superscript"/>
          <w:lang w:val="en-US"/>
        </w:rPr>
        <w:t xml:space="preserve">6 </w:t>
      </w:r>
      <w:r w:rsidRPr="00A25910">
        <w:rPr>
          <w:rFonts w:cstheme="minorHAnsi"/>
          <w:lang w:val="en-US"/>
        </w:rPr>
        <w:t>Department of Medical Biophysics, Schulich School of Medicine and Dentistry, The University of Western Ontario, London, Canada.</w:t>
      </w:r>
    </w:p>
    <w:p w14:paraId="0187D399" w14:textId="77777777" w:rsidR="00A25910" w:rsidRPr="00A25910" w:rsidRDefault="00A25910" w:rsidP="00A25910">
      <w:pPr>
        <w:spacing w:line="240" w:lineRule="auto"/>
        <w:rPr>
          <w:rFonts w:cstheme="minorHAnsi"/>
        </w:rPr>
      </w:pPr>
      <w:r w:rsidRPr="00A25910">
        <w:rPr>
          <w:rFonts w:cstheme="minorHAnsi"/>
          <w:vertAlign w:val="superscript"/>
        </w:rPr>
        <w:t>7</w:t>
      </w:r>
      <w:r w:rsidRPr="00A25910">
        <w:rPr>
          <w:rFonts w:cstheme="minorHAnsi"/>
        </w:rPr>
        <w:t xml:space="preserve"> </w:t>
      </w:r>
      <w:proofErr w:type="spellStart"/>
      <w:r w:rsidRPr="00A25910">
        <w:rPr>
          <w:rFonts w:cstheme="minorHAnsi"/>
        </w:rPr>
        <w:t>Clinical</w:t>
      </w:r>
      <w:proofErr w:type="spellEnd"/>
      <w:r w:rsidRPr="00A25910">
        <w:rPr>
          <w:rFonts w:cstheme="minorHAnsi"/>
        </w:rPr>
        <w:t xml:space="preserve"> </w:t>
      </w:r>
      <w:proofErr w:type="spellStart"/>
      <w:r w:rsidRPr="00A25910">
        <w:rPr>
          <w:rFonts w:cstheme="minorHAnsi"/>
        </w:rPr>
        <w:t>Research</w:t>
      </w:r>
      <w:proofErr w:type="spellEnd"/>
      <w:r w:rsidRPr="00A25910">
        <w:rPr>
          <w:rFonts w:cstheme="minorHAnsi"/>
        </w:rPr>
        <w:t xml:space="preserve"> </w:t>
      </w:r>
      <w:proofErr w:type="spellStart"/>
      <w:r w:rsidRPr="00A25910">
        <w:rPr>
          <w:rFonts w:cstheme="minorHAnsi"/>
        </w:rPr>
        <w:t>Department</w:t>
      </w:r>
      <w:proofErr w:type="spellEnd"/>
      <w:r w:rsidRPr="00A25910">
        <w:rPr>
          <w:rFonts w:cstheme="minorHAnsi"/>
        </w:rPr>
        <w:t xml:space="preserve">, Centre François </w:t>
      </w:r>
      <w:proofErr w:type="spellStart"/>
      <w:r w:rsidRPr="00A25910">
        <w:rPr>
          <w:rFonts w:cstheme="minorHAnsi"/>
        </w:rPr>
        <w:t>Baclesse</w:t>
      </w:r>
      <w:proofErr w:type="spellEnd"/>
      <w:r w:rsidRPr="00A25910">
        <w:rPr>
          <w:rFonts w:cstheme="minorHAnsi"/>
        </w:rPr>
        <w:t>, Caen, France.</w:t>
      </w:r>
    </w:p>
    <w:p w14:paraId="52CD3FE4" w14:textId="77777777" w:rsidR="00A25910" w:rsidRPr="00A25910" w:rsidRDefault="00A25910" w:rsidP="00A25910">
      <w:pPr>
        <w:spacing w:line="240" w:lineRule="auto"/>
        <w:rPr>
          <w:rFonts w:cstheme="minorHAnsi"/>
        </w:rPr>
      </w:pPr>
      <w:r w:rsidRPr="00A25910">
        <w:rPr>
          <w:rFonts w:cstheme="minorHAnsi"/>
          <w:vertAlign w:val="superscript"/>
        </w:rPr>
        <w:t xml:space="preserve">8 </w:t>
      </w:r>
      <w:r w:rsidRPr="00A25910">
        <w:rPr>
          <w:rFonts w:cstheme="minorHAnsi"/>
        </w:rPr>
        <w:t>Université de Caen Normandie, INSERM, ANTICIPE, Caen, France.</w:t>
      </w:r>
    </w:p>
    <w:p w14:paraId="2718E738" w14:textId="77777777" w:rsidR="00A25910" w:rsidRPr="00A25910" w:rsidRDefault="00A25910" w:rsidP="00A25910">
      <w:pPr>
        <w:spacing w:line="240" w:lineRule="auto"/>
        <w:rPr>
          <w:rFonts w:cstheme="minorHAnsi"/>
        </w:rPr>
      </w:pPr>
      <w:r w:rsidRPr="00A25910">
        <w:rPr>
          <w:rFonts w:cstheme="minorHAnsi"/>
          <w:vertAlign w:val="superscript"/>
        </w:rPr>
        <w:t>9</w:t>
      </w:r>
      <w:r w:rsidRPr="00A25910">
        <w:rPr>
          <w:rFonts w:cstheme="minorHAnsi"/>
        </w:rPr>
        <w:t xml:space="preserve"> Cancer &amp; Cognition, Platform, Ligue Nationale Contre le Cancer, Caen, France. </w:t>
      </w:r>
    </w:p>
    <w:p w14:paraId="016B2909" w14:textId="77777777" w:rsidR="00A25910" w:rsidRPr="00A25910" w:rsidRDefault="00A25910" w:rsidP="00A25910">
      <w:pPr>
        <w:spacing w:line="240" w:lineRule="auto"/>
        <w:rPr>
          <w:rFonts w:cstheme="minorHAnsi"/>
          <w:lang w:val="en-US"/>
        </w:rPr>
      </w:pPr>
      <w:r w:rsidRPr="00A25910">
        <w:rPr>
          <w:rFonts w:cstheme="minorHAnsi"/>
          <w:vertAlign w:val="superscript"/>
          <w:lang w:val="en-US"/>
        </w:rPr>
        <w:t>10</w:t>
      </w:r>
      <w:r w:rsidRPr="00A25910">
        <w:rPr>
          <w:rFonts w:cstheme="minorHAnsi"/>
          <w:lang w:val="en-US"/>
        </w:rPr>
        <w:t xml:space="preserve"> Université de Caen Normandie, INSERM, U1237, Physiopathology and Imaging of Neurological Disorders (</w:t>
      </w:r>
      <w:proofErr w:type="spellStart"/>
      <w:r w:rsidRPr="00A25910">
        <w:rPr>
          <w:rFonts w:cstheme="minorHAnsi"/>
          <w:lang w:val="en-US"/>
        </w:rPr>
        <w:t>PhIND</w:t>
      </w:r>
      <w:proofErr w:type="spellEnd"/>
      <w:r w:rsidRPr="00A25910">
        <w:rPr>
          <w:rFonts w:cstheme="minorHAnsi"/>
          <w:lang w:val="en-US"/>
        </w:rPr>
        <w:t xml:space="preserve">), </w:t>
      </w:r>
      <w:proofErr w:type="spellStart"/>
      <w:r w:rsidRPr="00A25910">
        <w:rPr>
          <w:rFonts w:cstheme="minorHAnsi"/>
          <w:lang w:val="en-US"/>
        </w:rPr>
        <w:t>Neuropresage</w:t>
      </w:r>
      <w:proofErr w:type="spellEnd"/>
      <w:r w:rsidRPr="00A25910">
        <w:rPr>
          <w:rFonts w:cstheme="minorHAnsi"/>
          <w:lang w:val="en-US"/>
        </w:rPr>
        <w:t xml:space="preserve"> Team, GIP </w:t>
      </w:r>
      <w:proofErr w:type="spellStart"/>
      <w:r w:rsidRPr="00A25910">
        <w:rPr>
          <w:rFonts w:cstheme="minorHAnsi"/>
          <w:lang w:val="en-US"/>
        </w:rPr>
        <w:t>Cyceron</w:t>
      </w:r>
      <w:proofErr w:type="spellEnd"/>
      <w:r w:rsidRPr="00A25910">
        <w:rPr>
          <w:rFonts w:cstheme="minorHAnsi"/>
          <w:lang w:val="en-US"/>
        </w:rPr>
        <w:t xml:space="preserve">, Caen, France. </w:t>
      </w:r>
    </w:p>
    <w:p w14:paraId="07120202" w14:textId="77777777" w:rsidR="00A25910" w:rsidRPr="00A25910" w:rsidRDefault="00A25910" w:rsidP="00A25910">
      <w:pPr>
        <w:rPr>
          <w:rFonts w:cstheme="minorHAnsi"/>
          <w:lang w:val="en-US"/>
        </w:rPr>
      </w:pPr>
      <w:r w:rsidRPr="00A25910">
        <w:rPr>
          <w:rFonts w:cstheme="minorHAnsi"/>
          <w:vertAlign w:val="superscript"/>
          <w:lang w:val="en-US"/>
        </w:rPr>
        <w:t xml:space="preserve">11 </w:t>
      </w:r>
      <w:r w:rsidRPr="00A25910">
        <w:rPr>
          <w:rFonts w:cstheme="minorHAnsi"/>
          <w:lang w:val="en-US"/>
        </w:rPr>
        <w:t>These authors equally contributed to this work</w:t>
      </w:r>
    </w:p>
    <w:p w14:paraId="58E3C1FF" w14:textId="77777777" w:rsidR="00A25910" w:rsidRPr="00A25910" w:rsidRDefault="00A25910" w:rsidP="00A25910">
      <w:pPr>
        <w:spacing w:line="276" w:lineRule="auto"/>
        <w:rPr>
          <w:rFonts w:cstheme="minorHAnsi"/>
        </w:rPr>
      </w:pPr>
      <w:proofErr w:type="spellStart"/>
      <w:r w:rsidRPr="00A25910">
        <w:rPr>
          <w:rFonts w:cstheme="minorHAnsi"/>
          <w:b/>
        </w:rPr>
        <w:t>Corresponding</w:t>
      </w:r>
      <w:proofErr w:type="spellEnd"/>
      <w:r w:rsidRPr="00A25910">
        <w:rPr>
          <w:rFonts w:cstheme="minorHAnsi"/>
          <w:b/>
        </w:rPr>
        <w:t xml:space="preserve"> </w:t>
      </w:r>
      <w:proofErr w:type="spellStart"/>
      <w:proofErr w:type="gramStart"/>
      <w:r w:rsidRPr="00A25910">
        <w:rPr>
          <w:rFonts w:cstheme="minorHAnsi"/>
          <w:b/>
        </w:rPr>
        <w:t>Author</w:t>
      </w:r>
      <w:proofErr w:type="spellEnd"/>
      <w:r w:rsidRPr="00A25910">
        <w:rPr>
          <w:rFonts w:cstheme="minorHAnsi"/>
          <w:b/>
        </w:rPr>
        <w:t>:</w:t>
      </w:r>
      <w:proofErr w:type="gramEnd"/>
      <w:r w:rsidRPr="00A25910">
        <w:rPr>
          <w:rFonts w:cstheme="minorHAnsi"/>
        </w:rPr>
        <w:t xml:space="preserve"> </w:t>
      </w:r>
      <w:r w:rsidRPr="00A25910">
        <w:rPr>
          <w:rFonts w:cstheme="minorHAnsi"/>
        </w:rPr>
        <w:tab/>
      </w:r>
    </w:p>
    <w:p w14:paraId="34962C9D" w14:textId="77777777" w:rsidR="00A25910" w:rsidRPr="00A25910" w:rsidRDefault="00A25910" w:rsidP="00A25910">
      <w:pPr>
        <w:spacing w:line="276" w:lineRule="auto"/>
        <w:rPr>
          <w:rFonts w:cstheme="minorHAnsi"/>
        </w:rPr>
      </w:pPr>
      <w:r w:rsidRPr="00A25910">
        <w:rPr>
          <w:rFonts w:cstheme="minorHAnsi"/>
        </w:rPr>
        <w:t>Joy Perrier</w:t>
      </w:r>
    </w:p>
    <w:p w14:paraId="003A6472" w14:textId="77777777" w:rsidR="00A25910" w:rsidRPr="00A25910" w:rsidRDefault="00A25910" w:rsidP="00A25910">
      <w:pPr>
        <w:spacing w:line="276" w:lineRule="auto"/>
        <w:rPr>
          <w:rFonts w:cstheme="minorHAnsi"/>
        </w:rPr>
      </w:pPr>
      <w:r w:rsidRPr="00A25910">
        <w:rPr>
          <w:rFonts w:cstheme="minorHAnsi"/>
        </w:rPr>
        <w:t>Neuropsychologie &amp; Imagerie de la Mémoire Humaine</w:t>
      </w:r>
    </w:p>
    <w:p w14:paraId="5B2C21FC" w14:textId="77777777" w:rsidR="00A25910" w:rsidRPr="00A25910" w:rsidRDefault="00A25910" w:rsidP="00A25910">
      <w:pPr>
        <w:spacing w:line="276" w:lineRule="auto"/>
        <w:rPr>
          <w:rFonts w:cstheme="minorHAnsi"/>
        </w:rPr>
      </w:pPr>
      <w:r w:rsidRPr="00A25910">
        <w:rPr>
          <w:rFonts w:cstheme="minorHAnsi"/>
        </w:rPr>
        <w:t xml:space="preserve">Unité de recherche 1077 INSERM-EPHE-UNICAEN, Pôle des Formations et de Recherche en Santé (PFRS), 2 rue des </w:t>
      </w:r>
      <w:proofErr w:type="spellStart"/>
      <w:r w:rsidRPr="00A25910">
        <w:rPr>
          <w:rFonts w:cstheme="minorHAnsi"/>
        </w:rPr>
        <w:t>Rochambelles</w:t>
      </w:r>
      <w:proofErr w:type="spellEnd"/>
      <w:r w:rsidRPr="00A25910">
        <w:rPr>
          <w:rFonts w:cstheme="minorHAnsi"/>
        </w:rPr>
        <w:t xml:space="preserve"> F-14032 Caen Cedex CS 14032, France</w:t>
      </w:r>
    </w:p>
    <w:p w14:paraId="15DFE18B" w14:textId="11C31821" w:rsidR="00A25910" w:rsidRPr="00A25910" w:rsidRDefault="00A25910" w:rsidP="00A25910">
      <w:pPr>
        <w:spacing w:line="276" w:lineRule="auto"/>
        <w:rPr>
          <w:rFonts w:cstheme="minorHAnsi"/>
        </w:rPr>
      </w:pPr>
      <w:proofErr w:type="gramStart"/>
      <w:r w:rsidRPr="00A25910">
        <w:rPr>
          <w:rFonts w:cstheme="minorHAnsi"/>
          <w:u w:val="single"/>
        </w:rPr>
        <w:t>Phone</w:t>
      </w:r>
      <w:r w:rsidRPr="00A25910">
        <w:rPr>
          <w:rFonts w:cstheme="minorHAnsi"/>
        </w:rPr>
        <w:t>:</w:t>
      </w:r>
      <w:proofErr w:type="gramEnd"/>
      <w:r w:rsidRPr="00A25910">
        <w:rPr>
          <w:rFonts w:cstheme="minorHAnsi"/>
        </w:rPr>
        <w:t xml:space="preserve"> +33(0) 2 31 56 83 83; E-mail: </w:t>
      </w:r>
      <w:hyperlink r:id="rId5" w:history="1">
        <w:r w:rsidRPr="00A25910">
          <w:rPr>
            <w:rFonts w:cstheme="minorHAnsi"/>
          </w:rPr>
          <w:t>joy.perrier@unicaen.fr</w:t>
        </w:r>
      </w:hyperlink>
    </w:p>
    <w:p w14:paraId="71C331B6" w14:textId="77777777" w:rsidR="00A25910" w:rsidRPr="00A25910" w:rsidRDefault="00A25910">
      <w:pPr>
        <w:rPr>
          <w:rFonts w:eastAsiaTheme="minorEastAsia" w:cstheme="minorHAnsi"/>
          <w:color w:val="5A5A5A" w:themeColor="text1" w:themeTint="A5"/>
          <w:spacing w:val="15"/>
        </w:rPr>
      </w:pPr>
      <w:r w:rsidRPr="00A25910">
        <w:rPr>
          <w:rFonts w:cstheme="minorHAnsi"/>
        </w:rPr>
        <w:br w:type="page"/>
      </w:r>
    </w:p>
    <w:p w14:paraId="3512A724" w14:textId="04815C6B" w:rsidR="00A25910" w:rsidRPr="00A25910" w:rsidRDefault="00A25910" w:rsidP="00A25910">
      <w:pPr>
        <w:pStyle w:val="Sous-titre"/>
        <w:numPr>
          <w:ilvl w:val="0"/>
          <w:numId w:val="0"/>
        </w:numPr>
        <w:jc w:val="both"/>
        <w:rPr>
          <w:rFonts w:cstheme="minorHAnsi"/>
          <w:lang w:val="en-US"/>
        </w:rPr>
      </w:pPr>
      <w:r w:rsidRPr="00A25910">
        <w:rPr>
          <w:rFonts w:cstheme="minorHAnsi"/>
          <w:lang w:val="en-US"/>
        </w:rPr>
        <w:lastRenderedPageBreak/>
        <w:t>Detailed description of the ESR memory task</w:t>
      </w:r>
    </w:p>
    <w:p w14:paraId="27A2DB9C" w14:textId="1E0563E2" w:rsidR="00A25910" w:rsidRDefault="00A25910" w:rsidP="00A25910">
      <w:pPr>
        <w:pStyle w:val="Lgende"/>
        <w:keepNext/>
        <w:spacing w:line="480" w:lineRule="auto"/>
        <w:jc w:val="both"/>
        <w:rPr>
          <w:rFonts w:asciiTheme="minorHAnsi" w:hAnsiTheme="minorHAnsi" w:cstheme="minorHAnsi"/>
          <w:i w:val="0"/>
          <w:iCs w:val="0"/>
          <w:color w:val="auto"/>
          <w:sz w:val="22"/>
          <w:szCs w:val="22"/>
          <w:lang w:val="en-US"/>
        </w:rPr>
      </w:pPr>
      <w:r w:rsidRPr="00A25910">
        <w:rPr>
          <w:rFonts w:asciiTheme="minorHAnsi" w:hAnsiTheme="minorHAnsi" w:cstheme="minorHAnsi"/>
          <w:i w:val="0"/>
          <w:iCs w:val="0"/>
          <w:color w:val="auto"/>
          <w:sz w:val="22"/>
          <w:szCs w:val="22"/>
          <w:lang w:val="en-US"/>
        </w:rPr>
        <w:t xml:space="preserve">During the first list, participants determined if the first and last letters of orally presented words were in alphabetical order without any instruction to memorize. At the end of this incidental superficial encoding phase, a recognition phase was carried out where patients had to recognize the 16 target words among distractors. Each target word was presented visually, one by one, with three distractors: one semantically linked, one phonetically linked, and the third with no link to the target word. For each of these 16 presentations, patients were systematically required to point to a word with their finger, the one they recognized, or otherwise the one they chose at random. For the second list, patients were asked to memorize the words. To induce semantic processing, they had to orally generate a sentence that defined or described the presented word. Every two words, an immediate cued recall task was performed using a semantic category cue to ensure encoding and reinforce its semantic nature. If the patient failed, they were reminded of the word and asked to create a sentence containing the target and recall it in response to its categorical cue. At the end of this 16-word intentional deep encoding, patients are asked to recall as many words as possible, in any order and without time limitation. Performance in recognition after incidental superficial encoding from the first list is assumed to mainly reflect encoding capacity, as recognition is supposed to compensate for potential retrieval deficits. In contrast, performance in free recall after intentional deep encoding is assumed to preferentially reflect retrieval capacity as encoding is supported, thereby compensating for potential deficits in spontaneous encoding capacities. </w:t>
      </w:r>
    </w:p>
    <w:p w14:paraId="4DCB889A" w14:textId="77777777" w:rsidR="004A6D26" w:rsidRPr="00DF3A6F" w:rsidRDefault="004A6D26" w:rsidP="004A6D26">
      <w:pPr>
        <w:pStyle w:val="Titre2"/>
        <w:spacing w:line="480" w:lineRule="auto"/>
        <w:rPr>
          <w:rFonts w:asciiTheme="minorHAnsi" w:hAnsiTheme="minorHAnsi" w:cstheme="minorHAnsi"/>
          <w:lang w:val="en-US"/>
        </w:rPr>
      </w:pPr>
      <w:r w:rsidRPr="004A6D26">
        <w:rPr>
          <w:rFonts w:asciiTheme="minorHAnsi" w:eastAsiaTheme="minorEastAsia" w:hAnsiTheme="minorHAnsi" w:cstheme="minorHAnsi"/>
          <w:color w:val="5A5A5A" w:themeColor="text1" w:themeTint="A5"/>
          <w:spacing w:val="15"/>
          <w:sz w:val="22"/>
          <w:szCs w:val="22"/>
          <w:lang w:val="en-US"/>
        </w:rPr>
        <w:t>Hippocampal</w:t>
      </w:r>
      <w:r w:rsidRPr="00DF3A6F">
        <w:rPr>
          <w:rFonts w:asciiTheme="minorHAnsi" w:hAnsiTheme="minorHAnsi" w:cstheme="minorHAnsi"/>
          <w:lang w:val="en-US"/>
        </w:rPr>
        <w:t xml:space="preserve"> </w:t>
      </w:r>
      <w:r w:rsidRPr="004A6D26">
        <w:rPr>
          <w:rFonts w:asciiTheme="minorHAnsi" w:eastAsiaTheme="minorEastAsia" w:hAnsiTheme="minorHAnsi" w:cstheme="minorHAnsi"/>
          <w:color w:val="5A5A5A" w:themeColor="text1" w:themeTint="A5"/>
          <w:spacing w:val="15"/>
          <w:sz w:val="22"/>
          <w:szCs w:val="22"/>
          <w:lang w:val="en-US"/>
        </w:rPr>
        <w:t>subfield</w:t>
      </w:r>
      <w:r w:rsidRPr="00DF3A6F">
        <w:rPr>
          <w:rFonts w:asciiTheme="minorHAnsi" w:hAnsiTheme="minorHAnsi" w:cstheme="minorHAnsi"/>
          <w:lang w:val="en-US"/>
        </w:rPr>
        <w:t xml:space="preserve"> </w:t>
      </w:r>
      <w:r w:rsidRPr="004A6D26">
        <w:rPr>
          <w:rFonts w:asciiTheme="minorHAnsi" w:eastAsiaTheme="minorEastAsia" w:hAnsiTheme="minorHAnsi" w:cstheme="minorHAnsi"/>
          <w:color w:val="5A5A5A" w:themeColor="text1" w:themeTint="A5"/>
          <w:spacing w:val="15"/>
          <w:sz w:val="22"/>
          <w:szCs w:val="22"/>
          <w:lang w:val="en-US"/>
        </w:rPr>
        <w:t>segmentation</w:t>
      </w:r>
    </w:p>
    <w:p w14:paraId="14445410" w14:textId="77777777" w:rsidR="004A6D26" w:rsidRPr="00DF3A6F" w:rsidRDefault="004A6D26" w:rsidP="004A6D26">
      <w:pPr>
        <w:spacing w:line="480" w:lineRule="auto"/>
        <w:ind w:firstLine="708"/>
        <w:jc w:val="both"/>
        <w:rPr>
          <w:rFonts w:cstheme="minorHAnsi"/>
          <w:lang w:val="en-US"/>
        </w:rPr>
      </w:pPr>
      <w:r w:rsidRPr="00DF3A6F">
        <w:rPr>
          <w:rFonts w:cstheme="minorHAnsi"/>
          <w:lang w:val="en-US"/>
        </w:rPr>
        <w:t xml:space="preserve">The pipeline is designed for the segmentation and analysis of hippocampal subfields and MRI images undergo preprocessing and cropping to focus on hippocampi. A U-Net neural network architecture </w:t>
      </w:r>
      <w:r w:rsidRPr="00DF3A6F">
        <w:rPr>
          <w:rFonts w:cstheme="minorHAnsi"/>
          <w:lang w:val="en-US"/>
        </w:rPr>
        <w:fldChar w:fldCharType="begin"/>
      </w:r>
      <w:r w:rsidRPr="00DF3A6F">
        <w:rPr>
          <w:rFonts w:cstheme="minorHAnsi"/>
          <w:lang w:val="en-US"/>
        </w:rPr>
        <w:instrText xml:space="preserve"> ADDIN ZOTERO_ITEM CSL_CITATION {"citationID":"B54qFwxq","properties":{"formattedCitation":"[36]","plainCitation":"[36]","noteIndex":0},"citationItems":[{"id":"OC1Mmuhp/5qLHVkY2","uris":["http://zotero.org/users/11058980/items/KCM264ZS"],"uri":["http://zotero.org/users/11058980/items/KCM264ZS"],"itemData":{"id":179,"type":"article-journal","abstract":"Biomedical imaging is a driver of scientific discovery and a core component of medical care and is being stimulated by the field of deep learning. While semantic segmentation algorithms enable image analysis and quantification in many applications, the design of respective specialized solutions is non-trivial and highly dependent on dataset properties and hardware conditions. We developed nnU-Net, a deep learning-based segmentation method that automatically configures itself, including preprocessing, network architecture, training and post-processing for any new task. The key design choices in this process are modeled as a set of fixed parameters, interdependent rules and empirical decisions. Without manual intervention, nnU-Net surpasses most existing approaches, including highly specialized solutions on 23 public datasets used in international biomedical segmentation competitions. We make nnU-Net publicly available as an out-of-the-box tool, rendering state-of-the-art segmentation accessible to a broad audience by requiring neither expert knowledge nor computing resources beyond standard network training.","container-title":"Nature Methods","DOI":"10.1038/s41592-020-01008-z","ISSN":"1548-7105","issue":"2","journalAbbreviation":"Nat Methods","language":"en","license":"2020 The Author(s), under exclusive licence to Springer Nature America, Inc.","note":"number: 2\npublisher: Nature Publishing Group","page":"203-211","source":"www.nature.com","title":"nnU-Net: a self-configuring method for deep learning-based biomedical image segmentation","title-short":"nnU-Net","volume":"18","author":[{"family":"Isensee","given":"Fabian"},{"family":"Jaeger","given":"Paul F."},{"family":"Kohl","given":"Simon A. A."},{"family":"Petersen","given":"Jens"},{"family":"Maier-Hein","given":"Klaus H."}],"issued":{"date-parts":[["2021",2]]}}}],"schema":"https://github.com/citation-style-language/schema/raw/master/csl-citation.json"} </w:instrText>
      </w:r>
      <w:r w:rsidRPr="00DF3A6F">
        <w:rPr>
          <w:rFonts w:cstheme="minorHAnsi"/>
          <w:lang w:val="en-US"/>
        </w:rPr>
        <w:fldChar w:fldCharType="separate"/>
      </w:r>
      <w:r w:rsidRPr="00DF3A6F">
        <w:rPr>
          <w:rFonts w:cstheme="minorHAnsi"/>
          <w:lang w:val="en-US"/>
        </w:rPr>
        <w:t>[36]</w:t>
      </w:r>
      <w:r w:rsidRPr="00DF3A6F">
        <w:rPr>
          <w:rFonts w:cstheme="minorHAnsi"/>
          <w:lang w:val="en-US"/>
        </w:rPr>
        <w:fldChar w:fldCharType="end"/>
      </w:r>
      <w:r w:rsidRPr="00DF3A6F">
        <w:rPr>
          <w:rFonts w:cstheme="minorHAnsi"/>
          <w:lang w:val="en-US"/>
        </w:rPr>
        <w:t xml:space="preserve"> is applied to segment various components, including hippocampal grey matter (GM), the stratum </w:t>
      </w:r>
      <w:proofErr w:type="spellStart"/>
      <w:r w:rsidRPr="00DF3A6F">
        <w:rPr>
          <w:rFonts w:cstheme="minorHAnsi"/>
          <w:lang w:val="en-US"/>
        </w:rPr>
        <w:t>radiatum</w:t>
      </w:r>
      <w:proofErr w:type="spellEnd"/>
      <w:r w:rsidRPr="00DF3A6F">
        <w:rPr>
          <w:rFonts w:cstheme="minorHAnsi"/>
          <w:lang w:val="en-US"/>
        </w:rPr>
        <w:t xml:space="preserve"> </w:t>
      </w:r>
      <w:proofErr w:type="spellStart"/>
      <w:r w:rsidRPr="00DF3A6F">
        <w:rPr>
          <w:rFonts w:cstheme="minorHAnsi"/>
          <w:lang w:val="en-US"/>
        </w:rPr>
        <w:t>lacunosum</w:t>
      </w:r>
      <w:proofErr w:type="spellEnd"/>
      <w:r w:rsidRPr="00DF3A6F">
        <w:rPr>
          <w:rFonts w:cstheme="minorHAnsi"/>
          <w:lang w:val="en-US"/>
        </w:rPr>
        <w:t xml:space="preserve"> and </w:t>
      </w:r>
      <w:proofErr w:type="spellStart"/>
      <w:r w:rsidRPr="00DF3A6F">
        <w:rPr>
          <w:rFonts w:cstheme="minorHAnsi"/>
          <w:lang w:val="en-US"/>
        </w:rPr>
        <w:t>moleculare</w:t>
      </w:r>
      <w:proofErr w:type="spellEnd"/>
      <w:r w:rsidRPr="00DF3A6F">
        <w:rPr>
          <w:rFonts w:cstheme="minorHAnsi"/>
          <w:lang w:val="en-US"/>
        </w:rPr>
        <w:t xml:space="preserve"> (SRLM), as well as surrounding hippocampal structures. Laplace's equation is solved across three dimensions thereby establishing a geodesic coordinate framework. Scattered interpolants are employed to establish equivalent coordinates </w:t>
      </w:r>
      <w:r w:rsidRPr="00DF3A6F">
        <w:rPr>
          <w:rFonts w:cstheme="minorHAnsi"/>
          <w:lang w:val="en-US"/>
        </w:rPr>
        <w:lastRenderedPageBreak/>
        <w:t xml:space="preserve">between the native Cartesian space and the unfolded space. Unfolded surfaces with template subfield labels </w:t>
      </w:r>
      <w:r w:rsidRPr="00DF3A6F">
        <w:rPr>
          <w:rFonts w:cstheme="minorHAnsi"/>
          <w:lang w:val="en-US"/>
        </w:rPr>
        <w:fldChar w:fldCharType="begin"/>
      </w:r>
      <w:r w:rsidRPr="00DF3A6F">
        <w:rPr>
          <w:rFonts w:cstheme="minorHAnsi"/>
          <w:lang w:val="en-US"/>
        </w:rPr>
        <w:instrText xml:space="preserve"> ADDIN ZOTERO_ITEM CSL_CITATION {"citationID":"MYxG3jIm","properties":{"formattedCitation":"[37]","plainCitation":"[37]","noteIndex":0},"citationItems":[{"id":"OC1Mmuhp/O7e98uiT","uris":["http://zotero.org/users/11058980/items/I2GPJI3F"],"uri":["http://zotero.org/users/11058980/items/I2GPJI3F"],"itemData":{"id":77,"type":"article-journal","abstract":"The internal structure of the human hippocampus is challenging to map using histology or neuroimaging due to its complex archicortical folding. Here, we aimed to overcome this challenge using a unique combination of three methods. First, we leveraged a histological dataset with unprecedented 3D coverage, BigBrain. Second, we imposed a computational unfolding framework that respects the topological continuity of hippocampal subfields, which are traditionally defined by laminar composition. Third, we adapted neocortical parcellation techniques to map the hippocampus with respect to not only laminar but also morphological features. Unsupervised clustering of these features revealed subdivisions that closely resemble gold standard manual subfield segmentations. Critically, we also show that morphological features alone are sufficient to derive most hippocampal subfield boundaries. Moreover, some features showed differences within subfields along the hippocampal longitudinal axis. Our findings highlight new characteristics of internal hippocampal structure, and offer new avenues for its characterization with in-vivo neuroimaging.","container-title":"NeuroImage","DOI":"10.1016/j.neuroimage.2019.116328","ISSN":"1095-9572","journalAbbreviation":"Neuroimage","language":"eng","note":"PMID: 31682982","page":"116328","source":"PubMed","title":"Hippocampal subfields revealed through unfolding and unsupervised clustering of laminar and morphological features in 3D BigBrain","volume":"206","author":[{"family":"DeKraker","given":"J."},{"family":"Lau","given":"J. C."},{"family":"Ferko","given":"K. M."},{"family":"Khan","given":"A. R."},{"family":"Köhler","given":"S."}],"issued":{"date-parts":[["2020",2,1]]}}}],"schema":"https://github.com/citation-style-language/schema/raw/master/csl-citation.json"} </w:instrText>
      </w:r>
      <w:r w:rsidRPr="00DF3A6F">
        <w:rPr>
          <w:rFonts w:cstheme="minorHAnsi"/>
          <w:lang w:val="en-US"/>
        </w:rPr>
        <w:fldChar w:fldCharType="separate"/>
      </w:r>
      <w:r w:rsidRPr="00DF3A6F">
        <w:rPr>
          <w:rFonts w:cstheme="minorHAnsi"/>
          <w:lang w:val="en-US"/>
        </w:rPr>
        <w:t>[37]</w:t>
      </w:r>
      <w:r w:rsidRPr="00DF3A6F">
        <w:rPr>
          <w:rFonts w:cstheme="minorHAnsi"/>
          <w:lang w:val="en-US"/>
        </w:rPr>
        <w:fldChar w:fldCharType="end"/>
      </w:r>
      <w:r w:rsidRPr="00DF3A6F">
        <w:rPr>
          <w:rFonts w:cstheme="minorHAnsi"/>
          <w:lang w:val="en-US"/>
        </w:rPr>
        <w:t xml:space="preserve"> are transformed into the native folded configurations specific to individual subjects. Morphological features such as thickness are extracted from these surfaces within the context of the native folded space. Finally, volumetric subfields are generated by labelling the hippocampal gray matter voxels using the unfolded coordinates and the subfield atlas defined on these coordinates. To ensure the reliability of the outcomes, quality control was conducted with an expert (BK) in hippocampal anatomy to assess the efficacy of </w:t>
      </w:r>
      <w:proofErr w:type="spellStart"/>
      <w:r w:rsidRPr="00DF3A6F">
        <w:rPr>
          <w:rFonts w:cstheme="minorHAnsi"/>
          <w:lang w:val="en-US"/>
        </w:rPr>
        <w:t>HippUnfold</w:t>
      </w:r>
      <w:proofErr w:type="spellEnd"/>
      <w:r w:rsidRPr="00DF3A6F">
        <w:rPr>
          <w:rFonts w:cstheme="minorHAnsi"/>
          <w:lang w:val="en-US"/>
        </w:rPr>
        <w:t xml:space="preserve"> in segmenting the sequence employed. </w:t>
      </w:r>
    </w:p>
    <w:p w14:paraId="4678352D" w14:textId="0E06C726" w:rsidR="007731AF" w:rsidRPr="00A25910" w:rsidRDefault="007731AF" w:rsidP="00F26BEF">
      <w:pPr>
        <w:pStyle w:val="Sous-titre"/>
        <w:numPr>
          <w:ilvl w:val="0"/>
          <w:numId w:val="0"/>
        </w:numPr>
        <w:jc w:val="both"/>
        <w:rPr>
          <w:rFonts w:cstheme="minorHAnsi"/>
          <w:lang w:val="en-US"/>
        </w:rPr>
      </w:pPr>
      <w:r w:rsidRPr="00A25910">
        <w:rPr>
          <w:rFonts w:cstheme="minorHAnsi"/>
          <w:lang w:val="en-US"/>
        </w:rPr>
        <w:t xml:space="preserve">Relationship between </w:t>
      </w:r>
      <w:r w:rsidR="00A719C8" w:rsidRPr="00A25910">
        <w:rPr>
          <w:rFonts w:cstheme="minorHAnsi"/>
          <w:lang w:val="en-US"/>
        </w:rPr>
        <w:t xml:space="preserve">hippocampal subfield </w:t>
      </w:r>
      <w:r w:rsidRPr="00A25910">
        <w:rPr>
          <w:rFonts w:cstheme="minorHAnsi"/>
          <w:lang w:val="en-US"/>
        </w:rPr>
        <w:t>volume</w:t>
      </w:r>
      <w:r w:rsidR="00A719C8" w:rsidRPr="00A25910">
        <w:rPr>
          <w:rFonts w:cstheme="minorHAnsi"/>
          <w:lang w:val="en-US"/>
        </w:rPr>
        <w:t>s</w:t>
      </w:r>
      <w:r w:rsidRPr="00A25910">
        <w:rPr>
          <w:rFonts w:cstheme="minorHAnsi"/>
          <w:lang w:val="en-US"/>
        </w:rPr>
        <w:t xml:space="preserve"> and </w:t>
      </w:r>
      <w:r w:rsidR="00A719C8" w:rsidRPr="00A25910">
        <w:rPr>
          <w:rFonts w:cstheme="minorHAnsi"/>
          <w:lang w:val="en-US"/>
        </w:rPr>
        <w:t xml:space="preserve">retrieval episodic </w:t>
      </w:r>
      <w:r w:rsidRPr="00A25910">
        <w:rPr>
          <w:rFonts w:cstheme="minorHAnsi"/>
          <w:lang w:val="en-US"/>
        </w:rPr>
        <w:t xml:space="preserve">memory score at T1 </w:t>
      </w:r>
    </w:p>
    <w:p w14:paraId="0C9CD90A" w14:textId="77777777" w:rsidR="002C6C64" w:rsidRPr="00A25910" w:rsidRDefault="002C6C64" w:rsidP="002C6C64">
      <w:pPr>
        <w:rPr>
          <w:rFonts w:cstheme="minorHAnsi"/>
          <w:lang w:val="en-US"/>
        </w:rPr>
      </w:pPr>
    </w:p>
    <w:p w14:paraId="783F185D" w14:textId="77777777" w:rsidR="00A719C8" w:rsidRPr="00A25910" w:rsidRDefault="00A719C8" w:rsidP="008B6FC8">
      <w:pPr>
        <w:pStyle w:val="Lgende"/>
        <w:keepNext/>
        <w:spacing w:line="480" w:lineRule="auto"/>
        <w:jc w:val="both"/>
        <w:rPr>
          <w:rFonts w:asciiTheme="minorHAnsi" w:hAnsiTheme="minorHAnsi" w:cstheme="minorHAnsi"/>
          <w:i w:val="0"/>
          <w:iCs w:val="0"/>
          <w:color w:val="auto"/>
          <w:sz w:val="22"/>
          <w:szCs w:val="22"/>
          <w:lang w:val="en-US"/>
        </w:rPr>
      </w:pPr>
      <w:r w:rsidRPr="00A25910">
        <w:rPr>
          <w:rFonts w:asciiTheme="minorHAnsi" w:hAnsiTheme="minorHAnsi" w:cstheme="minorHAnsi"/>
          <w:i w:val="0"/>
          <w:iCs w:val="0"/>
          <w:color w:val="auto"/>
          <w:sz w:val="22"/>
          <w:szCs w:val="22"/>
          <w:lang w:val="en-US"/>
        </w:rPr>
        <w:t>A general linear model was used to test if the subfield volumes could explain the memory scores at T1. However, no association was found between hippocampal subfield volumes and episodic memory retrieval at T1.</w:t>
      </w:r>
    </w:p>
    <w:p w14:paraId="2796AFC8" w14:textId="77777777" w:rsidR="007731AF" w:rsidRPr="00A25910" w:rsidRDefault="007731AF" w:rsidP="007731AF">
      <w:pPr>
        <w:pStyle w:val="Lgende"/>
        <w:keepNext/>
        <w:rPr>
          <w:rFonts w:asciiTheme="minorHAnsi" w:hAnsiTheme="minorHAnsi" w:cstheme="minorHAnsi"/>
          <w:lang w:val="en-US"/>
        </w:rPr>
      </w:pPr>
      <w:r w:rsidRPr="00A25910">
        <w:rPr>
          <w:rFonts w:asciiTheme="minorHAnsi" w:hAnsiTheme="minorHAnsi" w:cstheme="minorHAnsi"/>
          <w:lang w:val="en-US"/>
        </w:rPr>
        <w:t xml:space="preserve">Table </w:t>
      </w:r>
      <w:r w:rsidR="006719DE" w:rsidRPr="00A25910">
        <w:rPr>
          <w:rFonts w:asciiTheme="minorHAnsi" w:hAnsiTheme="minorHAnsi" w:cstheme="minorHAnsi"/>
          <w:lang w:val="en-US"/>
        </w:rPr>
        <w:t>S</w:t>
      </w:r>
      <w:r w:rsidRPr="00A25910">
        <w:rPr>
          <w:rFonts w:asciiTheme="minorHAnsi" w:hAnsiTheme="minorHAnsi" w:cstheme="minorHAnsi"/>
          <w:lang w:val="en-US"/>
        </w:rPr>
        <w:t xml:space="preserve">1 </w:t>
      </w:r>
      <w:r w:rsidR="005F4735" w:rsidRPr="00A25910">
        <w:rPr>
          <w:rFonts w:asciiTheme="minorHAnsi" w:hAnsiTheme="minorHAnsi" w:cstheme="minorHAnsi"/>
          <w:lang w:val="en-US"/>
        </w:rPr>
        <w:t xml:space="preserve">Association </w:t>
      </w:r>
      <w:r w:rsidR="0075771E" w:rsidRPr="00A25910">
        <w:rPr>
          <w:rFonts w:asciiTheme="minorHAnsi" w:hAnsiTheme="minorHAnsi" w:cstheme="minorHAnsi"/>
          <w:lang w:val="en-US"/>
        </w:rPr>
        <w:t>between hippocampal subfield volume and episodic memory retrieval at T1</w:t>
      </w:r>
    </w:p>
    <w:tbl>
      <w:tblPr>
        <w:tblW w:w="7371" w:type="dxa"/>
        <w:tblCellMar>
          <w:top w:w="15" w:type="dxa"/>
          <w:left w:w="70" w:type="dxa"/>
          <w:right w:w="70" w:type="dxa"/>
        </w:tblCellMar>
        <w:tblLook w:val="04A0" w:firstRow="1" w:lastRow="0" w:firstColumn="1" w:lastColumn="0" w:noHBand="0" w:noVBand="1"/>
      </w:tblPr>
      <w:tblGrid>
        <w:gridCol w:w="3303"/>
        <w:gridCol w:w="2227"/>
        <w:gridCol w:w="1841"/>
      </w:tblGrid>
      <w:tr w:rsidR="007731AF" w:rsidRPr="00A25910" w14:paraId="7AAE0DD3" w14:textId="77777777" w:rsidTr="00A719C8">
        <w:trPr>
          <w:trHeight w:val="295"/>
        </w:trPr>
        <w:tc>
          <w:tcPr>
            <w:tcW w:w="3303" w:type="dxa"/>
            <w:tcBorders>
              <w:top w:val="single" w:sz="4" w:space="0" w:color="auto"/>
              <w:left w:val="nil"/>
              <w:bottom w:val="single" w:sz="4" w:space="0" w:color="auto"/>
              <w:right w:val="nil"/>
            </w:tcBorders>
            <w:shd w:val="clear" w:color="auto" w:fill="auto"/>
            <w:noWrap/>
            <w:vAlign w:val="center"/>
            <w:hideMark/>
          </w:tcPr>
          <w:p w14:paraId="5AE25935" w14:textId="77777777" w:rsidR="007731AF" w:rsidRPr="00A25910" w:rsidRDefault="007731AF" w:rsidP="00C319B0">
            <w:pPr>
              <w:keepNext/>
              <w:spacing w:after="0" w:line="240" w:lineRule="auto"/>
              <w:rPr>
                <w:rFonts w:eastAsia="Times New Roman" w:cstheme="minorHAnsi"/>
                <w:b/>
                <w:color w:val="000000"/>
                <w:lang w:val="en-US" w:eastAsia="fr-FR"/>
              </w:rPr>
            </w:pPr>
            <w:r w:rsidRPr="00A25910">
              <w:rPr>
                <w:rFonts w:eastAsia="Times New Roman" w:cstheme="minorHAnsi"/>
                <w:b/>
                <w:color w:val="000000"/>
                <w:lang w:val="en-US" w:eastAsia="fr-FR"/>
              </w:rPr>
              <w:t>Episodic Memory retrieval</w:t>
            </w:r>
            <w:r w:rsidR="00341306" w:rsidRPr="00A25910">
              <w:rPr>
                <w:rFonts w:eastAsia="Times New Roman" w:cstheme="minorHAnsi"/>
                <w:b/>
                <w:color w:val="000000"/>
                <w:lang w:val="en-US" w:eastAsia="fr-FR"/>
              </w:rPr>
              <w:t xml:space="preserve"> at T1</w:t>
            </w:r>
          </w:p>
        </w:tc>
        <w:tc>
          <w:tcPr>
            <w:tcW w:w="2227" w:type="dxa"/>
            <w:tcBorders>
              <w:top w:val="single" w:sz="4" w:space="0" w:color="auto"/>
              <w:left w:val="nil"/>
              <w:bottom w:val="single" w:sz="4" w:space="0" w:color="auto"/>
              <w:right w:val="nil"/>
            </w:tcBorders>
            <w:shd w:val="clear" w:color="auto" w:fill="auto"/>
            <w:noWrap/>
            <w:vAlign w:val="center"/>
            <w:hideMark/>
          </w:tcPr>
          <w:p w14:paraId="38852005" w14:textId="77777777" w:rsidR="007731AF" w:rsidRPr="00A25910" w:rsidRDefault="007731AF" w:rsidP="00C319B0">
            <w:pPr>
              <w:keepNext/>
              <w:spacing w:after="0" w:line="240" w:lineRule="auto"/>
              <w:rPr>
                <w:rFonts w:eastAsia="Times New Roman" w:cstheme="minorHAnsi"/>
                <w:color w:val="000000"/>
                <w:lang w:val="en-US" w:eastAsia="fr-FR"/>
              </w:rPr>
            </w:pPr>
            <w:r w:rsidRPr="00A25910">
              <w:rPr>
                <w:rFonts w:eastAsia="Times New Roman" w:cstheme="minorHAnsi"/>
                <w:color w:val="000000"/>
                <w:lang w:val="en-US" w:eastAsia="fr-FR"/>
              </w:rPr>
              <w:t>F</w:t>
            </w:r>
          </w:p>
        </w:tc>
        <w:tc>
          <w:tcPr>
            <w:tcW w:w="1841" w:type="dxa"/>
            <w:tcBorders>
              <w:top w:val="single" w:sz="4" w:space="0" w:color="auto"/>
              <w:left w:val="nil"/>
              <w:bottom w:val="single" w:sz="4" w:space="0" w:color="auto"/>
              <w:right w:val="nil"/>
            </w:tcBorders>
            <w:shd w:val="clear" w:color="auto" w:fill="auto"/>
            <w:noWrap/>
            <w:vAlign w:val="center"/>
            <w:hideMark/>
          </w:tcPr>
          <w:p w14:paraId="662A2A85" w14:textId="77777777" w:rsidR="007731AF" w:rsidRPr="00A25910" w:rsidRDefault="007731AF" w:rsidP="00C319B0">
            <w:pPr>
              <w:keepNext/>
              <w:spacing w:after="0" w:line="240" w:lineRule="auto"/>
              <w:rPr>
                <w:rFonts w:eastAsia="Times New Roman" w:cstheme="minorHAnsi"/>
                <w:color w:val="000000"/>
                <w:lang w:val="en-US" w:eastAsia="fr-FR"/>
              </w:rPr>
            </w:pPr>
            <w:r w:rsidRPr="00A25910">
              <w:rPr>
                <w:rFonts w:eastAsia="Times New Roman" w:cstheme="minorHAnsi"/>
                <w:color w:val="000000"/>
                <w:lang w:val="en-US" w:eastAsia="fr-FR"/>
              </w:rPr>
              <w:t>p-value</w:t>
            </w:r>
          </w:p>
        </w:tc>
      </w:tr>
      <w:tr w:rsidR="007731AF" w:rsidRPr="00A25910" w14:paraId="1A906B55" w14:textId="77777777" w:rsidTr="00A719C8">
        <w:trPr>
          <w:trHeight w:val="295"/>
        </w:trPr>
        <w:tc>
          <w:tcPr>
            <w:tcW w:w="3303" w:type="dxa"/>
            <w:tcBorders>
              <w:top w:val="nil"/>
              <w:left w:val="nil"/>
              <w:bottom w:val="nil"/>
              <w:right w:val="nil"/>
            </w:tcBorders>
            <w:shd w:val="clear" w:color="auto" w:fill="auto"/>
            <w:noWrap/>
            <w:vAlign w:val="bottom"/>
          </w:tcPr>
          <w:p w14:paraId="02554BDF" w14:textId="77777777" w:rsidR="007731AF" w:rsidRPr="00A25910" w:rsidRDefault="007731AF" w:rsidP="00C319B0">
            <w:pPr>
              <w:keepNext/>
              <w:spacing w:after="0" w:line="240" w:lineRule="auto"/>
              <w:rPr>
                <w:rFonts w:eastAsia="Times New Roman" w:cstheme="minorHAnsi"/>
                <w:color w:val="000000"/>
                <w:sz w:val="20"/>
                <w:lang w:val="en-US" w:eastAsia="fr-FR"/>
              </w:rPr>
            </w:pPr>
            <w:proofErr w:type="spellStart"/>
            <w:r w:rsidRPr="00A25910">
              <w:rPr>
                <w:rFonts w:eastAsia="Times New Roman" w:cstheme="minorHAnsi"/>
                <w:color w:val="000000"/>
                <w:sz w:val="20"/>
                <w:lang w:val="en-US" w:eastAsia="fr-FR"/>
              </w:rPr>
              <w:t>Sub_Volume</w:t>
            </w:r>
            <w:proofErr w:type="spellEnd"/>
          </w:p>
        </w:tc>
        <w:tc>
          <w:tcPr>
            <w:tcW w:w="2227" w:type="dxa"/>
            <w:tcBorders>
              <w:top w:val="nil"/>
              <w:left w:val="nil"/>
              <w:bottom w:val="nil"/>
              <w:right w:val="nil"/>
            </w:tcBorders>
            <w:shd w:val="clear" w:color="auto" w:fill="auto"/>
            <w:noWrap/>
            <w:vAlign w:val="center"/>
          </w:tcPr>
          <w:p w14:paraId="1D4C5300" w14:textId="77777777" w:rsidR="007731AF" w:rsidRPr="00A25910" w:rsidRDefault="00A719C8"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0.407</w:t>
            </w:r>
          </w:p>
        </w:tc>
        <w:tc>
          <w:tcPr>
            <w:tcW w:w="1841" w:type="dxa"/>
            <w:tcBorders>
              <w:top w:val="nil"/>
              <w:left w:val="nil"/>
              <w:bottom w:val="nil"/>
              <w:right w:val="nil"/>
            </w:tcBorders>
            <w:shd w:val="clear" w:color="auto" w:fill="auto"/>
            <w:noWrap/>
            <w:vAlign w:val="center"/>
          </w:tcPr>
          <w:p w14:paraId="1418E831" w14:textId="77777777" w:rsidR="007731AF" w:rsidRPr="00A25910" w:rsidRDefault="00A719C8" w:rsidP="00C319B0">
            <w:pPr>
              <w:keepNext/>
              <w:spacing w:after="0" w:line="240" w:lineRule="auto"/>
              <w:rPr>
                <w:rFonts w:eastAsia="Times New Roman" w:cstheme="minorHAnsi"/>
                <w:bCs/>
                <w:color w:val="000000"/>
                <w:sz w:val="20"/>
                <w:lang w:val="en-US" w:eastAsia="fr-FR"/>
              </w:rPr>
            </w:pPr>
            <w:r w:rsidRPr="00A25910">
              <w:rPr>
                <w:rFonts w:eastAsia="Times New Roman" w:cstheme="minorHAnsi"/>
                <w:bCs/>
                <w:color w:val="000000"/>
                <w:sz w:val="20"/>
                <w:lang w:val="en-US" w:eastAsia="fr-FR"/>
              </w:rPr>
              <w:t>0.527</w:t>
            </w:r>
          </w:p>
        </w:tc>
      </w:tr>
      <w:tr w:rsidR="007731AF" w:rsidRPr="00A25910" w14:paraId="65B7EA1C" w14:textId="77777777" w:rsidTr="00A719C8">
        <w:trPr>
          <w:trHeight w:val="295"/>
        </w:trPr>
        <w:tc>
          <w:tcPr>
            <w:tcW w:w="3303" w:type="dxa"/>
            <w:tcBorders>
              <w:top w:val="nil"/>
              <w:left w:val="nil"/>
              <w:bottom w:val="single" w:sz="4" w:space="0" w:color="auto"/>
              <w:right w:val="nil"/>
            </w:tcBorders>
            <w:shd w:val="clear" w:color="auto" w:fill="auto"/>
            <w:noWrap/>
            <w:vAlign w:val="bottom"/>
            <w:hideMark/>
          </w:tcPr>
          <w:p w14:paraId="317252F4" w14:textId="77777777" w:rsidR="007731AF" w:rsidRPr="00A25910" w:rsidRDefault="007731AF"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group*</w:t>
            </w:r>
            <w:proofErr w:type="spellStart"/>
            <w:r w:rsidRPr="00A25910">
              <w:rPr>
                <w:rFonts w:eastAsia="Times New Roman" w:cstheme="minorHAnsi"/>
                <w:color w:val="000000"/>
                <w:sz w:val="20"/>
                <w:lang w:val="en-US" w:eastAsia="fr-FR"/>
              </w:rPr>
              <w:t>Sub_volume</w:t>
            </w:r>
            <w:proofErr w:type="spellEnd"/>
          </w:p>
        </w:tc>
        <w:tc>
          <w:tcPr>
            <w:tcW w:w="2227" w:type="dxa"/>
            <w:tcBorders>
              <w:top w:val="nil"/>
              <w:left w:val="nil"/>
              <w:bottom w:val="single" w:sz="4" w:space="0" w:color="auto"/>
              <w:right w:val="nil"/>
            </w:tcBorders>
            <w:shd w:val="clear" w:color="auto" w:fill="auto"/>
            <w:noWrap/>
            <w:vAlign w:val="center"/>
          </w:tcPr>
          <w:p w14:paraId="09E52187" w14:textId="77777777" w:rsidR="007731AF" w:rsidRPr="00A25910" w:rsidRDefault="00A719C8"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0.167</w:t>
            </w:r>
          </w:p>
        </w:tc>
        <w:tc>
          <w:tcPr>
            <w:tcW w:w="1841" w:type="dxa"/>
            <w:tcBorders>
              <w:top w:val="nil"/>
              <w:left w:val="nil"/>
              <w:bottom w:val="single" w:sz="4" w:space="0" w:color="auto"/>
              <w:right w:val="nil"/>
            </w:tcBorders>
            <w:shd w:val="clear" w:color="auto" w:fill="auto"/>
            <w:noWrap/>
            <w:vAlign w:val="center"/>
          </w:tcPr>
          <w:p w14:paraId="3643E513" w14:textId="77777777" w:rsidR="007731AF" w:rsidRPr="00A25910" w:rsidRDefault="00A719C8"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0.685</w:t>
            </w:r>
          </w:p>
        </w:tc>
      </w:tr>
      <w:tr w:rsidR="007731AF" w:rsidRPr="00A25910" w14:paraId="023E312F" w14:textId="77777777" w:rsidTr="00A719C8">
        <w:trPr>
          <w:trHeight w:val="295"/>
        </w:trPr>
        <w:tc>
          <w:tcPr>
            <w:tcW w:w="3303" w:type="dxa"/>
            <w:tcBorders>
              <w:top w:val="nil"/>
              <w:left w:val="nil"/>
              <w:right w:val="nil"/>
            </w:tcBorders>
            <w:shd w:val="clear" w:color="auto" w:fill="auto"/>
            <w:noWrap/>
            <w:vAlign w:val="bottom"/>
            <w:hideMark/>
          </w:tcPr>
          <w:p w14:paraId="5B9D16B4" w14:textId="77777777" w:rsidR="007731AF" w:rsidRPr="00A25910" w:rsidRDefault="007731AF"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CA1_Volume</w:t>
            </w:r>
          </w:p>
        </w:tc>
        <w:tc>
          <w:tcPr>
            <w:tcW w:w="2227" w:type="dxa"/>
            <w:tcBorders>
              <w:top w:val="nil"/>
              <w:left w:val="nil"/>
              <w:right w:val="nil"/>
            </w:tcBorders>
            <w:shd w:val="clear" w:color="auto" w:fill="auto"/>
            <w:noWrap/>
            <w:vAlign w:val="center"/>
          </w:tcPr>
          <w:p w14:paraId="347CCBC3"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2.299</w:t>
            </w:r>
          </w:p>
        </w:tc>
        <w:tc>
          <w:tcPr>
            <w:tcW w:w="1841" w:type="dxa"/>
            <w:tcBorders>
              <w:top w:val="nil"/>
              <w:left w:val="nil"/>
              <w:right w:val="nil"/>
            </w:tcBorders>
            <w:shd w:val="clear" w:color="auto" w:fill="auto"/>
            <w:noWrap/>
            <w:vAlign w:val="center"/>
          </w:tcPr>
          <w:p w14:paraId="32A1BF8C"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0.138</w:t>
            </w:r>
          </w:p>
        </w:tc>
      </w:tr>
      <w:tr w:rsidR="007731AF" w:rsidRPr="00A25910" w14:paraId="58321407" w14:textId="77777777" w:rsidTr="00A719C8">
        <w:trPr>
          <w:trHeight w:val="295"/>
        </w:trPr>
        <w:tc>
          <w:tcPr>
            <w:tcW w:w="3303" w:type="dxa"/>
            <w:tcBorders>
              <w:top w:val="nil"/>
              <w:left w:val="nil"/>
              <w:bottom w:val="single" w:sz="4" w:space="0" w:color="auto"/>
              <w:right w:val="nil"/>
            </w:tcBorders>
            <w:shd w:val="clear" w:color="auto" w:fill="auto"/>
            <w:noWrap/>
            <w:vAlign w:val="bottom"/>
            <w:hideMark/>
          </w:tcPr>
          <w:p w14:paraId="26F18AF4" w14:textId="77777777" w:rsidR="007731AF" w:rsidRPr="00A25910" w:rsidRDefault="007731AF"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group*CA1_volume</w:t>
            </w:r>
          </w:p>
        </w:tc>
        <w:tc>
          <w:tcPr>
            <w:tcW w:w="2227" w:type="dxa"/>
            <w:tcBorders>
              <w:top w:val="nil"/>
              <w:left w:val="nil"/>
              <w:bottom w:val="single" w:sz="4" w:space="0" w:color="auto"/>
              <w:right w:val="nil"/>
            </w:tcBorders>
            <w:shd w:val="clear" w:color="auto" w:fill="auto"/>
            <w:noWrap/>
            <w:vAlign w:val="center"/>
          </w:tcPr>
          <w:p w14:paraId="1B6C72EF"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0.341</w:t>
            </w:r>
          </w:p>
        </w:tc>
        <w:tc>
          <w:tcPr>
            <w:tcW w:w="1841" w:type="dxa"/>
            <w:tcBorders>
              <w:top w:val="nil"/>
              <w:left w:val="nil"/>
              <w:bottom w:val="single" w:sz="4" w:space="0" w:color="auto"/>
              <w:right w:val="nil"/>
            </w:tcBorders>
            <w:shd w:val="clear" w:color="auto" w:fill="auto"/>
            <w:noWrap/>
            <w:vAlign w:val="center"/>
          </w:tcPr>
          <w:p w14:paraId="2A81FF76"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0.563</w:t>
            </w:r>
          </w:p>
        </w:tc>
      </w:tr>
      <w:tr w:rsidR="007731AF" w:rsidRPr="00A25910" w14:paraId="6B75F7DD" w14:textId="77777777" w:rsidTr="00A719C8">
        <w:trPr>
          <w:trHeight w:val="295"/>
        </w:trPr>
        <w:tc>
          <w:tcPr>
            <w:tcW w:w="3303" w:type="dxa"/>
            <w:tcBorders>
              <w:top w:val="nil"/>
              <w:left w:val="nil"/>
              <w:right w:val="nil"/>
            </w:tcBorders>
            <w:shd w:val="clear" w:color="auto" w:fill="auto"/>
            <w:noWrap/>
            <w:vAlign w:val="bottom"/>
            <w:hideMark/>
          </w:tcPr>
          <w:p w14:paraId="1437394C" w14:textId="77777777" w:rsidR="007731AF" w:rsidRPr="00A25910" w:rsidRDefault="007731AF"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CA2-3_Volume</w:t>
            </w:r>
          </w:p>
        </w:tc>
        <w:tc>
          <w:tcPr>
            <w:tcW w:w="2227" w:type="dxa"/>
            <w:tcBorders>
              <w:top w:val="nil"/>
              <w:left w:val="nil"/>
              <w:right w:val="nil"/>
            </w:tcBorders>
            <w:shd w:val="clear" w:color="auto" w:fill="auto"/>
            <w:noWrap/>
            <w:vAlign w:val="center"/>
          </w:tcPr>
          <w:p w14:paraId="259DC98A"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1.501</w:t>
            </w:r>
          </w:p>
        </w:tc>
        <w:tc>
          <w:tcPr>
            <w:tcW w:w="1841" w:type="dxa"/>
            <w:tcBorders>
              <w:top w:val="nil"/>
              <w:left w:val="nil"/>
              <w:right w:val="nil"/>
            </w:tcBorders>
            <w:shd w:val="clear" w:color="auto" w:fill="auto"/>
            <w:noWrap/>
            <w:vAlign w:val="center"/>
          </w:tcPr>
          <w:p w14:paraId="31497E10"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0.228</w:t>
            </w:r>
          </w:p>
        </w:tc>
      </w:tr>
      <w:tr w:rsidR="007731AF" w:rsidRPr="00A25910" w14:paraId="214724ED" w14:textId="77777777" w:rsidTr="00A719C8">
        <w:trPr>
          <w:trHeight w:val="295"/>
        </w:trPr>
        <w:tc>
          <w:tcPr>
            <w:tcW w:w="3303" w:type="dxa"/>
            <w:tcBorders>
              <w:top w:val="nil"/>
              <w:left w:val="nil"/>
              <w:bottom w:val="single" w:sz="4" w:space="0" w:color="auto"/>
              <w:right w:val="nil"/>
            </w:tcBorders>
            <w:shd w:val="clear" w:color="auto" w:fill="auto"/>
            <w:noWrap/>
            <w:vAlign w:val="bottom"/>
            <w:hideMark/>
          </w:tcPr>
          <w:p w14:paraId="27B2C123" w14:textId="77777777" w:rsidR="007731AF" w:rsidRPr="00A25910" w:rsidRDefault="007731AF"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group*CA2-3_volume</w:t>
            </w:r>
          </w:p>
        </w:tc>
        <w:tc>
          <w:tcPr>
            <w:tcW w:w="2227" w:type="dxa"/>
            <w:tcBorders>
              <w:top w:val="nil"/>
              <w:left w:val="nil"/>
              <w:bottom w:val="single" w:sz="4" w:space="0" w:color="auto"/>
              <w:right w:val="nil"/>
            </w:tcBorders>
            <w:shd w:val="clear" w:color="auto" w:fill="auto"/>
            <w:noWrap/>
            <w:vAlign w:val="center"/>
          </w:tcPr>
          <w:p w14:paraId="0FA82C44"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0.397</w:t>
            </w:r>
          </w:p>
        </w:tc>
        <w:tc>
          <w:tcPr>
            <w:tcW w:w="1841" w:type="dxa"/>
            <w:tcBorders>
              <w:top w:val="nil"/>
              <w:left w:val="nil"/>
              <w:bottom w:val="single" w:sz="4" w:space="0" w:color="auto"/>
              <w:right w:val="nil"/>
            </w:tcBorders>
            <w:shd w:val="clear" w:color="auto" w:fill="auto"/>
            <w:noWrap/>
            <w:vAlign w:val="center"/>
          </w:tcPr>
          <w:p w14:paraId="41B6EA4B"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0.533</w:t>
            </w:r>
          </w:p>
        </w:tc>
      </w:tr>
      <w:tr w:rsidR="007731AF" w:rsidRPr="00A25910" w14:paraId="3B7C8FF6" w14:textId="77777777" w:rsidTr="00A719C8">
        <w:trPr>
          <w:trHeight w:val="295"/>
        </w:trPr>
        <w:tc>
          <w:tcPr>
            <w:tcW w:w="3303" w:type="dxa"/>
            <w:tcBorders>
              <w:top w:val="nil"/>
              <w:left w:val="nil"/>
              <w:bottom w:val="nil"/>
              <w:right w:val="nil"/>
            </w:tcBorders>
            <w:shd w:val="clear" w:color="auto" w:fill="auto"/>
            <w:noWrap/>
            <w:vAlign w:val="bottom"/>
            <w:hideMark/>
          </w:tcPr>
          <w:p w14:paraId="41605E3B" w14:textId="77777777" w:rsidR="007731AF" w:rsidRPr="00A25910" w:rsidRDefault="007731AF"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CA4-DG_Volume</w:t>
            </w:r>
          </w:p>
        </w:tc>
        <w:tc>
          <w:tcPr>
            <w:tcW w:w="2227" w:type="dxa"/>
            <w:tcBorders>
              <w:top w:val="nil"/>
              <w:left w:val="nil"/>
              <w:bottom w:val="nil"/>
              <w:right w:val="nil"/>
            </w:tcBorders>
            <w:shd w:val="clear" w:color="auto" w:fill="auto"/>
            <w:noWrap/>
            <w:vAlign w:val="center"/>
          </w:tcPr>
          <w:p w14:paraId="290BD7E0"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1.400</w:t>
            </w:r>
          </w:p>
        </w:tc>
        <w:tc>
          <w:tcPr>
            <w:tcW w:w="1841" w:type="dxa"/>
            <w:tcBorders>
              <w:top w:val="nil"/>
              <w:left w:val="nil"/>
              <w:bottom w:val="nil"/>
              <w:right w:val="nil"/>
            </w:tcBorders>
            <w:shd w:val="clear" w:color="auto" w:fill="auto"/>
            <w:noWrap/>
            <w:vAlign w:val="center"/>
          </w:tcPr>
          <w:p w14:paraId="46656911"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0.244</w:t>
            </w:r>
          </w:p>
        </w:tc>
      </w:tr>
      <w:tr w:rsidR="007731AF" w:rsidRPr="00A25910" w14:paraId="44E7EF51" w14:textId="77777777" w:rsidTr="00A719C8">
        <w:trPr>
          <w:trHeight w:val="295"/>
        </w:trPr>
        <w:tc>
          <w:tcPr>
            <w:tcW w:w="3303" w:type="dxa"/>
            <w:tcBorders>
              <w:top w:val="nil"/>
              <w:left w:val="nil"/>
              <w:bottom w:val="single" w:sz="4" w:space="0" w:color="auto"/>
              <w:right w:val="nil"/>
            </w:tcBorders>
            <w:shd w:val="clear" w:color="auto" w:fill="auto"/>
            <w:noWrap/>
            <w:vAlign w:val="bottom"/>
            <w:hideMark/>
          </w:tcPr>
          <w:p w14:paraId="34ABA197" w14:textId="77777777" w:rsidR="007731AF" w:rsidRPr="00A25910" w:rsidRDefault="007731AF"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group*CA4-DG_volume</w:t>
            </w:r>
          </w:p>
        </w:tc>
        <w:tc>
          <w:tcPr>
            <w:tcW w:w="2227" w:type="dxa"/>
            <w:tcBorders>
              <w:top w:val="nil"/>
              <w:left w:val="nil"/>
              <w:bottom w:val="single" w:sz="4" w:space="0" w:color="auto"/>
              <w:right w:val="nil"/>
            </w:tcBorders>
            <w:shd w:val="clear" w:color="auto" w:fill="auto"/>
            <w:noWrap/>
            <w:vAlign w:val="center"/>
          </w:tcPr>
          <w:p w14:paraId="3762F3CD"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0.220</w:t>
            </w:r>
          </w:p>
        </w:tc>
        <w:tc>
          <w:tcPr>
            <w:tcW w:w="1841" w:type="dxa"/>
            <w:tcBorders>
              <w:top w:val="nil"/>
              <w:left w:val="nil"/>
              <w:bottom w:val="single" w:sz="4" w:space="0" w:color="auto"/>
              <w:right w:val="nil"/>
            </w:tcBorders>
            <w:shd w:val="clear" w:color="auto" w:fill="auto"/>
            <w:noWrap/>
            <w:vAlign w:val="center"/>
          </w:tcPr>
          <w:p w14:paraId="6A2FC00F" w14:textId="77777777" w:rsidR="007731AF" w:rsidRPr="00A25910" w:rsidRDefault="00A719C8" w:rsidP="007731AF">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0.641</w:t>
            </w:r>
          </w:p>
        </w:tc>
      </w:tr>
    </w:tbl>
    <w:p w14:paraId="10D4D789" w14:textId="77777777" w:rsidR="007731AF" w:rsidRPr="00A25910" w:rsidRDefault="007731AF" w:rsidP="007731AF">
      <w:pPr>
        <w:rPr>
          <w:rFonts w:cstheme="minorHAnsi"/>
        </w:rPr>
      </w:pPr>
    </w:p>
    <w:p w14:paraId="505D65D4" w14:textId="77777777" w:rsidR="00E07515" w:rsidRPr="00A25910" w:rsidRDefault="00341306" w:rsidP="008B6FC8">
      <w:pPr>
        <w:pStyle w:val="Sous-titre"/>
        <w:jc w:val="both"/>
        <w:rPr>
          <w:rFonts w:cstheme="minorHAnsi"/>
          <w:lang w:val="en-US"/>
        </w:rPr>
      </w:pPr>
      <w:r w:rsidRPr="00A25910">
        <w:rPr>
          <w:rFonts w:cstheme="minorHAnsi"/>
          <w:lang w:val="en-US"/>
        </w:rPr>
        <w:t>Relationship between hippocampal subfield volumes and variation of retrieval episodic memory score (T1-T3)</w:t>
      </w:r>
    </w:p>
    <w:p w14:paraId="2A1865A9" w14:textId="77777777" w:rsidR="002C6C64" w:rsidRPr="00A25910" w:rsidRDefault="002C6C64" w:rsidP="002C6C64">
      <w:pPr>
        <w:rPr>
          <w:rFonts w:cstheme="minorHAnsi"/>
          <w:lang w:val="en-US"/>
        </w:rPr>
      </w:pPr>
    </w:p>
    <w:p w14:paraId="0500D09A" w14:textId="77777777" w:rsidR="001D0452" w:rsidRPr="00A25910" w:rsidRDefault="001D0452" w:rsidP="008B6FC8">
      <w:pPr>
        <w:pStyle w:val="Lgende"/>
        <w:keepNext/>
        <w:spacing w:line="480" w:lineRule="auto"/>
        <w:jc w:val="both"/>
        <w:rPr>
          <w:rFonts w:asciiTheme="minorHAnsi" w:hAnsiTheme="minorHAnsi" w:cstheme="minorHAnsi"/>
          <w:i w:val="0"/>
          <w:iCs w:val="0"/>
          <w:color w:val="auto"/>
          <w:sz w:val="22"/>
          <w:szCs w:val="22"/>
          <w:lang w:val="en-US"/>
        </w:rPr>
      </w:pPr>
      <w:r w:rsidRPr="00A25910">
        <w:rPr>
          <w:rFonts w:asciiTheme="minorHAnsi" w:hAnsiTheme="minorHAnsi" w:cstheme="minorHAnsi"/>
          <w:i w:val="0"/>
          <w:iCs w:val="0"/>
          <w:color w:val="auto"/>
          <w:sz w:val="22"/>
          <w:szCs w:val="22"/>
          <w:lang w:val="en-US"/>
        </w:rPr>
        <w:lastRenderedPageBreak/>
        <w:t xml:space="preserve">A general linear model was employed to assess whether subfield volumes in explaining the variability in episodic memory retrieval scores from T1 to T3. Nevertheless, no significant </w:t>
      </w:r>
      <w:r w:rsidR="00F66032" w:rsidRPr="00A25910">
        <w:rPr>
          <w:rFonts w:asciiTheme="minorHAnsi" w:hAnsiTheme="minorHAnsi" w:cstheme="minorHAnsi"/>
          <w:i w:val="0"/>
          <w:iCs w:val="0"/>
          <w:color w:val="auto"/>
          <w:sz w:val="22"/>
          <w:szCs w:val="22"/>
          <w:lang w:val="en-US"/>
        </w:rPr>
        <w:t>association</w:t>
      </w:r>
      <w:r w:rsidRPr="00A25910">
        <w:rPr>
          <w:rFonts w:asciiTheme="minorHAnsi" w:hAnsiTheme="minorHAnsi" w:cstheme="minorHAnsi"/>
          <w:i w:val="0"/>
          <w:iCs w:val="0"/>
          <w:color w:val="auto"/>
          <w:sz w:val="22"/>
          <w:szCs w:val="22"/>
          <w:lang w:val="en-US"/>
        </w:rPr>
        <w:t xml:space="preserve"> was observed between hippocampal subfield volumes and episodic memory retrieval.</w:t>
      </w:r>
    </w:p>
    <w:p w14:paraId="0B4F4D02" w14:textId="77777777" w:rsidR="00341306" w:rsidRPr="00A25910" w:rsidRDefault="00341306" w:rsidP="00341306">
      <w:pPr>
        <w:pStyle w:val="Lgende"/>
        <w:keepNext/>
        <w:rPr>
          <w:rFonts w:asciiTheme="minorHAnsi" w:hAnsiTheme="minorHAnsi" w:cstheme="minorHAnsi"/>
          <w:lang w:val="en-US"/>
        </w:rPr>
      </w:pPr>
      <w:r w:rsidRPr="00A25910">
        <w:rPr>
          <w:rFonts w:asciiTheme="minorHAnsi" w:hAnsiTheme="minorHAnsi" w:cstheme="minorHAnsi"/>
          <w:lang w:val="en-US"/>
        </w:rPr>
        <w:t xml:space="preserve">Table </w:t>
      </w:r>
      <w:r w:rsidR="006719DE" w:rsidRPr="00A25910">
        <w:rPr>
          <w:rFonts w:asciiTheme="minorHAnsi" w:hAnsiTheme="minorHAnsi" w:cstheme="minorHAnsi"/>
          <w:lang w:val="en-US"/>
        </w:rPr>
        <w:t>S2</w:t>
      </w:r>
      <w:r w:rsidRPr="00A25910">
        <w:rPr>
          <w:rFonts w:asciiTheme="minorHAnsi" w:hAnsiTheme="minorHAnsi" w:cstheme="minorHAnsi"/>
          <w:lang w:val="en-US"/>
        </w:rPr>
        <w:t xml:space="preserve"> </w:t>
      </w:r>
      <w:r w:rsidR="0075771E" w:rsidRPr="00A25910">
        <w:rPr>
          <w:rFonts w:asciiTheme="minorHAnsi" w:hAnsiTheme="minorHAnsi" w:cstheme="minorHAnsi"/>
          <w:lang w:val="en-US"/>
        </w:rPr>
        <w:t xml:space="preserve">Association </w:t>
      </w:r>
      <w:r w:rsidR="007E4C90" w:rsidRPr="00A25910">
        <w:rPr>
          <w:rFonts w:asciiTheme="minorHAnsi" w:hAnsiTheme="minorHAnsi" w:cstheme="minorHAnsi"/>
          <w:lang w:val="en-US"/>
        </w:rPr>
        <w:t xml:space="preserve">between hippocampal subfield volume and variation of episodic memory retrieval. </w:t>
      </w:r>
    </w:p>
    <w:tbl>
      <w:tblPr>
        <w:tblW w:w="7371" w:type="dxa"/>
        <w:tblCellMar>
          <w:top w:w="15" w:type="dxa"/>
          <w:left w:w="70" w:type="dxa"/>
          <w:right w:w="70" w:type="dxa"/>
        </w:tblCellMar>
        <w:tblLook w:val="04A0" w:firstRow="1" w:lastRow="0" w:firstColumn="1" w:lastColumn="0" w:noHBand="0" w:noVBand="1"/>
      </w:tblPr>
      <w:tblGrid>
        <w:gridCol w:w="3303"/>
        <w:gridCol w:w="2227"/>
        <w:gridCol w:w="1841"/>
      </w:tblGrid>
      <w:tr w:rsidR="00341306" w:rsidRPr="00A25910" w14:paraId="7277F151" w14:textId="77777777" w:rsidTr="00C319B0">
        <w:trPr>
          <w:trHeight w:val="295"/>
        </w:trPr>
        <w:tc>
          <w:tcPr>
            <w:tcW w:w="3303" w:type="dxa"/>
            <w:tcBorders>
              <w:top w:val="single" w:sz="4" w:space="0" w:color="auto"/>
              <w:left w:val="nil"/>
              <w:bottom w:val="single" w:sz="4" w:space="0" w:color="auto"/>
              <w:right w:val="nil"/>
            </w:tcBorders>
            <w:shd w:val="clear" w:color="auto" w:fill="auto"/>
            <w:noWrap/>
            <w:vAlign w:val="center"/>
            <w:hideMark/>
          </w:tcPr>
          <w:p w14:paraId="7C4A0DE1" w14:textId="77777777" w:rsidR="00341306" w:rsidRPr="00A25910" w:rsidRDefault="00341306" w:rsidP="00C319B0">
            <w:pPr>
              <w:keepNext/>
              <w:spacing w:after="0" w:line="240" w:lineRule="auto"/>
              <w:rPr>
                <w:rFonts w:eastAsia="Times New Roman" w:cstheme="minorHAnsi"/>
                <w:b/>
                <w:color w:val="000000"/>
                <w:lang w:val="en-US" w:eastAsia="fr-FR"/>
              </w:rPr>
            </w:pPr>
            <w:r w:rsidRPr="00A25910">
              <w:rPr>
                <w:rFonts w:eastAsia="Times New Roman" w:cstheme="minorHAnsi"/>
                <w:b/>
                <w:color w:val="000000"/>
                <w:lang w:val="en-US" w:eastAsia="fr-FR"/>
              </w:rPr>
              <w:t>Variation of Episodic memory retrieval between T1 and T3</w:t>
            </w:r>
          </w:p>
        </w:tc>
        <w:tc>
          <w:tcPr>
            <w:tcW w:w="2227" w:type="dxa"/>
            <w:tcBorders>
              <w:top w:val="single" w:sz="4" w:space="0" w:color="auto"/>
              <w:left w:val="nil"/>
              <w:bottom w:val="single" w:sz="4" w:space="0" w:color="auto"/>
              <w:right w:val="nil"/>
            </w:tcBorders>
            <w:shd w:val="clear" w:color="auto" w:fill="auto"/>
            <w:noWrap/>
            <w:vAlign w:val="center"/>
            <w:hideMark/>
          </w:tcPr>
          <w:p w14:paraId="40036DDE" w14:textId="77777777" w:rsidR="00341306" w:rsidRPr="00A25910" w:rsidRDefault="00341306" w:rsidP="00C319B0">
            <w:pPr>
              <w:keepNext/>
              <w:spacing w:after="0" w:line="240" w:lineRule="auto"/>
              <w:rPr>
                <w:rFonts w:eastAsia="Times New Roman" w:cstheme="minorHAnsi"/>
                <w:color w:val="000000"/>
                <w:lang w:val="en-US" w:eastAsia="fr-FR"/>
              </w:rPr>
            </w:pPr>
            <w:r w:rsidRPr="00A25910">
              <w:rPr>
                <w:rFonts w:eastAsia="Times New Roman" w:cstheme="minorHAnsi"/>
                <w:color w:val="000000"/>
                <w:lang w:val="en-US" w:eastAsia="fr-FR"/>
              </w:rPr>
              <w:t>F</w:t>
            </w:r>
          </w:p>
        </w:tc>
        <w:tc>
          <w:tcPr>
            <w:tcW w:w="1841" w:type="dxa"/>
            <w:tcBorders>
              <w:top w:val="single" w:sz="4" w:space="0" w:color="auto"/>
              <w:left w:val="nil"/>
              <w:bottom w:val="single" w:sz="4" w:space="0" w:color="auto"/>
              <w:right w:val="nil"/>
            </w:tcBorders>
            <w:shd w:val="clear" w:color="auto" w:fill="auto"/>
            <w:noWrap/>
            <w:vAlign w:val="center"/>
            <w:hideMark/>
          </w:tcPr>
          <w:p w14:paraId="5E9AC4AC" w14:textId="77777777" w:rsidR="00341306" w:rsidRPr="00A25910" w:rsidRDefault="00341306" w:rsidP="00C319B0">
            <w:pPr>
              <w:keepNext/>
              <w:spacing w:after="0" w:line="240" w:lineRule="auto"/>
              <w:rPr>
                <w:rFonts w:eastAsia="Times New Roman" w:cstheme="minorHAnsi"/>
                <w:color w:val="000000"/>
                <w:lang w:val="en-US" w:eastAsia="fr-FR"/>
              </w:rPr>
            </w:pPr>
            <w:r w:rsidRPr="00A25910">
              <w:rPr>
                <w:rFonts w:eastAsia="Times New Roman" w:cstheme="minorHAnsi"/>
                <w:color w:val="000000"/>
                <w:lang w:val="en-US" w:eastAsia="fr-FR"/>
              </w:rPr>
              <w:t>p-value</w:t>
            </w:r>
          </w:p>
        </w:tc>
      </w:tr>
      <w:tr w:rsidR="00341306" w:rsidRPr="00A25910" w14:paraId="39E4E919" w14:textId="77777777" w:rsidTr="00C319B0">
        <w:trPr>
          <w:trHeight w:val="295"/>
        </w:trPr>
        <w:tc>
          <w:tcPr>
            <w:tcW w:w="3303" w:type="dxa"/>
            <w:tcBorders>
              <w:top w:val="nil"/>
              <w:left w:val="nil"/>
              <w:bottom w:val="nil"/>
              <w:right w:val="nil"/>
            </w:tcBorders>
            <w:shd w:val="clear" w:color="auto" w:fill="auto"/>
            <w:noWrap/>
            <w:vAlign w:val="bottom"/>
          </w:tcPr>
          <w:p w14:paraId="7E71B3C6" w14:textId="77777777" w:rsidR="00341306" w:rsidRPr="00A25910" w:rsidRDefault="00341306" w:rsidP="00C319B0">
            <w:pPr>
              <w:keepNext/>
              <w:spacing w:after="0" w:line="240" w:lineRule="auto"/>
              <w:rPr>
                <w:rFonts w:eastAsia="Times New Roman" w:cstheme="minorHAnsi"/>
                <w:color w:val="000000"/>
                <w:sz w:val="20"/>
                <w:lang w:val="en-US" w:eastAsia="fr-FR"/>
              </w:rPr>
            </w:pPr>
            <w:proofErr w:type="spellStart"/>
            <w:r w:rsidRPr="00A25910">
              <w:rPr>
                <w:rFonts w:eastAsia="Times New Roman" w:cstheme="minorHAnsi"/>
                <w:color w:val="000000"/>
                <w:sz w:val="20"/>
                <w:lang w:val="en-US" w:eastAsia="fr-FR"/>
              </w:rPr>
              <w:t>Sub_Volume</w:t>
            </w:r>
            <w:proofErr w:type="spellEnd"/>
          </w:p>
        </w:tc>
        <w:tc>
          <w:tcPr>
            <w:tcW w:w="2227" w:type="dxa"/>
            <w:tcBorders>
              <w:top w:val="nil"/>
              <w:left w:val="nil"/>
              <w:bottom w:val="nil"/>
              <w:right w:val="nil"/>
            </w:tcBorders>
            <w:shd w:val="clear" w:color="auto" w:fill="auto"/>
            <w:noWrap/>
            <w:vAlign w:val="center"/>
          </w:tcPr>
          <w:p w14:paraId="6B0A9CCD"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0.075</w:t>
            </w:r>
          </w:p>
        </w:tc>
        <w:tc>
          <w:tcPr>
            <w:tcW w:w="1841" w:type="dxa"/>
            <w:tcBorders>
              <w:top w:val="nil"/>
              <w:left w:val="nil"/>
              <w:bottom w:val="nil"/>
              <w:right w:val="nil"/>
            </w:tcBorders>
            <w:shd w:val="clear" w:color="auto" w:fill="auto"/>
            <w:noWrap/>
            <w:vAlign w:val="center"/>
          </w:tcPr>
          <w:p w14:paraId="112E57A4" w14:textId="77777777" w:rsidR="00341306" w:rsidRPr="00A25910" w:rsidRDefault="007C64B4" w:rsidP="00C319B0">
            <w:pPr>
              <w:keepNext/>
              <w:spacing w:after="0" w:line="240" w:lineRule="auto"/>
              <w:rPr>
                <w:rFonts w:eastAsia="Times New Roman" w:cstheme="minorHAnsi"/>
                <w:bCs/>
                <w:color w:val="000000"/>
                <w:sz w:val="20"/>
                <w:lang w:val="en-US" w:eastAsia="fr-FR"/>
              </w:rPr>
            </w:pPr>
            <w:r w:rsidRPr="00A25910">
              <w:rPr>
                <w:rFonts w:eastAsia="Times New Roman" w:cstheme="minorHAnsi"/>
                <w:bCs/>
                <w:color w:val="000000"/>
                <w:sz w:val="20"/>
                <w:lang w:val="en-US" w:eastAsia="fr-FR"/>
              </w:rPr>
              <w:t>0.785</w:t>
            </w:r>
          </w:p>
        </w:tc>
      </w:tr>
      <w:tr w:rsidR="00341306" w:rsidRPr="00A25910" w14:paraId="02F392D1" w14:textId="77777777" w:rsidTr="00C319B0">
        <w:trPr>
          <w:trHeight w:val="295"/>
        </w:trPr>
        <w:tc>
          <w:tcPr>
            <w:tcW w:w="3303" w:type="dxa"/>
            <w:tcBorders>
              <w:top w:val="nil"/>
              <w:left w:val="nil"/>
              <w:bottom w:val="single" w:sz="4" w:space="0" w:color="auto"/>
              <w:right w:val="nil"/>
            </w:tcBorders>
            <w:shd w:val="clear" w:color="auto" w:fill="auto"/>
            <w:noWrap/>
            <w:vAlign w:val="bottom"/>
            <w:hideMark/>
          </w:tcPr>
          <w:p w14:paraId="1DCF389B" w14:textId="77777777" w:rsidR="00341306" w:rsidRPr="00A25910" w:rsidRDefault="00341306"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group*</w:t>
            </w:r>
            <w:proofErr w:type="spellStart"/>
            <w:r w:rsidRPr="00A25910">
              <w:rPr>
                <w:rFonts w:eastAsia="Times New Roman" w:cstheme="minorHAnsi"/>
                <w:color w:val="000000"/>
                <w:sz w:val="20"/>
                <w:lang w:val="en-US" w:eastAsia="fr-FR"/>
              </w:rPr>
              <w:t>Sub_volume</w:t>
            </w:r>
            <w:proofErr w:type="spellEnd"/>
          </w:p>
        </w:tc>
        <w:tc>
          <w:tcPr>
            <w:tcW w:w="2227" w:type="dxa"/>
            <w:tcBorders>
              <w:top w:val="nil"/>
              <w:left w:val="nil"/>
              <w:bottom w:val="single" w:sz="4" w:space="0" w:color="auto"/>
              <w:right w:val="nil"/>
            </w:tcBorders>
            <w:shd w:val="clear" w:color="auto" w:fill="auto"/>
            <w:noWrap/>
            <w:vAlign w:val="center"/>
          </w:tcPr>
          <w:p w14:paraId="31BB4197"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0.410</w:t>
            </w:r>
          </w:p>
        </w:tc>
        <w:tc>
          <w:tcPr>
            <w:tcW w:w="1841" w:type="dxa"/>
            <w:tcBorders>
              <w:top w:val="nil"/>
              <w:left w:val="nil"/>
              <w:bottom w:val="single" w:sz="4" w:space="0" w:color="auto"/>
              <w:right w:val="nil"/>
            </w:tcBorders>
            <w:shd w:val="clear" w:color="auto" w:fill="auto"/>
            <w:noWrap/>
            <w:vAlign w:val="center"/>
          </w:tcPr>
          <w:p w14:paraId="77D008EE"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0.526</w:t>
            </w:r>
          </w:p>
        </w:tc>
      </w:tr>
      <w:tr w:rsidR="00341306" w:rsidRPr="00A25910" w14:paraId="3771E8BA" w14:textId="77777777" w:rsidTr="00C319B0">
        <w:trPr>
          <w:trHeight w:val="295"/>
        </w:trPr>
        <w:tc>
          <w:tcPr>
            <w:tcW w:w="3303" w:type="dxa"/>
            <w:tcBorders>
              <w:top w:val="nil"/>
              <w:left w:val="nil"/>
              <w:right w:val="nil"/>
            </w:tcBorders>
            <w:shd w:val="clear" w:color="auto" w:fill="auto"/>
            <w:noWrap/>
            <w:vAlign w:val="bottom"/>
            <w:hideMark/>
          </w:tcPr>
          <w:p w14:paraId="5554153F" w14:textId="77777777" w:rsidR="00341306" w:rsidRPr="00A25910" w:rsidRDefault="00341306"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CA1_Volume</w:t>
            </w:r>
          </w:p>
        </w:tc>
        <w:tc>
          <w:tcPr>
            <w:tcW w:w="2227" w:type="dxa"/>
            <w:tcBorders>
              <w:top w:val="nil"/>
              <w:left w:val="nil"/>
              <w:right w:val="nil"/>
            </w:tcBorders>
            <w:shd w:val="clear" w:color="auto" w:fill="auto"/>
            <w:noWrap/>
            <w:vAlign w:val="center"/>
          </w:tcPr>
          <w:p w14:paraId="15BFEA02"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0.013</w:t>
            </w:r>
          </w:p>
        </w:tc>
        <w:tc>
          <w:tcPr>
            <w:tcW w:w="1841" w:type="dxa"/>
            <w:tcBorders>
              <w:top w:val="nil"/>
              <w:left w:val="nil"/>
              <w:right w:val="nil"/>
            </w:tcBorders>
            <w:shd w:val="clear" w:color="auto" w:fill="auto"/>
            <w:noWrap/>
            <w:vAlign w:val="center"/>
          </w:tcPr>
          <w:p w14:paraId="7E810A37"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0.911</w:t>
            </w:r>
          </w:p>
        </w:tc>
      </w:tr>
      <w:tr w:rsidR="00341306" w:rsidRPr="00A25910" w14:paraId="31CB7657" w14:textId="77777777" w:rsidTr="00C319B0">
        <w:trPr>
          <w:trHeight w:val="295"/>
        </w:trPr>
        <w:tc>
          <w:tcPr>
            <w:tcW w:w="3303" w:type="dxa"/>
            <w:tcBorders>
              <w:top w:val="nil"/>
              <w:left w:val="nil"/>
              <w:bottom w:val="single" w:sz="4" w:space="0" w:color="auto"/>
              <w:right w:val="nil"/>
            </w:tcBorders>
            <w:shd w:val="clear" w:color="auto" w:fill="auto"/>
            <w:noWrap/>
            <w:vAlign w:val="bottom"/>
            <w:hideMark/>
          </w:tcPr>
          <w:p w14:paraId="27F9EE14" w14:textId="77777777" w:rsidR="00341306" w:rsidRPr="00A25910" w:rsidRDefault="00341306"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group*CA1_volume</w:t>
            </w:r>
          </w:p>
        </w:tc>
        <w:tc>
          <w:tcPr>
            <w:tcW w:w="2227" w:type="dxa"/>
            <w:tcBorders>
              <w:top w:val="nil"/>
              <w:left w:val="nil"/>
              <w:bottom w:val="single" w:sz="4" w:space="0" w:color="auto"/>
              <w:right w:val="nil"/>
            </w:tcBorders>
            <w:shd w:val="clear" w:color="auto" w:fill="auto"/>
            <w:noWrap/>
            <w:vAlign w:val="center"/>
          </w:tcPr>
          <w:p w14:paraId="3A2F4C2F"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0.470</w:t>
            </w:r>
          </w:p>
        </w:tc>
        <w:tc>
          <w:tcPr>
            <w:tcW w:w="1841" w:type="dxa"/>
            <w:tcBorders>
              <w:top w:val="nil"/>
              <w:left w:val="nil"/>
              <w:bottom w:val="single" w:sz="4" w:space="0" w:color="auto"/>
              <w:right w:val="nil"/>
            </w:tcBorders>
            <w:shd w:val="clear" w:color="auto" w:fill="auto"/>
            <w:noWrap/>
            <w:vAlign w:val="center"/>
          </w:tcPr>
          <w:p w14:paraId="438A7586"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0.497</w:t>
            </w:r>
          </w:p>
        </w:tc>
      </w:tr>
      <w:tr w:rsidR="00341306" w:rsidRPr="00A25910" w14:paraId="27956BDC" w14:textId="77777777" w:rsidTr="00C319B0">
        <w:trPr>
          <w:trHeight w:val="295"/>
        </w:trPr>
        <w:tc>
          <w:tcPr>
            <w:tcW w:w="3303" w:type="dxa"/>
            <w:tcBorders>
              <w:top w:val="nil"/>
              <w:left w:val="nil"/>
              <w:right w:val="nil"/>
            </w:tcBorders>
            <w:shd w:val="clear" w:color="auto" w:fill="auto"/>
            <w:noWrap/>
            <w:vAlign w:val="bottom"/>
            <w:hideMark/>
          </w:tcPr>
          <w:p w14:paraId="6587A738" w14:textId="77777777" w:rsidR="00341306" w:rsidRPr="00A25910" w:rsidRDefault="00341306"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CA2-3_Volume</w:t>
            </w:r>
          </w:p>
        </w:tc>
        <w:tc>
          <w:tcPr>
            <w:tcW w:w="2227" w:type="dxa"/>
            <w:tcBorders>
              <w:top w:val="nil"/>
              <w:left w:val="nil"/>
              <w:right w:val="nil"/>
            </w:tcBorders>
            <w:shd w:val="clear" w:color="auto" w:fill="auto"/>
            <w:noWrap/>
            <w:vAlign w:val="center"/>
          </w:tcPr>
          <w:p w14:paraId="2026F15A"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0.026</w:t>
            </w:r>
          </w:p>
        </w:tc>
        <w:tc>
          <w:tcPr>
            <w:tcW w:w="1841" w:type="dxa"/>
            <w:tcBorders>
              <w:top w:val="nil"/>
              <w:left w:val="nil"/>
              <w:right w:val="nil"/>
            </w:tcBorders>
            <w:shd w:val="clear" w:color="auto" w:fill="auto"/>
            <w:noWrap/>
            <w:vAlign w:val="center"/>
          </w:tcPr>
          <w:p w14:paraId="1105D3A7"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0.874</w:t>
            </w:r>
          </w:p>
        </w:tc>
      </w:tr>
      <w:tr w:rsidR="00341306" w:rsidRPr="00A25910" w14:paraId="6E56CEBE" w14:textId="77777777" w:rsidTr="00C319B0">
        <w:trPr>
          <w:trHeight w:val="295"/>
        </w:trPr>
        <w:tc>
          <w:tcPr>
            <w:tcW w:w="3303" w:type="dxa"/>
            <w:tcBorders>
              <w:top w:val="nil"/>
              <w:left w:val="nil"/>
              <w:bottom w:val="single" w:sz="4" w:space="0" w:color="auto"/>
              <w:right w:val="nil"/>
            </w:tcBorders>
            <w:shd w:val="clear" w:color="auto" w:fill="auto"/>
            <w:noWrap/>
            <w:vAlign w:val="bottom"/>
            <w:hideMark/>
          </w:tcPr>
          <w:p w14:paraId="2A57A79F" w14:textId="77777777" w:rsidR="00341306" w:rsidRPr="00A25910" w:rsidRDefault="00341306"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group*CA2-3_volume</w:t>
            </w:r>
          </w:p>
        </w:tc>
        <w:tc>
          <w:tcPr>
            <w:tcW w:w="2227" w:type="dxa"/>
            <w:tcBorders>
              <w:top w:val="nil"/>
              <w:left w:val="nil"/>
              <w:bottom w:val="single" w:sz="4" w:space="0" w:color="auto"/>
              <w:right w:val="nil"/>
            </w:tcBorders>
            <w:shd w:val="clear" w:color="auto" w:fill="auto"/>
            <w:noWrap/>
            <w:vAlign w:val="center"/>
          </w:tcPr>
          <w:p w14:paraId="7FC64A49"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0.148</w:t>
            </w:r>
          </w:p>
        </w:tc>
        <w:tc>
          <w:tcPr>
            <w:tcW w:w="1841" w:type="dxa"/>
            <w:tcBorders>
              <w:top w:val="nil"/>
              <w:left w:val="nil"/>
              <w:bottom w:val="single" w:sz="4" w:space="0" w:color="auto"/>
              <w:right w:val="nil"/>
            </w:tcBorders>
            <w:shd w:val="clear" w:color="auto" w:fill="auto"/>
            <w:noWrap/>
            <w:vAlign w:val="center"/>
          </w:tcPr>
          <w:p w14:paraId="751CD651"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0.702</w:t>
            </w:r>
          </w:p>
        </w:tc>
      </w:tr>
      <w:tr w:rsidR="00341306" w:rsidRPr="00A25910" w14:paraId="31E9033F" w14:textId="77777777" w:rsidTr="00C319B0">
        <w:trPr>
          <w:trHeight w:val="295"/>
        </w:trPr>
        <w:tc>
          <w:tcPr>
            <w:tcW w:w="3303" w:type="dxa"/>
            <w:tcBorders>
              <w:top w:val="nil"/>
              <w:left w:val="nil"/>
              <w:bottom w:val="nil"/>
              <w:right w:val="nil"/>
            </w:tcBorders>
            <w:shd w:val="clear" w:color="auto" w:fill="auto"/>
            <w:noWrap/>
            <w:vAlign w:val="bottom"/>
            <w:hideMark/>
          </w:tcPr>
          <w:p w14:paraId="13464FD4" w14:textId="77777777" w:rsidR="00341306" w:rsidRPr="00A25910" w:rsidRDefault="00341306"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CA4-DG_Volume</w:t>
            </w:r>
          </w:p>
        </w:tc>
        <w:tc>
          <w:tcPr>
            <w:tcW w:w="2227" w:type="dxa"/>
            <w:tcBorders>
              <w:top w:val="nil"/>
              <w:left w:val="nil"/>
              <w:bottom w:val="nil"/>
              <w:right w:val="nil"/>
            </w:tcBorders>
            <w:shd w:val="clear" w:color="auto" w:fill="auto"/>
            <w:noWrap/>
            <w:vAlign w:val="center"/>
          </w:tcPr>
          <w:p w14:paraId="0B7134C9"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0.132</w:t>
            </w:r>
          </w:p>
        </w:tc>
        <w:tc>
          <w:tcPr>
            <w:tcW w:w="1841" w:type="dxa"/>
            <w:tcBorders>
              <w:top w:val="nil"/>
              <w:left w:val="nil"/>
              <w:bottom w:val="nil"/>
              <w:right w:val="nil"/>
            </w:tcBorders>
            <w:shd w:val="clear" w:color="auto" w:fill="auto"/>
            <w:noWrap/>
            <w:vAlign w:val="center"/>
          </w:tcPr>
          <w:p w14:paraId="1102C269"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0.718</w:t>
            </w:r>
          </w:p>
        </w:tc>
      </w:tr>
      <w:tr w:rsidR="00341306" w:rsidRPr="00A25910" w14:paraId="5BB9BAB4" w14:textId="77777777" w:rsidTr="00C319B0">
        <w:trPr>
          <w:trHeight w:val="295"/>
        </w:trPr>
        <w:tc>
          <w:tcPr>
            <w:tcW w:w="3303" w:type="dxa"/>
            <w:tcBorders>
              <w:top w:val="nil"/>
              <w:left w:val="nil"/>
              <w:bottom w:val="single" w:sz="4" w:space="0" w:color="auto"/>
              <w:right w:val="nil"/>
            </w:tcBorders>
            <w:shd w:val="clear" w:color="auto" w:fill="auto"/>
            <w:noWrap/>
            <w:vAlign w:val="bottom"/>
            <w:hideMark/>
          </w:tcPr>
          <w:p w14:paraId="532E5E34" w14:textId="77777777" w:rsidR="00341306" w:rsidRPr="00A25910" w:rsidRDefault="00341306"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group*CA4-DG_volume</w:t>
            </w:r>
          </w:p>
        </w:tc>
        <w:tc>
          <w:tcPr>
            <w:tcW w:w="2227" w:type="dxa"/>
            <w:tcBorders>
              <w:top w:val="nil"/>
              <w:left w:val="nil"/>
              <w:bottom w:val="single" w:sz="4" w:space="0" w:color="auto"/>
              <w:right w:val="nil"/>
            </w:tcBorders>
            <w:shd w:val="clear" w:color="auto" w:fill="auto"/>
            <w:noWrap/>
            <w:vAlign w:val="center"/>
          </w:tcPr>
          <w:p w14:paraId="34E0D452"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0.031</w:t>
            </w:r>
          </w:p>
        </w:tc>
        <w:tc>
          <w:tcPr>
            <w:tcW w:w="1841" w:type="dxa"/>
            <w:tcBorders>
              <w:top w:val="nil"/>
              <w:left w:val="nil"/>
              <w:bottom w:val="single" w:sz="4" w:space="0" w:color="auto"/>
              <w:right w:val="nil"/>
            </w:tcBorders>
            <w:shd w:val="clear" w:color="auto" w:fill="auto"/>
            <w:noWrap/>
            <w:vAlign w:val="center"/>
          </w:tcPr>
          <w:p w14:paraId="303E290E" w14:textId="77777777" w:rsidR="00341306" w:rsidRPr="00A25910" w:rsidRDefault="007C64B4" w:rsidP="00C319B0">
            <w:pPr>
              <w:keepNext/>
              <w:spacing w:after="0" w:line="240" w:lineRule="auto"/>
              <w:rPr>
                <w:rFonts w:eastAsia="Times New Roman" w:cstheme="minorHAnsi"/>
                <w:color w:val="000000"/>
                <w:sz w:val="20"/>
                <w:lang w:val="en-US" w:eastAsia="fr-FR"/>
              </w:rPr>
            </w:pPr>
            <w:r w:rsidRPr="00A25910">
              <w:rPr>
                <w:rFonts w:eastAsia="Times New Roman" w:cstheme="minorHAnsi"/>
                <w:color w:val="000000"/>
                <w:sz w:val="20"/>
                <w:lang w:val="en-US" w:eastAsia="fr-FR"/>
              </w:rPr>
              <w:t>0.862</w:t>
            </w:r>
          </w:p>
        </w:tc>
      </w:tr>
    </w:tbl>
    <w:p w14:paraId="7F3C6334" w14:textId="77777777" w:rsidR="007731AF" w:rsidRPr="00A25910" w:rsidRDefault="007731AF" w:rsidP="007731AF">
      <w:pPr>
        <w:rPr>
          <w:rFonts w:cstheme="minorHAnsi"/>
        </w:rPr>
      </w:pPr>
    </w:p>
    <w:sectPr w:rsidR="007731AF" w:rsidRPr="00A25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4406"/>
    <w:multiLevelType w:val="multilevel"/>
    <w:tmpl w:val="2F60C2A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952FBA"/>
    <w:multiLevelType w:val="hybridMultilevel"/>
    <w:tmpl w:val="039A7252"/>
    <w:lvl w:ilvl="0" w:tplc="02D4F8E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AF"/>
    <w:rsid w:val="000509AB"/>
    <w:rsid w:val="00056A97"/>
    <w:rsid w:val="001D0452"/>
    <w:rsid w:val="002C6C64"/>
    <w:rsid w:val="00341306"/>
    <w:rsid w:val="004A6D26"/>
    <w:rsid w:val="005F4735"/>
    <w:rsid w:val="006719DE"/>
    <w:rsid w:val="006C2247"/>
    <w:rsid w:val="0075771E"/>
    <w:rsid w:val="007731AF"/>
    <w:rsid w:val="007C64B4"/>
    <w:rsid w:val="007E4C90"/>
    <w:rsid w:val="008B6FC8"/>
    <w:rsid w:val="00A25910"/>
    <w:rsid w:val="00A719C8"/>
    <w:rsid w:val="00BF6597"/>
    <w:rsid w:val="00D216B5"/>
    <w:rsid w:val="00F26BEF"/>
    <w:rsid w:val="00F660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6C39"/>
  <w15:chartTrackingRefBased/>
  <w15:docId w15:val="{BF743DB1-F750-44CE-8A2C-216A344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19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4A6D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7731AF"/>
    <w:pPr>
      <w:spacing w:after="200" w:line="240" w:lineRule="auto"/>
    </w:pPr>
    <w:rPr>
      <w:rFonts w:ascii="Arial" w:hAnsi="Arial"/>
      <w:i/>
      <w:iCs/>
      <w:color w:val="44546A" w:themeColor="text2"/>
      <w:sz w:val="18"/>
      <w:szCs w:val="18"/>
    </w:rPr>
  </w:style>
  <w:style w:type="character" w:customStyle="1" w:styleId="Titre1Car">
    <w:name w:val="Titre 1 Car"/>
    <w:basedOn w:val="Policepardfaut"/>
    <w:link w:val="Titre1"/>
    <w:uiPriority w:val="9"/>
    <w:rsid w:val="00A719C8"/>
    <w:rPr>
      <w:rFonts w:asciiTheme="majorHAnsi" w:eastAsiaTheme="majorEastAsia" w:hAnsiTheme="majorHAnsi" w:cstheme="majorBidi"/>
      <w:color w:val="2F5496" w:themeColor="accent1" w:themeShade="BF"/>
      <w:sz w:val="32"/>
      <w:szCs w:val="32"/>
    </w:rPr>
  </w:style>
  <w:style w:type="paragraph" w:styleId="Sous-titre">
    <w:name w:val="Subtitle"/>
    <w:basedOn w:val="Normal"/>
    <w:next w:val="Normal"/>
    <w:link w:val="Sous-titreCar"/>
    <w:uiPriority w:val="11"/>
    <w:qFormat/>
    <w:rsid w:val="00A719C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719C8"/>
    <w:rPr>
      <w:rFonts w:eastAsiaTheme="minorEastAsia"/>
      <w:color w:val="5A5A5A" w:themeColor="text1" w:themeTint="A5"/>
      <w:spacing w:val="15"/>
    </w:rPr>
  </w:style>
  <w:style w:type="paragraph" w:customStyle="1" w:styleId="completed">
    <w:name w:val="completed"/>
    <w:basedOn w:val="Normal"/>
    <w:rsid w:val="001D045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C6C64"/>
    <w:pPr>
      <w:ind w:left="720"/>
      <w:contextualSpacing/>
    </w:pPr>
  </w:style>
  <w:style w:type="character" w:styleId="Marquedecommentaire">
    <w:name w:val="annotation reference"/>
    <w:basedOn w:val="Policepardfaut"/>
    <w:uiPriority w:val="99"/>
    <w:semiHidden/>
    <w:unhideWhenUsed/>
    <w:rsid w:val="00A25910"/>
    <w:rPr>
      <w:sz w:val="16"/>
      <w:szCs w:val="16"/>
    </w:rPr>
  </w:style>
  <w:style w:type="paragraph" w:styleId="Commentaire">
    <w:name w:val="annotation text"/>
    <w:basedOn w:val="Normal"/>
    <w:link w:val="CommentaireCar"/>
    <w:uiPriority w:val="99"/>
    <w:semiHidden/>
    <w:unhideWhenUsed/>
    <w:rsid w:val="00A25910"/>
    <w:pPr>
      <w:spacing w:after="200" w:line="240" w:lineRule="auto"/>
      <w:jc w:val="both"/>
    </w:pPr>
    <w:rPr>
      <w:rFonts w:ascii="Times New Roman" w:hAnsi="Times New Roman"/>
      <w:sz w:val="20"/>
      <w:szCs w:val="20"/>
    </w:rPr>
  </w:style>
  <w:style w:type="character" w:customStyle="1" w:styleId="CommentaireCar">
    <w:name w:val="Commentaire Car"/>
    <w:basedOn w:val="Policepardfaut"/>
    <w:link w:val="Commentaire"/>
    <w:uiPriority w:val="99"/>
    <w:semiHidden/>
    <w:rsid w:val="00A25910"/>
    <w:rPr>
      <w:rFonts w:ascii="Times New Roman" w:hAnsi="Times New Roman"/>
      <w:sz w:val="20"/>
      <w:szCs w:val="20"/>
    </w:rPr>
  </w:style>
  <w:style w:type="character" w:styleId="Lienhypertexte">
    <w:name w:val="Hyperlink"/>
    <w:basedOn w:val="Policepardfaut"/>
    <w:uiPriority w:val="99"/>
    <w:unhideWhenUsed/>
    <w:rsid w:val="00A25910"/>
    <w:rPr>
      <w:color w:val="0563C1" w:themeColor="hyperlink"/>
      <w:u w:val="single"/>
    </w:rPr>
  </w:style>
  <w:style w:type="character" w:styleId="Mentionnonrsolue">
    <w:name w:val="Unresolved Mention"/>
    <w:basedOn w:val="Policepardfaut"/>
    <w:uiPriority w:val="99"/>
    <w:semiHidden/>
    <w:unhideWhenUsed/>
    <w:rsid w:val="00A25910"/>
    <w:rPr>
      <w:color w:val="605E5C"/>
      <w:shd w:val="clear" w:color="auto" w:fill="E1DFDD"/>
    </w:rPr>
  </w:style>
  <w:style w:type="character" w:customStyle="1" w:styleId="Titre2Car">
    <w:name w:val="Titre 2 Car"/>
    <w:basedOn w:val="Policepardfaut"/>
    <w:link w:val="Titre2"/>
    <w:uiPriority w:val="9"/>
    <w:semiHidden/>
    <w:rsid w:val="004A6D2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y.perrier@unicae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1670</Words>
  <Characters>9186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CYCERON</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LEROSIER</dc:creator>
  <cp:keywords/>
  <dc:description/>
  <cp:lastModifiedBy>Joy Perrier</cp:lastModifiedBy>
  <cp:revision>4</cp:revision>
  <dcterms:created xsi:type="dcterms:W3CDTF">2025-10-14T08:30:00Z</dcterms:created>
  <dcterms:modified xsi:type="dcterms:W3CDTF">2025-10-14T08:53:00Z</dcterms:modified>
</cp:coreProperties>
</file>