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2C23B" w14:textId="64CEFE8B" w:rsidR="00114633" w:rsidRPr="0061292A" w:rsidRDefault="00114633" w:rsidP="00114633">
      <w:pPr>
        <w:spacing w:after="160"/>
        <w:rPr>
          <w:rFonts w:eastAsiaTheme="majorEastAsia"/>
          <w:b/>
          <w:bCs/>
          <w:sz w:val="28"/>
          <w:szCs w:val="32"/>
        </w:rPr>
      </w:pPr>
      <w:r>
        <w:rPr>
          <w:rFonts w:eastAsiaTheme="majorEastAsia"/>
          <w:b/>
          <w:bCs/>
          <w:sz w:val="28"/>
          <w:szCs w:val="32"/>
        </w:rPr>
        <w:t xml:space="preserve">Supplementary </w:t>
      </w:r>
      <w:r w:rsidR="005E31E0">
        <w:rPr>
          <w:rFonts w:eastAsiaTheme="majorEastAsia"/>
          <w:b/>
          <w:bCs/>
          <w:sz w:val="28"/>
          <w:szCs w:val="32"/>
        </w:rPr>
        <w:t>Methods</w:t>
      </w:r>
      <w:r>
        <w:rPr>
          <w:rFonts w:eastAsiaTheme="majorEastAsia"/>
          <w:b/>
          <w:bCs/>
          <w:sz w:val="28"/>
          <w:szCs w:val="32"/>
        </w:rPr>
        <w:t xml:space="preserve"> 2</w:t>
      </w:r>
      <w:r w:rsidRPr="0061292A">
        <w:rPr>
          <w:rFonts w:eastAsiaTheme="majorEastAsia"/>
          <w:b/>
          <w:bCs/>
          <w:sz w:val="28"/>
          <w:szCs w:val="32"/>
        </w:rPr>
        <w:t>: Nutrition-sensitive vulnerability index indicators</w:t>
      </w:r>
    </w:p>
    <w:p w14:paraId="0B322150" w14:textId="77777777" w:rsidR="00114633" w:rsidRPr="0061292A" w:rsidRDefault="00114633" w:rsidP="00114633">
      <w:pPr>
        <w:spacing w:line="480" w:lineRule="auto"/>
        <w:jc w:val="both"/>
        <w:rPr>
          <w:rFonts w:eastAsiaTheme="majorEastAsia"/>
        </w:rPr>
      </w:pPr>
      <w:r w:rsidRPr="0061292A">
        <w:rPr>
          <w:rFonts w:eastAsiaTheme="majorEastAsia"/>
        </w:rPr>
        <w:t>Sources: WorldPop zero-dose vulnerability index indicator rasters (Utazi et al., 2023; DOI: 10.5258/SOTON/WP00767) for Uganda, 1000 m, 2016, and Malaria Atlas Project PfPR2–10 (Weiss et al., 2019, The Lancet)</w:t>
      </w:r>
    </w:p>
    <w:tbl>
      <w:tblPr>
        <w:tblStyle w:val="TableGrid"/>
        <w:tblW w:w="963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5314"/>
      </w:tblGrid>
      <w:tr w:rsidR="00114633" w:rsidRPr="0061292A" w14:paraId="1DE2E8C6" w14:textId="77777777" w:rsidTr="001930FE"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1D349F4E" w14:textId="77777777" w:rsidR="00114633" w:rsidRPr="0061292A" w:rsidRDefault="00114633" w:rsidP="001930FE">
            <w:pPr>
              <w:rPr>
                <w:lang w:val="en-US"/>
              </w:rPr>
            </w:pPr>
            <w:r w:rsidRPr="0061292A">
              <w:rPr>
                <w:rFonts w:eastAsia="Calibri"/>
                <w:b/>
                <w:lang w:val="en-US"/>
              </w:rPr>
              <w:t>Domain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3161" w14:textId="77777777" w:rsidR="00114633" w:rsidRPr="0061292A" w:rsidRDefault="00114633" w:rsidP="001930FE">
            <w:pPr>
              <w:rPr>
                <w:lang w:val="en-US"/>
              </w:rPr>
            </w:pPr>
            <w:r w:rsidRPr="0061292A">
              <w:rPr>
                <w:rFonts w:eastAsia="Calibri"/>
                <w:b/>
                <w:lang w:val="en-US"/>
              </w:rPr>
              <w:t>Indicator</w:t>
            </w:r>
          </w:p>
        </w:tc>
        <w:tc>
          <w:tcPr>
            <w:tcW w:w="5314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7C0318FF" w14:textId="77777777" w:rsidR="00114633" w:rsidRPr="0061292A" w:rsidRDefault="00114633" w:rsidP="001930FE">
            <w:pPr>
              <w:rPr>
                <w:lang w:val="en-US"/>
              </w:rPr>
            </w:pPr>
            <w:r w:rsidRPr="0061292A">
              <w:rPr>
                <w:rFonts w:eastAsia="Calibri"/>
                <w:b/>
                <w:lang w:val="en-US"/>
              </w:rPr>
              <w:t>Definition from source</w:t>
            </w:r>
          </w:p>
        </w:tc>
      </w:tr>
      <w:tr w:rsidR="00114633" w:rsidRPr="0061292A" w14:paraId="30C648BE" w14:textId="77777777" w:rsidTr="001930FE"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2508AA68" w14:textId="77777777" w:rsidR="00114633" w:rsidRPr="0061292A" w:rsidRDefault="00114633" w:rsidP="001930FE">
            <w:pPr>
              <w:rPr>
                <w:lang w:val="en-US"/>
              </w:rPr>
            </w:pPr>
            <w:r w:rsidRPr="0061292A">
              <w:rPr>
                <w:rFonts w:eastAsia="Calibri"/>
                <w:lang w:val="en-US"/>
              </w:rPr>
              <w:t>Maternal service contact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7E0D47" w14:textId="77777777" w:rsidR="00114633" w:rsidRPr="0061292A" w:rsidRDefault="00114633" w:rsidP="001930FE">
            <w:pPr>
              <w:rPr>
                <w:lang w:val="en-US"/>
              </w:rPr>
            </w:pPr>
            <w:r w:rsidRPr="0061292A">
              <w:rPr>
                <w:rFonts w:eastAsia="Calibri"/>
                <w:lang w:val="en-US"/>
              </w:rPr>
              <w:t>No antenatal care (ANC) among mothers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14:paraId="76D05127" w14:textId="77777777" w:rsidR="00114633" w:rsidRPr="0061292A" w:rsidRDefault="00114633" w:rsidP="001930FE">
            <w:pPr>
              <w:rPr>
                <w:lang w:val="en-US"/>
              </w:rPr>
            </w:pPr>
            <w:r w:rsidRPr="0061292A">
              <w:rPr>
                <w:rFonts w:eastAsia="Calibri"/>
                <w:lang w:val="en-US"/>
              </w:rPr>
              <w:t>Proportion of children aged 12–23 months born to mothers who did not attend ANC, 2016.</w:t>
            </w:r>
          </w:p>
        </w:tc>
      </w:tr>
      <w:tr w:rsidR="00114633" w:rsidRPr="0061292A" w14:paraId="25C205DE" w14:textId="77777777" w:rsidTr="001930FE">
        <w:tc>
          <w:tcPr>
            <w:tcW w:w="2160" w:type="dxa"/>
            <w:tcBorders>
              <w:right w:val="single" w:sz="4" w:space="0" w:color="auto"/>
            </w:tcBorders>
            <w:hideMark/>
          </w:tcPr>
          <w:p w14:paraId="41E1795D" w14:textId="77777777" w:rsidR="00114633" w:rsidRPr="0061292A" w:rsidRDefault="00114633" w:rsidP="001930FE">
            <w:pPr>
              <w:rPr>
                <w:lang w:val="en-US"/>
              </w:rPr>
            </w:pPr>
            <w:r w:rsidRPr="0061292A">
              <w:rPr>
                <w:rFonts w:eastAsia="Calibri"/>
                <w:lang w:val="en-US"/>
              </w:rPr>
              <w:t>Maternal service contact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1F9C48C" w14:textId="77777777" w:rsidR="00114633" w:rsidRPr="0061292A" w:rsidRDefault="00114633" w:rsidP="001930FE">
            <w:pPr>
              <w:rPr>
                <w:lang w:val="en-US"/>
              </w:rPr>
            </w:pPr>
            <w:r w:rsidRPr="0061292A">
              <w:rPr>
                <w:rFonts w:eastAsia="Calibri"/>
                <w:lang w:val="en-US"/>
              </w:rPr>
              <w:t>No postnatal care (PNC) among mothers</w:t>
            </w:r>
          </w:p>
        </w:tc>
        <w:tc>
          <w:tcPr>
            <w:tcW w:w="5314" w:type="dxa"/>
            <w:tcBorders>
              <w:left w:val="single" w:sz="4" w:space="0" w:color="auto"/>
            </w:tcBorders>
            <w:hideMark/>
          </w:tcPr>
          <w:p w14:paraId="65F5E794" w14:textId="77777777" w:rsidR="00114633" w:rsidRPr="0061292A" w:rsidRDefault="00114633" w:rsidP="001930FE">
            <w:pPr>
              <w:rPr>
                <w:lang w:val="en-US"/>
              </w:rPr>
            </w:pPr>
            <w:r w:rsidRPr="0061292A">
              <w:rPr>
                <w:rFonts w:eastAsia="Calibri"/>
                <w:lang w:val="en-US"/>
              </w:rPr>
              <w:t>Proportion of children aged 12–23 months born to mothers who did not receive, or do not recall, PNC within 2 months after birth, 2016.</w:t>
            </w:r>
          </w:p>
        </w:tc>
      </w:tr>
      <w:tr w:rsidR="00114633" w:rsidRPr="0061292A" w14:paraId="41242052" w14:textId="77777777" w:rsidTr="001930FE">
        <w:tc>
          <w:tcPr>
            <w:tcW w:w="2160" w:type="dxa"/>
            <w:tcBorders>
              <w:right w:val="single" w:sz="4" w:space="0" w:color="auto"/>
            </w:tcBorders>
            <w:hideMark/>
          </w:tcPr>
          <w:p w14:paraId="1F67CBC0" w14:textId="77777777" w:rsidR="00114633" w:rsidRPr="0061292A" w:rsidRDefault="00114633" w:rsidP="001930FE">
            <w:pPr>
              <w:rPr>
                <w:lang w:val="en-US"/>
              </w:rPr>
            </w:pPr>
            <w:r w:rsidRPr="0061292A">
              <w:rPr>
                <w:rFonts w:eastAsia="Calibri"/>
                <w:lang w:val="en-US"/>
              </w:rPr>
              <w:t>Maternal service contact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C003DC5" w14:textId="77777777" w:rsidR="00114633" w:rsidRPr="0061292A" w:rsidRDefault="00114633" w:rsidP="001930FE">
            <w:pPr>
              <w:rPr>
                <w:lang w:val="en-US"/>
              </w:rPr>
            </w:pPr>
            <w:r w:rsidRPr="0061292A">
              <w:rPr>
                <w:rFonts w:eastAsia="Calibri"/>
                <w:lang w:val="en-US"/>
              </w:rPr>
              <w:t>No tetanus toxoid before birth (TT)</w:t>
            </w:r>
          </w:p>
        </w:tc>
        <w:tc>
          <w:tcPr>
            <w:tcW w:w="5314" w:type="dxa"/>
            <w:tcBorders>
              <w:left w:val="single" w:sz="4" w:space="0" w:color="auto"/>
            </w:tcBorders>
            <w:hideMark/>
          </w:tcPr>
          <w:p w14:paraId="604E912C" w14:textId="77777777" w:rsidR="00114633" w:rsidRPr="0061292A" w:rsidRDefault="00114633" w:rsidP="001930FE">
            <w:pPr>
              <w:rPr>
                <w:lang w:val="en-US"/>
              </w:rPr>
            </w:pPr>
            <w:r w:rsidRPr="0061292A">
              <w:rPr>
                <w:rFonts w:eastAsia="Calibri"/>
                <w:lang w:val="en-US"/>
              </w:rPr>
              <w:t>Proportion of children aged 12–23 months born to mothers who had no tetanus toxoid injections before birth, 2016.</w:t>
            </w:r>
          </w:p>
        </w:tc>
      </w:tr>
      <w:tr w:rsidR="00114633" w:rsidRPr="0061292A" w14:paraId="67A93156" w14:textId="77777777" w:rsidTr="001930FE">
        <w:tc>
          <w:tcPr>
            <w:tcW w:w="2160" w:type="dxa"/>
            <w:tcBorders>
              <w:bottom w:val="dotted" w:sz="4" w:space="0" w:color="auto"/>
              <w:right w:val="single" w:sz="4" w:space="0" w:color="auto"/>
            </w:tcBorders>
            <w:hideMark/>
          </w:tcPr>
          <w:p w14:paraId="21F8D3BD" w14:textId="77777777" w:rsidR="00114633" w:rsidRPr="0061292A" w:rsidRDefault="00114633" w:rsidP="001930FE">
            <w:pPr>
              <w:rPr>
                <w:lang w:val="en-US"/>
              </w:rPr>
            </w:pPr>
            <w:r w:rsidRPr="0061292A">
              <w:rPr>
                <w:rFonts w:eastAsia="Calibri"/>
                <w:lang w:val="en-US"/>
              </w:rPr>
              <w:t>Maternal service contact</w:t>
            </w:r>
          </w:p>
        </w:tc>
        <w:tc>
          <w:tcPr>
            <w:tcW w:w="216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1DFCD5A" w14:textId="77777777" w:rsidR="00114633" w:rsidRPr="0061292A" w:rsidRDefault="00114633" w:rsidP="001930FE">
            <w:pPr>
              <w:rPr>
                <w:lang w:val="en-US"/>
              </w:rPr>
            </w:pPr>
            <w:r w:rsidRPr="0061292A">
              <w:rPr>
                <w:rFonts w:eastAsia="Calibri"/>
                <w:lang w:val="en-US"/>
              </w:rPr>
              <w:t>No health insurance</w:t>
            </w:r>
          </w:p>
        </w:tc>
        <w:tc>
          <w:tcPr>
            <w:tcW w:w="5314" w:type="dxa"/>
            <w:tcBorders>
              <w:left w:val="single" w:sz="4" w:space="0" w:color="auto"/>
              <w:bottom w:val="dotted" w:sz="4" w:space="0" w:color="auto"/>
            </w:tcBorders>
            <w:hideMark/>
          </w:tcPr>
          <w:p w14:paraId="61D5F1C6" w14:textId="77777777" w:rsidR="00114633" w:rsidRPr="0061292A" w:rsidRDefault="00114633" w:rsidP="001930FE">
            <w:pPr>
              <w:rPr>
                <w:lang w:val="en-US"/>
              </w:rPr>
            </w:pPr>
            <w:r w:rsidRPr="0061292A">
              <w:rPr>
                <w:rFonts w:eastAsia="Calibri"/>
                <w:lang w:val="en-US"/>
              </w:rPr>
              <w:t>Proportion of children aged 12–23 months born to mothers who had no health insurance, 2016.</w:t>
            </w:r>
          </w:p>
        </w:tc>
      </w:tr>
      <w:tr w:rsidR="00114633" w:rsidRPr="0061292A" w14:paraId="0B612315" w14:textId="77777777" w:rsidTr="001930FE">
        <w:tc>
          <w:tcPr>
            <w:tcW w:w="2160" w:type="dxa"/>
            <w:tcBorders>
              <w:top w:val="dotted" w:sz="4" w:space="0" w:color="auto"/>
              <w:right w:val="single" w:sz="4" w:space="0" w:color="auto"/>
            </w:tcBorders>
            <w:hideMark/>
          </w:tcPr>
          <w:p w14:paraId="60D6AC79" w14:textId="77777777" w:rsidR="00114633" w:rsidRPr="0061292A" w:rsidRDefault="00114633" w:rsidP="001930FE">
            <w:pPr>
              <w:rPr>
                <w:lang w:val="en-US"/>
              </w:rPr>
            </w:pPr>
            <w:r w:rsidRPr="0061292A">
              <w:rPr>
                <w:rFonts w:eastAsia="Calibri"/>
                <w:lang w:val="en-US"/>
              </w:rPr>
              <w:t>Child health risk and protection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A37DF1" w14:textId="77777777" w:rsidR="00114633" w:rsidRPr="0061292A" w:rsidRDefault="00114633" w:rsidP="001930FE">
            <w:pPr>
              <w:rPr>
                <w:lang w:val="en-US"/>
              </w:rPr>
            </w:pPr>
            <w:r w:rsidRPr="0061292A">
              <w:rPr>
                <w:rFonts w:eastAsia="Calibri"/>
                <w:lang w:val="en-US"/>
              </w:rPr>
              <w:t>Not delivered by a skilled birth attendant, SBA</w:t>
            </w:r>
          </w:p>
        </w:tc>
        <w:tc>
          <w:tcPr>
            <w:tcW w:w="5314" w:type="dxa"/>
            <w:tcBorders>
              <w:top w:val="dotted" w:sz="4" w:space="0" w:color="auto"/>
              <w:left w:val="single" w:sz="4" w:space="0" w:color="auto"/>
            </w:tcBorders>
            <w:hideMark/>
          </w:tcPr>
          <w:p w14:paraId="6923542D" w14:textId="77777777" w:rsidR="00114633" w:rsidRPr="0061292A" w:rsidRDefault="00114633" w:rsidP="001930FE">
            <w:pPr>
              <w:rPr>
                <w:lang w:val="en-US"/>
              </w:rPr>
            </w:pPr>
            <w:r w:rsidRPr="0061292A">
              <w:rPr>
                <w:rFonts w:eastAsia="Calibri"/>
                <w:lang w:val="en-US"/>
              </w:rPr>
              <w:t>Proportion of children aged 12–23 months who were not delivered by a skilled birth attendant, 2016.</w:t>
            </w:r>
          </w:p>
        </w:tc>
      </w:tr>
      <w:tr w:rsidR="00114633" w:rsidRPr="0061292A" w14:paraId="7CC107D4" w14:textId="77777777" w:rsidTr="001930FE">
        <w:tc>
          <w:tcPr>
            <w:tcW w:w="2160" w:type="dxa"/>
            <w:tcBorders>
              <w:right w:val="single" w:sz="4" w:space="0" w:color="auto"/>
            </w:tcBorders>
            <w:hideMark/>
          </w:tcPr>
          <w:p w14:paraId="288BA337" w14:textId="77777777" w:rsidR="00114633" w:rsidRPr="0061292A" w:rsidRDefault="00114633" w:rsidP="001930FE">
            <w:pPr>
              <w:rPr>
                <w:lang w:val="en-US"/>
              </w:rPr>
            </w:pPr>
            <w:r w:rsidRPr="0061292A">
              <w:rPr>
                <w:rFonts w:eastAsia="Calibri"/>
                <w:lang w:val="en-US"/>
              </w:rPr>
              <w:t>Child health risk and protection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0012C81" w14:textId="77777777" w:rsidR="00114633" w:rsidRPr="0061292A" w:rsidRDefault="00114633" w:rsidP="001930FE">
            <w:pPr>
              <w:rPr>
                <w:lang w:val="en-US"/>
              </w:rPr>
            </w:pPr>
            <w:r w:rsidRPr="0061292A">
              <w:rPr>
                <w:rFonts w:eastAsia="Calibri"/>
                <w:lang w:val="en-US"/>
              </w:rPr>
              <w:t>Underweight prevalence among children</w:t>
            </w:r>
          </w:p>
        </w:tc>
        <w:tc>
          <w:tcPr>
            <w:tcW w:w="5314" w:type="dxa"/>
            <w:tcBorders>
              <w:left w:val="single" w:sz="4" w:space="0" w:color="auto"/>
            </w:tcBorders>
            <w:hideMark/>
          </w:tcPr>
          <w:p w14:paraId="18151B32" w14:textId="77777777" w:rsidR="00114633" w:rsidRPr="0061292A" w:rsidRDefault="00114633" w:rsidP="001930FE">
            <w:pPr>
              <w:rPr>
                <w:lang w:val="en-US"/>
              </w:rPr>
            </w:pPr>
            <w:r w:rsidRPr="0061292A">
              <w:rPr>
                <w:rFonts w:eastAsia="Calibri"/>
                <w:lang w:val="en-US"/>
              </w:rPr>
              <w:t>Proportion of children aged 12–23 months who were underweight, 2016.</w:t>
            </w:r>
          </w:p>
        </w:tc>
      </w:tr>
      <w:tr w:rsidR="00114633" w:rsidRPr="0061292A" w14:paraId="408567CB" w14:textId="77777777" w:rsidTr="001930FE">
        <w:tc>
          <w:tcPr>
            <w:tcW w:w="2160" w:type="dxa"/>
            <w:tcBorders>
              <w:right w:val="single" w:sz="4" w:space="0" w:color="auto"/>
            </w:tcBorders>
            <w:hideMark/>
          </w:tcPr>
          <w:p w14:paraId="145658D6" w14:textId="77777777" w:rsidR="00114633" w:rsidRPr="0061292A" w:rsidRDefault="00114633" w:rsidP="001930FE">
            <w:pPr>
              <w:rPr>
                <w:lang w:val="en-US"/>
              </w:rPr>
            </w:pPr>
            <w:r w:rsidRPr="0061292A">
              <w:rPr>
                <w:rFonts w:eastAsia="Calibri"/>
                <w:lang w:val="en-US"/>
              </w:rPr>
              <w:t>Child health risk and protection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F9AD74B" w14:textId="77777777" w:rsidR="00114633" w:rsidRPr="0061292A" w:rsidRDefault="00114633" w:rsidP="001930FE">
            <w:pPr>
              <w:rPr>
                <w:lang w:val="en-US"/>
              </w:rPr>
            </w:pPr>
            <w:r w:rsidRPr="0061292A">
              <w:rPr>
                <w:rFonts w:eastAsia="Calibri"/>
                <w:lang w:val="en-US"/>
              </w:rPr>
              <w:t>Vaccination coverage, DTP1</w:t>
            </w:r>
          </w:p>
        </w:tc>
        <w:tc>
          <w:tcPr>
            <w:tcW w:w="5314" w:type="dxa"/>
            <w:tcBorders>
              <w:left w:val="single" w:sz="4" w:space="0" w:color="auto"/>
            </w:tcBorders>
            <w:hideMark/>
          </w:tcPr>
          <w:p w14:paraId="02423204" w14:textId="77777777" w:rsidR="00114633" w:rsidRPr="0061292A" w:rsidRDefault="00114633" w:rsidP="001930FE">
            <w:pPr>
              <w:rPr>
                <w:lang w:val="en-US"/>
              </w:rPr>
            </w:pPr>
            <w:r w:rsidRPr="0061292A">
              <w:rPr>
                <w:rFonts w:eastAsia="Calibri"/>
                <w:lang w:val="en-US"/>
              </w:rPr>
              <w:t>Proportion of children aged 12–23 months who received DTP1, 2016</w:t>
            </w:r>
          </w:p>
        </w:tc>
      </w:tr>
      <w:tr w:rsidR="00114633" w:rsidRPr="0061292A" w14:paraId="286B34E7" w14:textId="77777777" w:rsidTr="001930FE">
        <w:tc>
          <w:tcPr>
            <w:tcW w:w="2160" w:type="dxa"/>
            <w:tcBorders>
              <w:right w:val="single" w:sz="4" w:space="0" w:color="auto"/>
            </w:tcBorders>
            <w:hideMark/>
          </w:tcPr>
          <w:p w14:paraId="58EBB442" w14:textId="77777777" w:rsidR="00114633" w:rsidRPr="0061292A" w:rsidRDefault="00114633" w:rsidP="001930FE">
            <w:pPr>
              <w:rPr>
                <w:lang w:val="en-US"/>
              </w:rPr>
            </w:pPr>
            <w:r w:rsidRPr="0061292A">
              <w:rPr>
                <w:rFonts w:eastAsia="Calibri"/>
                <w:lang w:val="en-US"/>
              </w:rPr>
              <w:t>Child health risk and protection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56F2CD4" w14:textId="77777777" w:rsidR="00114633" w:rsidRPr="0061292A" w:rsidRDefault="00114633" w:rsidP="001930FE">
            <w:pPr>
              <w:rPr>
                <w:lang w:val="en-US"/>
              </w:rPr>
            </w:pPr>
            <w:r w:rsidRPr="0061292A">
              <w:rPr>
                <w:rFonts w:eastAsia="Calibri"/>
                <w:lang w:val="en-US"/>
              </w:rPr>
              <w:t>Vaccination coverage, DTP3</w:t>
            </w:r>
          </w:p>
        </w:tc>
        <w:tc>
          <w:tcPr>
            <w:tcW w:w="5314" w:type="dxa"/>
            <w:tcBorders>
              <w:left w:val="single" w:sz="4" w:space="0" w:color="auto"/>
            </w:tcBorders>
            <w:hideMark/>
          </w:tcPr>
          <w:p w14:paraId="7517AD95" w14:textId="77777777" w:rsidR="00114633" w:rsidRPr="0061292A" w:rsidRDefault="00114633" w:rsidP="001930FE">
            <w:pPr>
              <w:rPr>
                <w:lang w:val="en-US"/>
              </w:rPr>
            </w:pPr>
            <w:r w:rsidRPr="0061292A">
              <w:rPr>
                <w:rFonts w:eastAsia="Calibri"/>
                <w:lang w:val="en-US"/>
              </w:rPr>
              <w:t>Proportion of children aged 12–23 months who received DTP3, 2016</w:t>
            </w:r>
          </w:p>
        </w:tc>
      </w:tr>
      <w:tr w:rsidR="00114633" w:rsidRPr="0061292A" w14:paraId="29A67C5D" w14:textId="77777777" w:rsidTr="001930FE">
        <w:tc>
          <w:tcPr>
            <w:tcW w:w="2160" w:type="dxa"/>
            <w:tcBorders>
              <w:bottom w:val="dotted" w:sz="4" w:space="0" w:color="auto"/>
              <w:right w:val="single" w:sz="4" w:space="0" w:color="auto"/>
            </w:tcBorders>
            <w:hideMark/>
          </w:tcPr>
          <w:p w14:paraId="33D93A7D" w14:textId="77777777" w:rsidR="00114633" w:rsidRPr="0061292A" w:rsidRDefault="00114633" w:rsidP="001930FE">
            <w:pPr>
              <w:rPr>
                <w:lang w:val="en-US"/>
              </w:rPr>
            </w:pPr>
            <w:r w:rsidRPr="0061292A">
              <w:rPr>
                <w:rFonts w:eastAsia="Calibri"/>
                <w:lang w:val="en-US"/>
              </w:rPr>
              <w:t>Child health risk and protection</w:t>
            </w:r>
          </w:p>
        </w:tc>
        <w:tc>
          <w:tcPr>
            <w:tcW w:w="216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FA5AC92" w14:textId="77777777" w:rsidR="00114633" w:rsidRPr="0061292A" w:rsidRDefault="00114633" w:rsidP="001930FE">
            <w:pPr>
              <w:rPr>
                <w:lang w:val="en-US"/>
              </w:rPr>
            </w:pPr>
            <w:r w:rsidRPr="0061292A">
              <w:rPr>
                <w:rFonts w:eastAsia="Calibri"/>
                <w:lang w:val="en-US"/>
              </w:rPr>
              <w:t>Vaccination coverage, MCV1</w:t>
            </w:r>
          </w:p>
        </w:tc>
        <w:tc>
          <w:tcPr>
            <w:tcW w:w="5314" w:type="dxa"/>
            <w:tcBorders>
              <w:left w:val="single" w:sz="4" w:space="0" w:color="auto"/>
              <w:bottom w:val="dotted" w:sz="4" w:space="0" w:color="auto"/>
            </w:tcBorders>
            <w:hideMark/>
          </w:tcPr>
          <w:p w14:paraId="01DA2ABE" w14:textId="77777777" w:rsidR="00114633" w:rsidRPr="0061292A" w:rsidRDefault="00114633" w:rsidP="001930FE">
            <w:pPr>
              <w:rPr>
                <w:lang w:val="en-US"/>
              </w:rPr>
            </w:pPr>
            <w:r w:rsidRPr="0061292A">
              <w:rPr>
                <w:rFonts w:eastAsia="Calibri"/>
                <w:lang w:val="en-US"/>
              </w:rPr>
              <w:t>Proportion of children aged 12–23 months who received measles vaccine dose 1, 2016</w:t>
            </w:r>
          </w:p>
        </w:tc>
      </w:tr>
      <w:tr w:rsidR="00114633" w:rsidRPr="0061292A" w14:paraId="305984C4" w14:textId="77777777" w:rsidTr="001930FE"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2FDBE3F" w14:textId="77777777" w:rsidR="00114633" w:rsidRPr="0061292A" w:rsidRDefault="00114633" w:rsidP="001930FE">
            <w:pPr>
              <w:rPr>
                <w:lang w:val="en-US"/>
              </w:rPr>
            </w:pPr>
            <w:r w:rsidRPr="0061292A">
              <w:rPr>
                <w:rFonts w:eastAsia="Calibri"/>
                <w:lang w:val="en-US"/>
              </w:rPr>
              <w:t>Health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B786C27" w14:textId="77777777" w:rsidR="00114633" w:rsidRPr="0061292A" w:rsidRDefault="00114633" w:rsidP="001930FE">
            <w:pPr>
              <w:rPr>
                <w:lang w:val="en-US"/>
              </w:rPr>
            </w:pPr>
            <w:r w:rsidRPr="0061292A">
              <w:rPr>
                <w:rFonts w:eastAsia="Calibri"/>
                <w:lang w:val="en-US"/>
              </w:rPr>
              <w:t>Malaria prevalence, P. falciparum parasite rate in 2–10 year-olds (PfPR2–10)</w:t>
            </w:r>
          </w:p>
        </w:tc>
        <w:tc>
          <w:tcPr>
            <w:tcW w:w="53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hideMark/>
          </w:tcPr>
          <w:p w14:paraId="25D9D1FC" w14:textId="77777777" w:rsidR="00114633" w:rsidRPr="0061292A" w:rsidRDefault="00114633" w:rsidP="001930FE">
            <w:pPr>
              <w:rPr>
                <w:lang w:val="en-US"/>
              </w:rPr>
            </w:pPr>
            <w:r w:rsidRPr="0061292A">
              <w:rPr>
                <w:rFonts w:eastAsia="Calibri"/>
                <w:lang w:val="en-US"/>
              </w:rPr>
              <w:t>Proportion of children aged 2–10 years with detectable P. falciparum parasitaemia; global surfaces at ~5×5 km for 2000–2017, use 2016 for alignment.</w:t>
            </w:r>
          </w:p>
        </w:tc>
      </w:tr>
      <w:tr w:rsidR="00114633" w:rsidRPr="0061292A" w14:paraId="74E2C596" w14:textId="77777777" w:rsidTr="001930FE">
        <w:tc>
          <w:tcPr>
            <w:tcW w:w="2160" w:type="dxa"/>
            <w:tcBorders>
              <w:top w:val="dotted" w:sz="4" w:space="0" w:color="auto"/>
              <w:right w:val="single" w:sz="4" w:space="0" w:color="auto"/>
            </w:tcBorders>
            <w:hideMark/>
          </w:tcPr>
          <w:p w14:paraId="75473355" w14:textId="77777777" w:rsidR="00114633" w:rsidRPr="0061292A" w:rsidRDefault="00114633" w:rsidP="001930FE">
            <w:pPr>
              <w:rPr>
                <w:lang w:val="en-US"/>
              </w:rPr>
            </w:pPr>
            <w:r w:rsidRPr="0061292A">
              <w:rPr>
                <w:rFonts w:eastAsia="Calibri"/>
                <w:lang w:val="en-US"/>
              </w:rPr>
              <w:t>Socioeconomic position and agency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8945CE" w14:textId="77777777" w:rsidR="00114633" w:rsidRPr="0061292A" w:rsidRDefault="00114633" w:rsidP="001930FE">
            <w:pPr>
              <w:rPr>
                <w:lang w:val="en-US"/>
              </w:rPr>
            </w:pPr>
            <w:r w:rsidRPr="0061292A">
              <w:rPr>
                <w:rFonts w:eastAsia="Calibri"/>
                <w:lang w:val="en-US"/>
              </w:rPr>
              <w:t>Children in poorest households</w:t>
            </w:r>
          </w:p>
        </w:tc>
        <w:tc>
          <w:tcPr>
            <w:tcW w:w="5314" w:type="dxa"/>
            <w:tcBorders>
              <w:top w:val="dotted" w:sz="4" w:space="0" w:color="auto"/>
              <w:left w:val="single" w:sz="4" w:space="0" w:color="auto"/>
            </w:tcBorders>
            <w:hideMark/>
          </w:tcPr>
          <w:p w14:paraId="7847C879" w14:textId="77777777" w:rsidR="00114633" w:rsidRPr="0061292A" w:rsidRDefault="00114633" w:rsidP="001930FE">
            <w:pPr>
              <w:rPr>
                <w:lang w:val="en-US"/>
              </w:rPr>
            </w:pPr>
            <w:r w:rsidRPr="0061292A">
              <w:rPr>
                <w:rFonts w:eastAsia="Calibri"/>
                <w:lang w:val="en-US"/>
              </w:rPr>
              <w:t>Proportion of children aged 12–23 months born to the poorest or poorer households per DHS or MICS-NICS classifications, 2016.</w:t>
            </w:r>
          </w:p>
        </w:tc>
      </w:tr>
      <w:tr w:rsidR="00114633" w:rsidRPr="0061292A" w14:paraId="5EFD91F5" w14:textId="77777777" w:rsidTr="001930FE">
        <w:tc>
          <w:tcPr>
            <w:tcW w:w="2160" w:type="dxa"/>
            <w:tcBorders>
              <w:right w:val="single" w:sz="4" w:space="0" w:color="auto"/>
            </w:tcBorders>
            <w:hideMark/>
          </w:tcPr>
          <w:p w14:paraId="3AC3009B" w14:textId="77777777" w:rsidR="00114633" w:rsidRPr="0061292A" w:rsidRDefault="00114633" w:rsidP="001930FE">
            <w:pPr>
              <w:rPr>
                <w:lang w:val="en-US"/>
              </w:rPr>
            </w:pPr>
            <w:r w:rsidRPr="0061292A">
              <w:rPr>
                <w:rFonts w:eastAsia="Calibri"/>
                <w:lang w:val="en-US"/>
              </w:rPr>
              <w:t>Socioeconomic position and agency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5FB108D" w14:textId="77777777" w:rsidR="00114633" w:rsidRPr="0061292A" w:rsidRDefault="00114633" w:rsidP="001930FE">
            <w:pPr>
              <w:rPr>
                <w:lang w:val="en-US"/>
              </w:rPr>
            </w:pPr>
            <w:r w:rsidRPr="0061292A">
              <w:rPr>
                <w:rFonts w:eastAsia="Calibri"/>
                <w:lang w:val="en-US"/>
              </w:rPr>
              <w:t>Mothers with no formal education</w:t>
            </w:r>
          </w:p>
        </w:tc>
        <w:tc>
          <w:tcPr>
            <w:tcW w:w="5314" w:type="dxa"/>
            <w:tcBorders>
              <w:left w:val="single" w:sz="4" w:space="0" w:color="auto"/>
            </w:tcBorders>
            <w:hideMark/>
          </w:tcPr>
          <w:p w14:paraId="6BB6CDAF" w14:textId="77777777" w:rsidR="00114633" w:rsidRPr="0061292A" w:rsidRDefault="00114633" w:rsidP="001930FE">
            <w:pPr>
              <w:rPr>
                <w:lang w:val="en-US"/>
              </w:rPr>
            </w:pPr>
            <w:r w:rsidRPr="0061292A">
              <w:rPr>
                <w:rFonts w:eastAsia="Calibri"/>
                <w:lang w:val="en-US"/>
              </w:rPr>
              <w:t>Proportion of children aged 12–23 months born to mothers who had no formal education, 2016.</w:t>
            </w:r>
          </w:p>
        </w:tc>
      </w:tr>
      <w:tr w:rsidR="00114633" w:rsidRPr="0061292A" w14:paraId="50DD28BF" w14:textId="77777777" w:rsidTr="001930FE">
        <w:tc>
          <w:tcPr>
            <w:tcW w:w="2160" w:type="dxa"/>
            <w:tcBorders>
              <w:right w:val="single" w:sz="4" w:space="0" w:color="auto"/>
            </w:tcBorders>
            <w:hideMark/>
          </w:tcPr>
          <w:p w14:paraId="40D546AF" w14:textId="77777777" w:rsidR="00114633" w:rsidRPr="0061292A" w:rsidRDefault="00114633" w:rsidP="001930FE">
            <w:pPr>
              <w:rPr>
                <w:lang w:val="en-US"/>
              </w:rPr>
            </w:pPr>
            <w:r w:rsidRPr="0061292A">
              <w:rPr>
                <w:rFonts w:eastAsia="Calibri"/>
                <w:lang w:val="en-US"/>
              </w:rPr>
              <w:t>Socioeconomic position and agency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10589E1" w14:textId="77777777" w:rsidR="00114633" w:rsidRPr="0061292A" w:rsidRDefault="00114633" w:rsidP="001930FE">
            <w:pPr>
              <w:rPr>
                <w:lang w:val="en-US"/>
              </w:rPr>
            </w:pPr>
            <w:r w:rsidRPr="0061292A">
              <w:rPr>
                <w:rFonts w:eastAsia="Calibri"/>
                <w:lang w:val="en-US"/>
              </w:rPr>
              <w:t>Large household size, ≥9 members</w:t>
            </w:r>
          </w:p>
        </w:tc>
        <w:tc>
          <w:tcPr>
            <w:tcW w:w="5314" w:type="dxa"/>
            <w:tcBorders>
              <w:left w:val="single" w:sz="4" w:space="0" w:color="auto"/>
            </w:tcBorders>
            <w:hideMark/>
          </w:tcPr>
          <w:p w14:paraId="5C876290" w14:textId="77777777" w:rsidR="00114633" w:rsidRPr="0061292A" w:rsidRDefault="00114633" w:rsidP="001930FE">
            <w:pPr>
              <w:rPr>
                <w:lang w:val="en-US"/>
              </w:rPr>
            </w:pPr>
            <w:r w:rsidRPr="0061292A">
              <w:rPr>
                <w:rFonts w:eastAsia="Calibri"/>
                <w:lang w:val="en-US"/>
              </w:rPr>
              <w:t>Proportion of children aged 12–23 months born to large households, ≥9 members, 2016.</w:t>
            </w:r>
          </w:p>
        </w:tc>
      </w:tr>
      <w:tr w:rsidR="00114633" w:rsidRPr="0061292A" w14:paraId="16BD9D0E" w14:textId="77777777" w:rsidTr="001930FE">
        <w:tc>
          <w:tcPr>
            <w:tcW w:w="2160" w:type="dxa"/>
            <w:tcBorders>
              <w:right w:val="single" w:sz="4" w:space="0" w:color="auto"/>
            </w:tcBorders>
            <w:hideMark/>
          </w:tcPr>
          <w:p w14:paraId="4F70F995" w14:textId="77777777" w:rsidR="00114633" w:rsidRPr="0061292A" w:rsidRDefault="00114633" w:rsidP="001930FE">
            <w:pPr>
              <w:rPr>
                <w:lang w:val="en-US"/>
              </w:rPr>
            </w:pPr>
            <w:r w:rsidRPr="0061292A">
              <w:rPr>
                <w:rFonts w:eastAsia="Calibri"/>
                <w:lang w:val="en-US"/>
              </w:rPr>
              <w:t>Socioeconomic position and agency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C23ACEF" w14:textId="77777777" w:rsidR="00114633" w:rsidRPr="0061292A" w:rsidRDefault="00114633" w:rsidP="001930FE">
            <w:pPr>
              <w:rPr>
                <w:lang w:val="en-US"/>
              </w:rPr>
            </w:pPr>
            <w:r w:rsidRPr="0061292A">
              <w:rPr>
                <w:rFonts w:eastAsia="Calibri"/>
                <w:lang w:val="en-US"/>
              </w:rPr>
              <w:t>Women not participating in household decision-making</w:t>
            </w:r>
          </w:p>
        </w:tc>
        <w:tc>
          <w:tcPr>
            <w:tcW w:w="5314" w:type="dxa"/>
            <w:tcBorders>
              <w:left w:val="single" w:sz="4" w:space="0" w:color="auto"/>
            </w:tcBorders>
            <w:hideMark/>
          </w:tcPr>
          <w:p w14:paraId="3FAE2491" w14:textId="77777777" w:rsidR="00114633" w:rsidRPr="0061292A" w:rsidRDefault="00114633" w:rsidP="001930FE">
            <w:pPr>
              <w:rPr>
                <w:lang w:val="en-US"/>
              </w:rPr>
            </w:pPr>
            <w:r w:rsidRPr="0061292A">
              <w:rPr>
                <w:rFonts w:eastAsia="Calibri"/>
                <w:lang w:val="en-US"/>
              </w:rPr>
              <w:t>Proportion of women aged 15–49 years who did not participate in decision-making in their households, 2016.</w:t>
            </w:r>
          </w:p>
        </w:tc>
      </w:tr>
    </w:tbl>
    <w:p w14:paraId="4C3113D7" w14:textId="3CA59153" w:rsidR="00CA3D8E" w:rsidRPr="00114633" w:rsidRDefault="00CA3D8E" w:rsidP="00114633">
      <w:pPr>
        <w:spacing w:after="160" w:line="480" w:lineRule="auto"/>
        <w:rPr>
          <w:rFonts w:eastAsiaTheme="majorEastAsia"/>
          <w:b/>
          <w:bCs/>
          <w:sz w:val="28"/>
          <w:szCs w:val="32"/>
        </w:rPr>
      </w:pPr>
    </w:p>
    <w:sectPr w:rsidR="00CA3D8E" w:rsidRPr="001146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633"/>
    <w:rsid w:val="0001339C"/>
    <w:rsid w:val="00114633"/>
    <w:rsid w:val="002E4562"/>
    <w:rsid w:val="00442229"/>
    <w:rsid w:val="0045034A"/>
    <w:rsid w:val="005E31E0"/>
    <w:rsid w:val="00C552FC"/>
    <w:rsid w:val="00C9635E"/>
    <w:rsid w:val="00CA3D8E"/>
    <w:rsid w:val="00D26FA4"/>
    <w:rsid w:val="00F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CE0CC9"/>
  <w15:chartTrackingRefBased/>
  <w15:docId w15:val="{009C98EF-BEAB-40B1-98A2-A2BE08AA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633"/>
    <w:pPr>
      <w:spacing w:after="0"/>
    </w:pPr>
    <w:rPr>
      <w:rFonts w:ascii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46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NL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NL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6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NL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6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NL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6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NL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63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NL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63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NL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63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NL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63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NL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6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6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6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6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6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6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6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6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6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6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L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14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63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NL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14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633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val="en-NL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146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4633"/>
    <w:pPr>
      <w:spacing w:after="160"/>
      <w:ind w:left="720"/>
      <w:contextualSpacing/>
    </w:pPr>
    <w:rPr>
      <w:rFonts w:asciiTheme="minorHAnsi" w:hAnsiTheme="minorHAnsi" w:cstheme="minorBidi"/>
      <w:kern w:val="2"/>
      <w:lang w:val="en-NL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146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6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lang w:val="en-NL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6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63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114633"/>
    <w:pPr>
      <w:spacing w:after="0" w:line="240" w:lineRule="auto"/>
    </w:pPr>
    <w:rPr>
      <w:rFonts w:ascii="Cambria" w:eastAsia="MS Mincho" w:hAnsi="Cambria" w:cs="Times New Roman"/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Lubbers</dc:creator>
  <cp:keywords/>
  <dc:description/>
  <cp:lastModifiedBy>Rik Lubbers</cp:lastModifiedBy>
  <cp:revision>2</cp:revision>
  <dcterms:created xsi:type="dcterms:W3CDTF">2025-11-04T10:31:00Z</dcterms:created>
  <dcterms:modified xsi:type="dcterms:W3CDTF">2025-11-06T11:36:00Z</dcterms:modified>
</cp:coreProperties>
</file>