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886"/>
        <w:pBdr/>
        <w:spacing/>
        <w:ind/>
        <w:jc w:val="left"/>
        <w:rPr/>
      </w:pPr>
      <w:r>
        <w:t xml:space="preserve">From East to West: Gendered Patterns of Work and Family Life Courses in </w:t>
      </w:r>
      <w:r>
        <w:t xml:space="preserve">Formerly </w:t>
      </w:r>
      <w:r>
        <w:t xml:space="preserve">Divided </w:t>
      </w:r>
      <w:r>
        <w:t xml:space="preserve">Europe</w:t>
      </w:r>
      <w:r>
        <w:t xml:space="preserve"> </w:t>
      </w:r>
      <w:r/>
    </w:p>
    <w:p>
      <w:pPr>
        <w:pBdr/>
        <w:spacing/>
        <w:ind/>
        <w:rPr>
          <w:rFonts w:ascii="Times New Roman" w:hAnsi="Times New Roman" w:eastAsia="Times New Roman" w:cs="Times New Roman"/>
          <w:highlight w:val="none"/>
          <w:lang w:val="en-GB"/>
        </w:rPr>
      </w:pPr>
      <w:r>
        <w:rPr>
          <w:rFonts w:ascii="Times New Roman" w:hAnsi="Times New Roman" w:eastAsia="Times New Roman" w:cs="Times New Roman"/>
          <w:highlight w:val="none"/>
          <w:lang w:val="en-GB"/>
        </w:rPr>
      </w:r>
      <w:r>
        <w:rPr>
          <w:rFonts w:ascii="Times New Roman" w:hAnsi="Times New Roman" w:eastAsia="Times New Roman" w:cs="Times New Roman"/>
          <w:highlight w:val="none"/>
          <w:lang w:val="en-GB"/>
        </w:rPr>
      </w:r>
      <w:r>
        <w:rPr>
          <w:rFonts w:ascii="Times New Roman" w:hAnsi="Times New Roman" w:eastAsia="Times New Roman" w:cs="Times New Roman"/>
          <w:highlight w:val="none"/>
          <w:lang w:val="en-GB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highlight w:val="none"/>
          <w:lang w:val="en-GB"/>
        </w:rPr>
      </w:pPr>
      <w:r>
        <w:rPr>
          <w:rFonts w:ascii="Times New Roman" w:hAnsi="Times New Roman" w:eastAsia="Times New Roman" w:cs="Times New Roman"/>
          <w:b/>
          <w:bCs/>
          <w:lang w:val="en-GB"/>
        </w:rPr>
        <w:t xml:space="preserve">Appendi</w:t>
      </w:r>
      <w:r>
        <w:rPr>
          <w:rFonts w:ascii="Times New Roman" w:hAnsi="Times New Roman" w:eastAsia="Times New Roman" w:cs="Times New Roman"/>
          <w:b/>
          <w:bCs/>
          <w:lang w:val="en-GB"/>
        </w:rPr>
        <w:t xml:space="preserve">x 3</w:t>
      </w:r>
      <w:r>
        <w:rPr>
          <w:rFonts w:ascii="Times New Roman" w:hAnsi="Times New Roman" w:eastAsia="Times New Roman" w:cs="Times New Roman"/>
          <w:lang w:val="en-GB"/>
        </w:rPr>
        <w:t xml:space="preserve">. Description of the country-sex samples</w:t>
      </w:r>
      <w:r>
        <w:rPr>
          <w:rFonts w:ascii="Times New Roman" w:hAnsi="Times New Roman" w:eastAsia="Times New Roman" w:cs="Times New Roman"/>
          <w:highlight w:val="none"/>
          <w:lang w:val="en-GB"/>
        </w:rPr>
      </w:r>
      <w:r>
        <w:rPr>
          <w:rFonts w:ascii="Times New Roman" w:hAnsi="Times New Roman" w:eastAsia="Times New Roman" w:cs="Times New Roman"/>
          <w:highlight w:val="none"/>
          <w:lang w:val="en-GB"/>
        </w:rPr>
      </w:r>
    </w:p>
    <w:tbl>
      <w:tblPr>
        <w:tblStyle w:val="697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1417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5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5"/>
      </w:tblGrid>
      <w:tr>
        <w:trPr>
          <w:trHeight w:val="217"/>
        </w:trPr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</w:tc>
        <w:tc>
          <w:tcPr>
            <w:gridSpan w:val="10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2" w:type="dxa"/>
            <w:textDirection w:val="lrTb"/>
            <w:noWrap w:val="false"/>
          </w:tcPr>
          <w:p>
            <w:pPr>
              <w:pBdr/>
              <w:tabs>
                <w:tab w:val="center" w:leader="none" w:pos="3045"/>
              </w:tabs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                             Men</w:t>
              <w:tab/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</w:tc>
        <w:tc>
          <w:tcPr>
            <w:gridSpan w:val="10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2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GB"/>
              </w:rPr>
              <w:t xml:space="preserve">Women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41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346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GB"/>
              </w:rPr>
              <w:t xml:space="preserve">French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346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GB"/>
              </w:rPr>
              <w:t xml:space="preserve">West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GB"/>
              </w:rPr>
              <w:t xml:space="preserve">German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346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GB"/>
              </w:rPr>
              <w:t xml:space="preserve">East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GB"/>
              </w:rPr>
              <w:t xml:space="preserve">German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346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GB"/>
              </w:rPr>
              <w:t xml:space="preserve">Czech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348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GB"/>
              </w:rPr>
              <w:t xml:space="preserve">Polish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346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GB"/>
              </w:rPr>
              <w:t xml:space="preserve">French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346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GB"/>
              </w:rPr>
              <w:t xml:space="preserve">West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GB"/>
              </w:rPr>
              <w:t xml:space="preserve">German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346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GB"/>
              </w:rPr>
              <w:t xml:space="preserve">East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GB"/>
              </w:rPr>
              <w:t xml:space="preserve">German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346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GB"/>
              </w:rPr>
              <w:t xml:space="preserve">Czech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348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GB"/>
              </w:rPr>
              <w:t xml:space="preserve">Polish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530"/>
              </w:tabs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Age, </w:t>
            </w:r>
            <w:r>
              <w:rPr>
                <w:rFonts w:ascii="Times New Roman" w:hAnsi="Times New Roman" w:eastAsia="Times New Roman" w:cs="Times New Roman"/>
                <w:i/>
                <w:iCs/>
                <w:sz w:val="18"/>
                <w:szCs w:val="18"/>
                <w:lang w:val="en-GB"/>
              </w:rPr>
              <w:t xml:space="preserve">M</w:t>
            </w:r>
            <w:r>
              <w:rPr>
                <w:rFonts w:ascii="Times New Roman" w:hAnsi="Times New Roman" w:eastAsia="Times New Roman" w:cs="Times New Roman"/>
                <w:i w:val="0"/>
                <w:iCs w:val="0"/>
                <w:sz w:val="18"/>
                <w:szCs w:val="18"/>
                <w:lang w:val="en-GB"/>
              </w:rPr>
              <w:t xml:space="preserve">(</w:t>
            </w:r>
            <w:r>
              <w:rPr>
                <w:rFonts w:ascii="Times New Roman" w:hAnsi="Times New Roman" w:eastAsia="Times New Roman" w:cs="Times New Roman"/>
                <w:i/>
                <w:iCs/>
                <w:sz w:val="18"/>
                <w:szCs w:val="18"/>
                <w:lang w:val="en-GB"/>
              </w:rPr>
              <w:t xml:space="preserve">SD</w:t>
            </w:r>
            <w:r>
              <w:rPr>
                <w:rFonts w:ascii="Times New Roman" w:hAnsi="Times New Roman" w:eastAsia="Times New Roman" w:cs="Times New Roman"/>
                <w:i w:val="0"/>
                <w:iCs w:val="0"/>
                <w:sz w:val="18"/>
                <w:szCs w:val="18"/>
                <w:lang w:val="en-GB"/>
              </w:rPr>
              <w:t xml:space="preserve">)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ab/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68.16 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8.46  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lang w:val="en-GB"/>
              </w:rPr>
              <w:t xml:space="preserve">69.57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7.54  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lang w:val="en-GB"/>
              </w:rPr>
              <w:t xml:space="preserve">68.69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7.51  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69.47 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7.96  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67.67 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8.01  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68.88 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8.76  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68.49 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8.04  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68.56 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lang w:val="en-GB"/>
              </w:rPr>
              <w:t xml:space="preserve">7.95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lang w:val="en-GB"/>
              </w:rPr>
              <w:t xml:space="preserve">69.30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7.73  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lang w:val="en-GB"/>
              </w:rPr>
              <w:t xml:space="preserve">67.90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lang w:val="en-GB"/>
              </w:rPr>
              <w:t xml:space="preserve">8.39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Education years, </w:t>
            </w:r>
            <w:r>
              <w:rPr>
                <w:rFonts w:ascii="Times New Roman" w:hAnsi="Times New Roman" w:eastAsia="Times New Roman" w:cs="Times New Roman"/>
                <w:i/>
                <w:iCs/>
                <w:sz w:val="18"/>
                <w:szCs w:val="18"/>
                <w:lang w:val="en-GB"/>
              </w:rPr>
              <w:t xml:space="preserve">M</w:t>
            </w:r>
            <w:r>
              <w:rPr>
                <w:rFonts w:ascii="Times New Roman" w:hAnsi="Times New Roman" w:eastAsia="Times New Roman" w:cs="Times New Roman"/>
                <w:i w:val="0"/>
                <w:iCs w:val="0"/>
                <w:sz w:val="18"/>
                <w:szCs w:val="18"/>
                <w:lang w:val="en-GB"/>
              </w:rPr>
              <w:t xml:space="preserve">(</w:t>
            </w:r>
            <w:r>
              <w:rPr>
                <w:rFonts w:ascii="Times New Roman" w:hAnsi="Times New Roman" w:eastAsia="Times New Roman" w:cs="Times New Roman"/>
                <w:i/>
                <w:iCs/>
                <w:sz w:val="18"/>
                <w:szCs w:val="18"/>
                <w:lang w:val="en-GB"/>
              </w:rPr>
              <w:t xml:space="preserve">SD</w:t>
            </w:r>
            <w:r>
              <w:rPr>
                <w:rFonts w:ascii="Times New Roman" w:hAnsi="Times New Roman" w:eastAsia="Times New Roman" w:cs="Times New Roman"/>
                <w:i w:val="0"/>
                <w:iCs w:val="0"/>
                <w:sz w:val="18"/>
                <w:szCs w:val="18"/>
                <w:lang w:val="en-GB"/>
              </w:rPr>
              <w:t xml:space="preserve">)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lang w:val="en-GB"/>
              </w:rPr>
              <w:t xml:space="preserve">11.82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4.04  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13.39  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3.71  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13.38  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3.23  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12.83  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3.30  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9.98  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3.09  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11.29  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3.53  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11.83 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3.33  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12.18  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2.93  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11.68  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2.98  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9.51  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  <w:highlight w:val="white"/>
                <w:lang w:val="en-GB"/>
              </w:rPr>
              <w:t xml:space="preserve">3.17  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Self-related health, </w:t>
            </w:r>
            <w:r>
              <w:rPr>
                <w:rFonts w:ascii="Times New Roman" w:hAnsi="Times New Roman" w:eastAsia="Times New Roman" w:cs="Times New Roman"/>
                <w:i/>
                <w:iCs/>
                <w:sz w:val="18"/>
                <w:szCs w:val="18"/>
                <w:lang w:val="en-GB"/>
              </w:rPr>
              <w:t xml:space="preserve">M</w:t>
            </w:r>
            <w:r>
              <w:rPr>
                <w:rFonts w:ascii="Times New Roman" w:hAnsi="Times New Roman" w:eastAsia="Times New Roman" w:cs="Times New Roman"/>
                <w:i w:val="0"/>
                <w:iCs w:val="0"/>
                <w:sz w:val="18"/>
                <w:szCs w:val="18"/>
                <w:lang w:val="en-GB"/>
              </w:rPr>
              <w:t xml:space="preserve">(</w:t>
            </w:r>
            <w:r>
              <w:rPr>
                <w:rFonts w:ascii="Times New Roman" w:hAnsi="Times New Roman" w:eastAsia="Times New Roman" w:cs="Times New Roman"/>
                <w:i/>
                <w:iCs/>
                <w:sz w:val="18"/>
                <w:szCs w:val="18"/>
                <w:lang w:val="en-GB"/>
              </w:rPr>
              <w:t xml:space="preserve">SD</w:t>
            </w:r>
            <w:r>
              <w:rPr>
                <w:rFonts w:ascii="Times New Roman" w:hAnsi="Times New Roman" w:eastAsia="Times New Roman" w:cs="Times New Roman"/>
                <w:i w:val="0"/>
                <w:iCs w:val="0"/>
                <w:sz w:val="18"/>
                <w:szCs w:val="18"/>
                <w:lang w:val="en-GB"/>
              </w:rPr>
              <w:t xml:space="preserve">)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2.73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1.02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2.69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1.02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2.43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.92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2.62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.90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2.24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.94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2.63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1.00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2.66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.97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2.46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.88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2.65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.89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2.12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.92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Quality of life, </w:t>
            </w:r>
            <w:r>
              <w:rPr>
                <w:rFonts w:ascii="Times New Roman" w:hAnsi="Times New Roman" w:eastAsia="Times New Roman" w:cs="Times New Roman"/>
                <w:i/>
                <w:iCs/>
                <w:sz w:val="18"/>
                <w:szCs w:val="18"/>
                <w:lang w:val="en-GB"/>
              </w:rPr>
              <w:t xml:space="preserve"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(</w:t>
            </w:r>
            <w:r>
              <w:rPr>
                <w:rFonts w:ascii="Times New Roman" w:hAnsi="Times New Roman" w:eastAsia="Times New Roman" w:cs="Times New Roman"/>
                <w:i/>
                <w:iCs/>
                <w:sz w:val="18"/>
                <w:szCs w:val="18"/>
                <w:lang w:val="en-GB"/>
              </w:rPr>
              <w:t xml:space="preserve">SD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)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38.2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5.82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39.6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5.41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38.9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5.60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35.3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5.48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36.6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6.76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37.3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5.97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39.3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5.49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38.6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5.36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34.9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5.66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35.5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6.96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Subjective household income, </w:t>
            </w:r>
            <w:r>
              <w:rPr>
                <w:rFonts w:ascii="Times New Roman" w:hAnsi="Times New Roman" w:eastAsia="Times New Roman" w:cs="Times New Roman"/>
                <w:i/>
                <w:iCs/>
                <w:sz w:val="18"/>
                <w:szCs w:val="18"/>
                <w:lang w:val="en-GB"/>
              </w:rPr>
              <w:t xml:space="preserve"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(</w:t>
            </w:r>
            <w:r>
              <w:rPr>
                <w:rFonts w:ascii="Times New Roman" w:hAnsi="Times New Roman" w:eastAsia="Times New Roman" w:cs="Times New Roman"/>
                <w:i/>
                <w:iCs/>
                <w:sz w:val="18"/>
                <w:szCs w:val="18"/>
                <w:lang w:val="en-GB"/>
              </w:rPr>
              <w:t xml:space="preserve">SD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)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3.11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.88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3.45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.74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3.21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.78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3.07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2.44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.91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2.98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.93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3.41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3.24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2.96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.91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2.38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.90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Marital status, </w:t>
            </w:r>
            <w:r>
              <w:rPr>
                <w:rFonts w:ascii="Times New Roman" w:hAnsi="Times New Roman" w:eastAsia="Times New Roman" w:cs="Times New Roman"/>
                <w:i/>
                <w:iCs/>
                <w:sz w:val="18"/>
                <w:szCs w:val="18"/>
                <w:lang w:val="en-GB"/>
              </w:rPr>
              <w:t xml:space="preserve">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(%)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18 years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Not married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1448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99.5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1225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99.6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345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98.6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1651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98.1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1573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98.9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1697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91.4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1153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92.0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381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92.7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2065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89.2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1617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89.1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Married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159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100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8.0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7.3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249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10.8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198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10.9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30 years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Not married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303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20.8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292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23.7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16.3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234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13.9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230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14.5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255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13.7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155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12.4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10.5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217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125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Married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1152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79.2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938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76.3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293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83.7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1449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86.1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1360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85.5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1601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86.3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1098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87.6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368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89.5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2097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90.6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1690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93.1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Children, </w:t>
            </w:r>
            <w:r>
              <w:rPr>
                <w:rFonts w:ascii="Times New Roman" w:hAnsi="Times New Roman" w:eastAsia="Times New Roman" w:cs="Times New Roman"/>
                <w:i/>
                <w:iCs/>
                <w:sz w:val="18"/>
                <w:szCs w:val="18"/>
                <w:lang w:val="en-GB"/>
              </w:rPr>
              <w:t xml:space="preserve">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(%)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18 years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none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1448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99.5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1227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99.8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346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98.9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1668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99.1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1584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99.6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1776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95.7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1190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95.0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385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3.7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2209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95.5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1733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95.5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one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72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74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two plus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30 years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none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440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30.2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481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39.1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73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20.9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317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18.8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350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22.0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346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18.6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252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20.1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10.2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222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190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10.5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one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407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28.0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399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32.4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132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37.7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475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28.2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436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27.4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453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24.4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370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29.5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130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31.6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534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23.1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396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21.8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two plus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608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41.8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350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28.5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145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41.4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891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52.9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804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50.6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1057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57.0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631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50.4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239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58.2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1558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67.3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1229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67.7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Work, </w:t>
            </w:r>
            <w:r>
              <w:rPr>
                <w:rFonts w:ascii="Times New Roman" w:hAnsi="Times New Roman" w:eastAsia="Times New Roman" w:cs="Times New Roman"/>
                <w:i/>
                <w:iCs/>
                <w:sz w:val="18"/>
                <w:szCs w:val="18"/>
                <w:lang w:val="en-GB"/>
              </w:rPr>
              <w:t xml:space="preserve">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(%)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18 years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other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604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41.5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561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45.6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165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47.1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699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41.5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573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36.0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710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38.3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427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34.1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158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38.4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693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29.9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633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34.9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work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838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57.6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668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54.3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183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52.3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979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58.2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919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57.8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997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53.7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767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61.2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248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60.3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1569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67.8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796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43.9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none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6.2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149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8.0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4.7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1.2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386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21.3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30 years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other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1.0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3.7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,6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work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1423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97.8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1174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95.4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344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98.3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1664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98.9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1536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96.6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1197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64.5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682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54.4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357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86.9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2171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93.8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1385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76.3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  <w:tr>
        <w:trPr>
          <w:trHeight w:val="207"/>
        </w:trPr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   none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1.2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.3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.5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30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1.9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578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31.1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527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42.1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48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11.7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132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5.7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392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7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val="en-GB"/>
              </w:rPr>
              <w:t xml:space="preserve">21.6</w:t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val="en-GB"/>
              </w:rPr>
            </w:r>
          </w:p>
        </w:tc>
      </w:tr>
    </w:tbl>
    <w:p>
      <w:pPr>
        <w:pBdr/>
        <w:spacing/>
        <w:ind/>
        <w:rPr/>
      </w:pPr>
      <w:r/>
      <w:r/>
    </w:p>
    <w:sectPr>
      <w:headerReference w:type="default" r:id="rId8"/>
      <w:footnotePr/>
      <w:endnotePr/>
      <w:type w:val="nextPage"/>
      <w:pgSz w:h="11906" w:orient="landscape" w:w="16838"/>
      <w:pgMar w:top="1276" w:right="1134" w:bottom="850" w:left="1134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86"/>
      <w:pBdr/>
      <w:spacing/>
      <w:ind/>
      <w:jc w:val="left"/>
      <w:rPr>
        <w:b w:val="0"/>
        <w:bCs w:val="0"/>
        <w:i/>
        <w:iCs/>
      </w:rPr>
    </w:pPr>
    <w:r>
      <w:rPr>
        <w:b w:val="0"/>
        <w:bCs w:val="0"/>
        <w:i/>
        <w:iCs/>
      </w:rPr>
      <w:t xml:space="preserve">RUNNING TITLE: Work and Family Life Courses in Divided Europe </w:t>
    </w:r>
    <w:r/>
    <w:r>
      <w:rPr>
        <w:b w:val="0"/>
        <w:bCs w:val="0"/>
        <w:i/>
        <w:iCs/>
      </w:rPr>
    </w:r>
    <w:r/>
    <w:r/>
    <w:r>
      <w:rPr>
        <w:b w:val="0"/>
        <w:bCs w:val="0"/>
        <w:i/>
        <w:iCs/>
      </w:rPr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de-DE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697">
    <w:name w:val="Table Grid"/>
    <w:basedOn w:val="88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8">
    <w:name w:val="Table Grid Light"/>
    <w:basedOn w:val="88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9">
    <w:name w:val="Plain Table 1"/>
    <w:basedOn w:val="88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0">
    <w:name w:val="Plain Table 2"/>
    <w:basedOn w:val="88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1">
    <w:name w:val="Plain Table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Plain Table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Plain Table 5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Grid Table 1 Light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Grid Table 1 Light - Accent 1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Grid Table 1 Light - Accent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1 Light - Accent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 - Accent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5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1 Light - Accent 6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2 - Accent 1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2 - Accent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2 - Accent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 - Accent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5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2 - Accent 6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3 - Accent 1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3 - Accent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3 - Accent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 - Accent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5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3 - Accent 6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4"/>
    <w:basedOn w:val="88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4 - Accent 1"/>
    <w:basedOn w:val="88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4 - Accent 2"/>
    <w:basedOn w:val="88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4 - Accent 3"/>
    <w:basedOn w:val="88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 - Accent 4"/>
    <w:basedOn w:val="88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5"/>
    <w:basedOn w:val="88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4 - Accent 6"/>
    <w:basedOn w:val="88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5 Dark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5 Dark- Accent 1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5 Dark - Accent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5 Dark - Accent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- Accent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 - Accent 5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5 Dark - Accent 6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6 Colorful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6 Colorful - Accent 1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6 Colorful - Accent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6 Colorful - Accent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 - Accent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5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6 Colorful - Accent 6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7 Colorful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7 Colorful - Accent 1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7 Colorful - Accent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7 Colorful - Accent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 - Accent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5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7 Colorful - Accent 6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List Table 1 Light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List Table 1 Light - Accent 1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List Table 1 Light - Accent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1 Light - Accent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 - Accent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5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1 Light - Accent 6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2 - Accent 1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2 - Accent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2 - Accent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 - Accent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5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2 - Accent 6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3 - Accent 1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3 - Accent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3 - Accent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 - Accent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5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3 - Accent 6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4 - Accent 1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4 - Accent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4 - Accent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 - Accent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5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4 - Accent 6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5 Dark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5 Dark - Accent 1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5 Dark - Accent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5 Dark - Accent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 - Accent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5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5 Dark - Accent 6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6 Colorful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6 Colorful - Accent 1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6 Colorful - Accent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6 Colorful - Accent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 - Accent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5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6 Colorful - Accent 6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7 Colorful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7 Colorful - Accent 1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7 Colorful - Accent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7 Colorful - Accent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 - Accent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5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7 Colorful - Accent 6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ned - Accent"/>
    <w:basedOn w:val="88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ned - Accent 1"/>
    <w:basedOn w:val="88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ned - Accent 2"/>
    <w:basedOn w:val="88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ned - Accent 3"/>
    <w:basedOn w:val="88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 4"/>
    <w:basedOn w:val="88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5"/>
    <w:basedOn w:val="88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ned - Accent 6"/>
    <w:basedOn w:val="88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Bordered &amp; Lined - Accent"/>
    <w:basedOn w:val="88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Bordered &amp; Lined - Accent 1"/>
    <w:basedOn w:val="88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Bordered &amp; Lined - Accent 2"/>
    <w:basedOn w:val="88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Bordered &amp; Lined - Accent 3"/>
    <w:basedOn w:val="88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 4"/>
    <w:basedOn w:val="88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5"/>
    <w:basedOn w:val="88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 &amp; Lined - Accent 6"/>
    <w:basedOn w:val="88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- Accent 1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- Accent 2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- Accent 3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 - Accent 4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5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- Accent 6"/>
    <w:basedOn w:val="88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23">
    <w:name w:val="Heading 1"/>
    <w:basedOn w:val="881"/>
    <w:next w:val="881"/>
    <w:link w:val="833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24">
    <w:name w:val="Heading 2"/>
    <w:basedOn w:val="881"/>
    <w:next w:val="881"/>
    <w:link w:val="834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25">
    <w:name w:val="Heading 3"/>
    <w:basedOn w:val="881"/>
    <w:next w:val="881"/>
    <w:link w:val="835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26">
    <w:name w:val="Heading 4"/>
    <w:basedOn w:val="881"/>
    <w:next w:val="881"/>
    <w:link w:val="836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27">
    <w:name w:val="Heading 5"/>
    <w:basedOn w:val="881"/>
    <w:next w:val="881"/>
    <w:link w:val="837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28">
    <w:name w:val="Heading 6"/>
    <w:basedOn w:val="881"/>
    <w:next w:val="881"/>
    <w:link w:val="838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29">
    <w:name w:val="Heading 7"/>
    <w:basedOn w:val="881"/>
    <w:next w:val="881"/>
    <w:link w:val="839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30">
    <w:name w:val="Heading 8"/>
    <w:basedOn w:val="881"/>
    <w:next w:val="881"/>
    <w:link w:val="840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31">
    <w:name w:val="Heading 9"/>
    <w:basedOn w:val="881"/>
    <w:next w:val="881"/>
    <w:link w:val="841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32" w:default="1">
    <w:name w:val="Default Paragraph Font"/>
    <w:uiPriority w:val="1"/>
    <w:semiHidden/>
    <w:unhideWhenUsed/>
    <w:pPr>
      <w:pBdr/>
      <w:spacing/>
      <w:ind/>
    </w:pPr>
  </w:style>
  <w:style w:type="character" w:styleId="833">
    <w:name w:val="Heading 1 Char"/>
    <w:basedOn w:val="832"/>
    <w:link w:val="82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34">
    <w:name w:val="Heading 2 Char"/>
    <w:basedOn w:val="832"/>
    <w:link w:val="82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35">
    <w:name w:val="Heading 3 Char"/>
    <w:basedOn w:val="832"/>
    <w:link w:val="82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36">
    <w:name w:val="Heading 4 Char"/>
    <w:basedOn w:val="832"/>
    <w:link w:val="826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37">
    <w:name w:val="Heading 5 Char"/>
    <w:basedOn w:val="832"/>
    <w:link w:val="82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38">
    <w:name w:val="Heading 6 Char"/>
    <w:basedOn w:val="832"/>
    <w:link w:val="828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39">
    <w:name w:val="Heading 7 Char"/>
    <w:basedOn w:val="832"/>
    <w:link w:val="829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40">
    <w:name w:val="Heading 8 Char"/>
    <w:basedOn w:val="832"/>
    <w:link w:val="830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41">
    <w:name w:val="Heading 9 Char"/>
    <w:basedOn w:val="832"/>
    <w:link w:val="831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42">
    <w:name w:val="Title"/>
    <w:basedOn w:val="881"/>
    <w:next w:val="881"/>
    <w:link w:val="843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43">
    <w:name w:val="Title Char"/>
    <w:basedOn w:val="832"/>
    <w:link w:val="842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44">
    <w:name w:val="Subtitle"/>
    <w:basedOn w:val="881"/>
    <w:next w:val="881"/>
    <w:link w:val="845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45">
    <w:name w:val="Subtitle Char"/>
    <w:basedOn w:val="832"/>
    <w:link w:val="844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46">
    <w:name w:val="Quote"/>
    <w:basedOn w:val="881"/>
    <w:next w:val="881"/>
    <w:link w:val="847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47">
    <w:name w:val="Quote Char"/>
    <w:basedOn w:val="832"/>
    <w:link w:val="846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48">
    <w:name w:val="Intense Emphasis"/>
    <w:basedOn w:val="832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49">
    <w:name w:val="Intense Quote"/>
    <w:basedOn w:val="881"/>
    <w:next w:val="881"/>
    <w:link w:val="850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50">
    <w:name w:val="Intense Quote Char"/>
    <w:basedOn w:val="832"/>
    <w:link w:val="849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51">
    <w:name w:val="Intense Reference"/>
    <w:basedOn w:val="832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52">
    <w:name w:val="Subtle Emphasis"/>
    <w:basedOn w:val="832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53">
    <w:name w:val="Emphasis"/>
    <w:basedOn w:val="832"/>
    <w:uiPriority w:val="20"/>
    <w:qFormat/>
    <w:pPr>
      <w:pBdr/>
      <w:spacing/>
      <w:ind/>
    </w:pPr>
    <w:rPr>
      <w:i/>
      <w:iCs/>
    </w:rPr>
  </w:style>
  <w:style w:type="character" w:styleId="854">
    <w:name w:val="Strong"/>
    <w:basedOn w:val="832"/>
    <w:uiPriority w:val="22"/>
    <w:qFormat/>
    <w:pPr>
      <w:pBdr/>
      <w:spacing/>
      <w:ind/>
    </w:pPr>
    <w:rPr>
      <w:b/>
      <w:bCs/>
    </w:rPr>
  </w:style>
  <w:style w:type="character" w:styleId="855">
    <w:name w:val="Subtle Reference"/>
    <w:basedOn w:val="832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56">
    <w:name w:val="Book Title"/>
    <w:basedOn w:val="832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57">
    <w:name w:val="Header"/>
    <w:basedOn w:val="881"/>
    <w:link w:val="85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58">
    <w:name w:val="Header Char"/>
    <w:basedOn w:val="832"/>
    <w:link w:val="857"/>
    <w:uiPriority w:val="99"/>
    <w:pPr>
      <w:pBdr/>
      <w:spacing/>
      <w:ind/>
    </w:pPr>
  </w:style>
  <w:style w:type="paragraph" w:styleId="859">
    <w:name w:val="Footer"/>
    <w:basedOn w:val="881"/>
    <w:link w:val="860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0">
    <w:name w:val="Footer Char"/>
    <w:basedOn w:val="832"/>
    <w:link w:val="859"/>
    <w:uiPriority w:val="99"/>
    <w:pPr>
      <w:pBdr/>
      <w:spacing/>
      <w:ind/>
    </w:pPr>
  </w:style>
  <w:style w:type="paragraph" w:styleId="861">
    <w:name w:val="Caption"/>
    <w:basedOn w:val="881"/>
    <w:next w:val="881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62">
    <w:name w:val="footnote text"/>
    <w:basedOn w:val="881"/>
    <w:link w:val="863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63">
    <w:name w:val="Footnote Text Char"/>
    <w:basedOn w:val="832"/>
    <w:link w:val="862"/>
    <w:uiPriority w:val="99"/>
    <w:semiHidden/>
    <w:pPr>
      <w:pBdr/>
      <w:spacing/>
      <w:ind/>
    </w:pPr>
    <w:rPr>
      <w:sz w:val="20"/>
      <w:szCs w:val="20"/>
    </w:rPr>
  </w:style>
  <w:style w:type="character" w:styleId="864">
    <w:name w:val="footnote reference"/>
    <w:basedOn w:val="832"/>
    <w:uiPriority w:val="99"/>
    <w:semiHidden/>
    <w:unhideWhenUsed/>
    <w:pPr>
      <w:pBdr/>
      <w:spacing/>
      <w:ind/>
    </w:pPr>
    <w:rPr>
      <w:vertAlign w:val="superscript"/>
    </w:rPr>
  </w:style>
  <w:style w:type="paragraph" w:styleId="865">
    <w:name w:val="endnote text"/>
    <w:basedOn w:val="881"/>
    <w:link w:val="866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66">
    <w:name w:val="Endnote Text Char"/>
    <w:basedOn w:val="832"/>
    <w:link w:val="865"/>
    <w:uiPriority w:val="99"/>
    <w:semiHidden/>
    <w:pPr>
      <w:pBdr/>
      <w:spacing/>
      <w:ind/>
    </w:pPr>
    <w:rPr>
      <w:sz w:val="20"/>
      <w:szCs w:val="20"/>
    </w:rPr>
  </w:style>
  <w:style w:type="character" w:styleId="867">
    <w:name w:val="endnote reference"/>
    <w:basedOn w:val="832"/>
    <w:uiPriority w:val="99"/>
    <w:semiHidden/>
    <w:unhideWhenUsed/>
    <w:pPr>
      <w:pBdr/>
      <w:spacing/>
      <w:ind/>
    </w:pPr>
    <w:rPr>
      <w:vertAlign w:val="superscript"/>
    </w:rPr>
  </w:style>
  <w:style w:type="character" w:styleId="868">
    <w:name w:val="Hyperlink"/>
    <w:basedOn w:val="832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69">
    <w:name w:val="FollowedHyperlink"/>
    <w:basedOn w:val="832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70">
    <w:name w:val="toc 1"/>
    <w:basedOn w:val="881"/>
    <w:next w:val="881"/>
    <w:uiPriority w:val="39"/>
    <w:unhideWhenUsed/>
    <w:pPr>
      <w:pBdr/>
      <w:spacing w:after="100"/>
      <w:ind/>
    </w:pPr>
  </w:style>
  <w:style w:type="paragraph" w:styleId="871">
    <w:name w:val="toc 2"/>
    <w:basedOn w:val="881"/>
    <w:next w:val="881"/>
    <w:uiPriority w:val="39"/>
    <w:unhideWhenUsed/>
    <w:pPr>
      <w:pBdr/>
      <w:spacing w:after="100"/>
      <w:ind w:left="220"/>
    </w:pPr>
  </w:style>
  <w:style w:type="paragraph" w:styleId="872">
    <w:name w:val="toc 3"/>
    <w:basedOn w:val="881"/>
    <w:next w:val="881"/>
    <w:uiPriority w:val="39"/>
    <w:unhideWhenUsed/>
    <w:pPr>
      <w:pBdr/>
      <w:spacing w:after="100"/>
      <w:ind w:left="440"/>
    </w:pPr>
  </w:style>
  <w:style w:type="paragraph" w:styleId="873">
    <w:name w:val="toc 4"/>
    <w:basedOn w:val="881"/>
    <w:next w:val="881"/>
    <w:uiPriority w:val="39"/>
    <w:unhideWhenUsed/>
    <w:pPr>
      <w:pBdr/>
      <w:spacing w:after="100"/>
      <w:ind w:left="660"/>
    </w:pPr>
  </w:style>
  <w:style w:type="paragraph" w:styleId="874">
    <w:name w:val="toc 5"/>
    <w:basedOn w:val="881"/>
    <w:next w:val="881"/>
    <w:uiPriority w:val="39"/>
    <w:unhideWhenUsed/>
    <w:pPr>
      <w:pBdr/>
      <w:spacing w:after="100"/>
      <w:ind w:left="880"/>
    </w:pPr>
  </w:style>
  <w:style w:type="paragraph" w:styleId="875">
    <w:name w:val="toc 6"/>
    <w:basedOn w:val="881"/>
    <w:next w:val="881"/>
    <w:uiPriority w:val="39"/>
    <w:unhideWhenUsed/>
    <w:pPr>
      <w:pBdr/>
      <w:spacing w:after="100"/>
      <w:ind w:left="1100"/>
    </w:pPr>
  </w:style>
  <w:style w:type="paragraph" w:styleId="876">
    <w:name w:val="toc 7"/>
    <w:basedOn w:val="881"/>
    <w:next w:val="881"/>
    <w:uiPriority w:val="39"/>
    <w:unhideWhenUsed/>
    <w:pPr>
      <w:pBdr/>
      <w:spacing w:after="100"/>
      <w:ind w:left="1320"/>
    </w:pPr>
  </w:style>
  <w:style w:type="paragraph" w:styleId="877">
    <w:name w:val="toc 8"/>
    <w:basedOn w:val="881"/>
    <w:next w:val="881"/>
    <w:uiPriority w:val="39"/>
    <w:unhideWhenUsed/>
    <w:pPr>
      <w:pBdr/>
      <w:spacing w:after="100"/>
      <w:ind w:left="1540"/>
    </w:pPr>
  </w:style>
  <w:style w:type="paragraph" w:styleId="878">
    <w:name w:val="toc 9"/>
    <w:basedOn w:val="881"/>
    <w:next w:val="881"/>
    <w:uiPriority w:val="39"/>
    <w:unhideWhenUsed/>
    <w:pPr>
      <w:pBdr/>
      <w:spacing w:after="100"/>
      <w:ind w:left="1760"/>
    </w:pPr>
  </w:style>
  <w:style w:type="paragraph" w:styleId="879">
    <w:name w:val="TOC Heading"/>
    <w:uiPriority w:val="39"/>
    <w:unhideWhenUsed/>
    <w:pPr>
      <w:pBdr/>
      <w:spacing/>
      <w:ind/>
    </w:pPr>
  </w:style>
  <w:style w:type="paragraph" w:styleId="880">
    <w:name w:val="table of figures"/>
    <w:basedOn w:val="881"/>
    <w:next w:val="881"/>
    <w:uiPriority w:val="99"/>
    <w:unhideWhenUsed/>
    <w:pPr>
      <w:pBdr/>
      <w:spacing w:after="0" w:afterAutospacing="0"/>
      <w:ind/>
    </w:pPr>
  </w:style>
  <w:style w:type="paragraph" w:styleId="881" w:default="1">
    <w:name w:val="Normal"/>
    <w:qFormat/>
    <w:pPr>
      <w:pBdr/>
      <w:spacing/>
      <w:ind/>
    </w:pPr>
  </w:style>
  <w:style w:type="table" w:styleId="882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83" w:default="1">
    <w:name w:val="No List"/>
    <w:uiPriority w:val="99"/>
    <w:semiHidden/>
    <w:unhideWhenUsed/>
    <w:pPr>
      <w:pBdr/>
      <w:spacing/>
      <w:ind/>
    </w:pPr>
  </w:style>
  <w:style w:type="paragraph" w:styleId="884">
    <w:name w:val="No Spacing"/>
    <w:basedOn w:val="881"/>
    <w:uiPriority w:val="1"/>
    <w:qFormat/>
    <w:pPr>
      <w:pBdr/>
      <w:spacing w:after="0" w:line="240" w:lineRule="auto"/>
      <w:ind/>
    </w:pPr>
  </w:style>
  <w:style w:type="paragraph" w:styleId="885">
    <w:name w:val="List Paragraph"/>
    <w:basedOn w:val="881"/>
    <w:uiPriority w:val="34"/>
    <w:qFormat/>
    <w:pPr>
      <w:pBdr/>
      <w:spacing/>
      <w:ind w:left="720"/>
      <w:contextualSpacing w:val="true"/>
    </w:pPr>
  </w:style>
  <w:style w:type="paragraph" w:styleId="886" w:customStyle="1">
    <w:name w:val="Formatvorlage4"/>
    <w:qFormat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bidi w:val="false"/>
      <w:spacing w:after="0" w:afterAutospacing="0" w:before="0" w:beforeAutospacing="0" w:line="240" w:lineRule="auto"/>
      <w:ind w:right="0" w:firstLine="0" w:left="0"/>
      <w:contextualSpacing w:val="false"/>
      <w:jc w:val="center"/>
      <w:outlineLvl w:val="0"/>
    </w:pPr>
    <w:rPr>
      <w:rFonts w:ascii="Times New Roman" w:hAnsi="Times New Roman" w:eastAsia="Times New Roman" w:cs="Times New Roman"/>
      <w:b/>
      <w:bCs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en-GB" w:eastAsia="en-GB" w:bidi="ar-SA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ONLYOFFICE/8.3.0.94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Cheyenne Kuhn</cp:lastModifiedBy>
  <cp:revision>2</cp:revision>
  <dcterms:modified xsi:type="dcterms:W3CDTF">2025-05-01T16:36:35Z</dcterms:modified>
</cp:coreProperties>
</file>