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16686" w14:textId="77777777" w:rsidR="003A1719" w:rsidRPr="0094250C" w:rsidRDefault="003A1719" w:rsidP="003A1719">
      <w:pPr>
        <w:pStyle w:val="Heading1"/>
      </w:pPr>
      <w:r w:rsidRPr="0094250C">
        <w:t>Appendix: Evaluation of spectral transmittance of Bangerter 1.0 and 0.8 filters</w:t>
      </w:r>
    </w:p>
    <w:p w14:paraId="6456C84B" w14:textId="77777777" w:rsidR="003A1719" w:rsidRDefault="003A1719" w:rsidP="003A1719">
      <w:pPr>
        <w:pStyle w:val="Paragraphfirst"/>
      </w:pPr>
      <w:r>
        <w:t>To evaluate the possibility that the spectral transmittance of the Bangerter filters might be significantly non uniform and might influence the results of a colour naming experiment, the following examination methods were applied</w:t>
      </w:r>
    </w:p>
    <w:p w14:paraId="704EC620" w14:textId="77777777" w:rsidR="003A1719" w:rsidRDefault="003A1719" w:rsidP="003A1719">
      <w:pPr>
        <w:tabs>
          <w:tab w:val="left" w:pos="3510"/>
          <w:tab w:val="left" w:pos="6345"/>
        </w:tabs>
        <w:ind w:left="113"/>
      </w:pPr>
    </w:p>
    <w:p w14:paraId="1913B483" w14:textId="77777777" w:rsidR="003A1719" w:rsidRPr="0094250C" w:rsidRDefault="003A1719" w:rsidP="003A1719">
      <w:pPr>
        <w:pStyle w:val="Heading2"/>
      </w:pPr>
      <w:r w:rsidRPr="0094250C">
        <w:t>Method</w:t>
      </w:r>
    </w:p>
    <w:p w14:paraId="2400B4DF" w14:textId="77777777" w:rsidR="003A1719" w:rsidRPr="00135288" w:rsidRDefault="003A1719" w:rsidP="003A1719">
      <w:pPr>
        <w:pStyle w:val="Paragraphfirst"/>
      </w:pPr>
      <w:r w:rsidRPr="00135288">
        <w:t>The spectral transmittances of the two Bangerter filters were measured and analysed according to the method that is common to ISO 12609-1</w:t>
      </w:r>
      <w:r>
        <w:rPr>
          <w:noProof/>
        </w:rPr>
        <w:t>[25]</w:t>
      </w:r>
      <w:r w:rsidRPr="00135288">
        <w:t xml:space="preserve"> and AS 16321.4</w:t>
      </w:r>
      <w:r>
        <w:t> </w:t>
      </w:r>
      <w:r>
        <w:rPr>
          <w:noProof/>
        </w:rPr>
        <w:t>[54]</w:t>
      </w:r>
      <w:r w:rsidRPr="00135288">
        <w:t xml:space="preserve"> and validated as providing no significant interference with clinical observation of the colour of patients.</w:t>
      </w:r>
      <w:r>
        <w:rPr>
          <w:noProof/>
        </w:rPr>
        <w:t>[23]</w:t>
      </w:r>
      <w:r w:rsidRPr="00135288">
        <w:t xml:space="preserve"> This is the most stringent requirement used in eye and face protection standards and substantially more stringent than the colour signal detection criterion found in sunglass, eye and face protection and ophthalmic lens standards.</w:t>
      </w:r>
    </w:p>
    <w:p w14:paraId="4A279A17" w14:textId="77777777" w:rsidR="003A1719" w:rsidRPr="00135288" w:rsidRDefault="003A1719" w:rsidP="003A1719">
      <w:pPr>
        <w:pStyle w:val="Subsequentparagraph"/>
      </w:pPr>
      <w:r w:rsidRPr="00135288">
        <w:t>The total and diffuse spectral transmittances were measured using an Agilent (Santa Clara, CA, USA) Varian Cary 5000 UV-Vis-NIR dual beam, double monochromator spectrophotometer (ORLAB ID #278) fitted with a diffuse reflectance attachment (ORLAB ID #137). The wavelength accuracy has been established with spectral lines as ±0.1 nm.  The uncertainty of measurement (UNC) of spectral transmittance has been established with filters for which the spectral transmittances have been provided by the National Research Council of Canada.</w:t>
      </w:r>
    </w:p>
    <w:p w14:paraId="6C4F3E58" w14:textId="77777777" w:rsidR="003A1719" w:rsidRPr="00EB30EF" w:rsidRDefault="003A1719" w:rsidP="003A1719">
      <w:pPr>
        <w:tabs>
          <w:tab w:val="left" w:pos="3510"/>
          <w:tab w:val="left" w:pos="6345"/>
        </w:tabs>
        <w:ind w:left="113"/>
        <w:rPr>
          <w:rFonts w:eastAsiaTheme="minorEastAsia"/>
        </w:rPr>
      </w:pPr>
      <m:oMathPara>
        <m:oMath>
          <m:r>
            <w:rPr>
              <w:rFonts w:ascii="Cambria Math" w:hAnsi="Cambria Math"/>
            </w:rPr>
            <m:t>UNC(λ)%=0.1+0.002∙τ</m:t>
          </m:r>
          <m:d>
            <m:dPr>
              <m:ctrlPr>
                <w:rPr>
                  <w:rFonts w:ascii="Cambria Math" w:hAnsi="Cambria Math"/>
                  <w:i/>
                </w:rPr>
              </m:ctrlPr>
            </m:dPr>
            <m:e>
              <m:r>
                <w:rPr>
                  <w:rFonts w:ascii="Cambria Math" w:hAnsi="Cambria Math"/>
                </w:rPr>
                <m:t>λ</m:t>
              </m:r>
            </m:e>
          </m:d>
          <m:r>
            <w:rPr>
              <w:rFonts w:ascii="Cambria Math" w:hAnsi="Cambria Math"/>
            </w:rPr>
            <m:t>+0.1∙</m:t>
          </m:r>
          <m:f>
            <m:fPr>
              <m:ctrlPr>
                <w:rPr>
                  <w:rFonts w:ascii="Cambria Math" w:hAnsi="Cambria Math"/>
                  <w:i/>
                </w:rPr>
              </m:ctrlPr>
            </m:fPr>
            <m:num>
              <m:r>
                <m:rPr>
                  <m:nor/>
                </m:rPr>
                <w:rPr>
                  <w:rFonts w:ascii="Cambria Math" w:hAnsi="Cambria Math"/>
                </w:rPr>
                <m:t>d</m:t>
              </m:r>
              <m:r>
                <w:rPr>
                  <w:rFonts w:ascii="Cambria Math" w:hAnsi="Cambria Math"/>
                </w:rPr>
                <m:t>τ</m:t>
              </m:r>
            </m:num>
            <m:den>
              <m:r>
                <m:rPr>
                  <m:nor/>
                </m:rPr>
                <w:rPr>
                  <w:rFonts w:ascii="Cambria Math" w:hAnsi="Cambria Math"/>
                </w:rPr>
                <m:t>dλ</m:t>
              </m:r>
            </m:den>
          </m:f>
        </m:oMath>
      </m:oMathPara>
    </w:p>
    <w:p w14:paraId="37179594" w14:textId="77777777" w:rsidR="003A1719" w:rsidRPr="00135288" w:rsidRDefault="003A1719" w:rsidP="003A1719">
      <w:pPr>
        <w:pStyle w:val="Subsequentparagraph"/>
      </w:pPr>
      <w:r w:rsidRPr="00135288">
        <w:t>Where</w:t>
      </w:r>
      <w:r w:rsidRPr="00135288">
        <w:tab/>
      </w:r>
      <w:r w:rsidRPr="00135288">
        <w:rPr>
          <w:rFonts w:ascii="Symbol" w:hAnsi="Symbol"/>
          <w:i/>
          <w:iCs/>
        </w:rPr>
        <w:t>t</w:t>
      </w:r>
      <w:r w:rsidRPr="00135288">
        <w:t>(</w:t>
      </w:r>
      <w:r w:rsidRPr="00135288">
        <w:rPr>
          <w:rFonts w:ascii="Symbol" w:hAnsi="Symbol"/>
          <w:i/>
          <w:iCs/>
        </w:rPr>
        <w:t>l</w:t>
      </w:r>
      <w:r w:rsidRPr="00135288">
        <w:t xml:space="preserve">) is the % spectral transmittance at wavelength </w:t>
      </w:r>
      <w:r w:rsidRPr="00135288">
        <w:rPr>
          <w:rFonts w:ascii="Symbol" w:hAnsi="Symbol"/>
          <w:i/>
          <w:iCs/>
        </w:rPr>
        <w:t>l</w:t>
      </w:r>
    </w:p>
    <w:p w14:paraId="1ED21FEA" w14:textId="77777777" w:rsidR="003A1719" w:rsidRPr="00135288" w:rsidRDefault="003A1719" w:rsidP="003A1719">
      <w:pPr>
        <w:pStyle w:val="Subsequentparagraph"/>
      </w:pPr>
    </w:p>
    <w:p w14:paraId="7E1F22FB" w14:textId="77777777" w:rsidR="003A1719" w:rsidRPr="00135288" w:rsidRDefault="003A1719" w:rsidP="003A1719">
      <w:pPr>
        <w:pStyle w:val="Subsequentparagraph"/>
      </w:pPr>
      <w:r w:rsidRPr="00135288">
        <w:lastRenderedPageBreak/>
        <w:t>Measurements were made at 1 nm intervals with a spectral half-power bandwidth of 1nm.</w:t>
      </w:r>
    </w:p>
    <w:p w14:paraId="0B8DE242" w14:textId="77777777" w:rsidR="003A1719" w:rsidRPr="00135288" w:rsidRDefault="003A1719" w:rsidP="003A1719">
      <w:pPr>
        <w:pStyle w:val="Subsequentparagraph"/>
      </w:pPr>
      <w:r w:rsidRPr="00135288">
        <w:t>The mean and minimum spectral transmittance (450-650 nm) and the minimum to mean ratio were calculated.</w:t>
      </w:r>
    </w:p>
    <w:p w14:paraId="5D2DC72E" w14:textId="77777777" w:rsidR="003A1719" w:rsidRPr="00135288" w:rsidRDefault="003A1719" w:rsidP="003A1719">
      <w:pPr>
        <w:pStyle w:val="Subsequentparagraph"/>
      </w:pPr>
      <w:r w:rsidRPr="00135288">
        <w:t>The haze of each filter was measured using a haze meter (ORLAB #).  This provides haze and luminous transmittance measurements for CIE Illuminant D65 (ISO 1</w:t>
      </w:r>
      <w:r>
        <w:t>4782</w:t>
      </w:r>
      <w:r w:rsidRPr="00135288">
        <w:t xml:space="preserve"> </w:t>
      </w:r>
      <w:r>
        <w:rPr>
          <w:noProof/>
        </w:rPr>
        <w:t>[55]</w:t>
      </w:r>
      <w:r w:rsidRPr="00135288">
        <w:t>) and CIE Illuminant</w:t>
      </w:r>
      <w:r>
        <w:t xml:space="preserve"> </w:t>
      </w:r>
      <w:r w:rsidRPr="00135288">
        <w:t>A (ASTM D1003</w:t>
      </w:r>
      <w:r>
        <w:t xml:space="preserve"> </w:t>
      </w:r>
      <w:r>
        <w:rPr>
          <w:noProof/>
        </w:rPr>
        <w:t>[56]</w:t>
      </w:r>
      <w:r w:rsidRPr="00135288">
        <w:t>).  The meter has been calibrated using a set of five haze reference artefacts for which haze values (Illuminants A, C and D65) have been provided by the National Physical Laboratory, UK. The uncertainty of measurement is ±0.2% absolute.</w:t>
      </w:r>
    </w:p>
    <w:p w14:paraId="403F1B4F" w14:textId="77777777" w:rsidR="003A1719" w:rsidRPr="00135288" w:rsidRDefault="003A1719" w:rsidP="003A1719">
      <w:pPr>
        <w:pStyle w:val="Subsequentparagraph"/>
      </w:pPr>
    </w:p>
    <w:p w14:paraId="5007793E" w14:textId="77777777" w:rsidR="003A1719" w:rsidRPr="00135288" w:rsidRDefault="003A1719" w:rsidP="003A1719">
      <w:pPr>
        <w:pStyle w:val="Subsequentparagraph"/>
      </w:pPr>
      <w:r w:rsidRPr="00135288">
        <w:t>ORLAB is ISO/IEC 17025</w:t>
      </w:r>
      <w:r>
        <w:t> </w:t>
      </w:r>
      <w:r>
        <w:rPr>
          <w:noProof/>
        </w:rPr>
        <w:t>[32]</w:t>
      </w:r>
      <w:r w:rsidRPr="00135288">
        <w:t xml:space="preserve"> accredited by the National Association of Testing Authorities for these measurements.</w:t>
      </w:r>
    </w:p>
    <w:p w14:paraId="49C32DAB" w14:textId="77777777" w:rsidR="003A1719" w:rsidRDefault="003A1719" w:rsidP="003A1719">
      <w:pPr>
        <w:tabs>
          <w:tab w:val="left" w:pos="3510"/>
          <w:tab w:val="left" w:pos="6345"/>
        </w:tabs>
        <w:ind w:left="113"/>
      </w:pPr>
    </w:p>
    <w:p w14:paraId="5FBBD368" w14:textId="77777777" w:rsidR="003A1719" w:rsidRDefault="003A1719" w:rsidP="003A1719">
      <w:pPr>
        <w:pStyle w:val="Heading2"/>
      </w:pPr>
      <w:r w:rsidRPr="0094250C">
        <w:t>Results</w:t>
      </w:r>
    </w:p>
    <w:p w14:paraId="43AA3843" w14:textId="77777777" w:rsidR="003A1719" w:rsidRPr="00135288" w:rsidRDefault="003A1719" w:rsidP="003A1719">
      <w:pPr>
        <w:pStyle w:val="Paragraphfirst"/>
      </w:pPr>
      <w:r w:rsidRPr="00135288">
        <w:t xml:space="preserve">Results for mean and minimum spectral transmittance and the ratio of the two </w:t>
      </w:r>
      <w:r>
        <w:t>with a</w:t>
      </w:r>
      <w:r w:rsidRPr="00135288">
        <w:t xml:space="preserve"> compliance </w:t>
      </w:r>
      <w:r>
        <w:t xml:space="preserve">statement </w:t>
      </w:r>
      <w:r w:rsidRPr="00135288">
        <w:t>are set out in Table A.</w:t>
      </w:r>
    </w:p>
    <w:p w14:paraId="743D495D" w14:textId="77777777" w:rsidR="003A1719" w:rsidRPr="00C73D10" w:rsidRDefault="003A1719" w:rsidP="003A1719"/>
    <w:p w14:paraId="6E346B9E" w14:textId="77777777" w:rsidR="003A1719" w:rsidRPr="00CC2E3B" w:rsidRDefault="003A1719" w:rsidP="003A1719">
      <w:pPr>
        <w:pStyle w:val="Tablecaption"/>
      </w:pPr>
      <w:r w:rsidRPr="00CC2E3B">
        <w:t xml:space="preserve">Table A:  Spectral transmittance characteristics of the Bangerter filters 1.0 and 0.8 and the coloration requirements of ISO 12069 [25] and AS 16321.4. [53]  </w:t>
      </w:r>
    </w:p>
    <w:tbl>
      <w:tblPr>
        <w:tblStyle w:val="TableGrid"/>
        <w:tblW w:w="935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956"/>
        <w:gridCol w:w="966"/>
        <w:gridCol w:w="913"/>
        <w:gridCol w:w="932"/>
        <w:gridCol w:w="966"/>
        <w:gridCol w:w="937"/>
      </w:tblGrid>
      <w:tr w:rsidR="003A1719" w:rsidRPr="00CC2E3B" w14:paraId="42B25D5E" w14:textId="77777777" w:rsidTr="00CE6C34">
        <w:tc>
          <w:tcPr>
            <w:tcW w:w="3686" w:type="dxa"/>
            <w:vMerge w:val="restart"/>
            <w:tcBorders>
              <w:top w:val="single" w:sz="4" w:space="0" w:color="auto"/>
            </w:tcBorders>
            <w:vAlign w:val="center"/>
          </w:tcPr>
          <w:p w14:paraId="6C118FE5" w14:textId="77777777" w:rsidR="003A1719" w:rsidRPr="0081171D" w:rsidRDefault="003A1719" w:rsidP="00CE6C34">
            <w:pPr>
              <w:pStyle w:val="Paragraphfirst"/>
              <w:rPr>
                <w:sz w:val="20"/>
                <w:szCs w:val="20"/>
              </w:rPr>
            </w:pPr>
          </w:p>
        </w:tc>
        <w:tc>
          <w:tcPr>
            <w:tcW w:w="2835" w:type="dxa"/>
            <w:gridSpan w:val="3"/>
            <w:tcBorders>
              <w:top w:val="single" w:sz="4" w:space="0" w:color="auto"/>
            </w:tcBorders>
            <w:vAlign w:val="center"/>
          </w:tcPr>
          <w:p w14:paraId="78CA3C00" w14:textId="77777777" w:rsidR="003A1719" w:rsidRPr="0081171D" w:rsidRDefault="003A1719" w:rsidP="00CE6C34">
            <w:pPr>
              <w:pStyle w:val="Paragraphfirst"/>
              <w:rPr>
                <w:sz w:val="20"/>
                <w:szCs w:val="20"/>
              </w:rPr>
            </w:pPr>
            <w:r w:rsidRPr="0081171D">
              <w:rPr>
                <w:sz w:val="20"/>
                <w:szCs w:val="20"/>
              </w:rPr>
              <w:t>Bangerter filter 1.0</w:t>
            </w:r>
          </w:p>
        </w:tc>
        <w:tc>
          <w:tcPr>
            <w:tcW w:w="2835" w:type="dxa"/>
            <w:gridSpan w:val="3"/>
            <w:tcBorders>
              <w:top w:val="single" w:sz="4" w:space="0" w:color="auto"/>
            </w:tcBorders>
            <w:vAlign w:val="center"/>
          </w:tcPr>
          <w:p w14:paraId="016CB6ED" w14:textId="77777777" w:rsidR="003A1719" w:rsidRPr="0081171D" w:rsidRDefault="003A1719" w:rsidP="00CE6C34">
            <w:pPr>
              <w:pStyle w:val="Paragraphfirst"/>
              <w:rPr>
                <w:sz w:val="20"/>
                <w:szCs w:val="20"/>
              </w:rPr>
            </w:pPr>
            <w:r w:rsidRPr="0081171D">
              <w:rPr>
                <w:sz w:val="20"/>
                <w:szCs w:val="20"/>
              </w:rPr>
              <w:t>Bangerter filter 0.8</w:t>
            </w:r>
          </w:p>
        </w:tc>
      </w:tr>
      <w:tr w:rsidR="003A1719" w:rsidRPr="00CC2E3B" w14:paraId="3B6520C6" w14:textId="77777777" w:rsidTr="00CE6C34">
        <w:tc>
          <w:tcPr>
            <w:tcW w:w="3686" w:type="dxa"/>
            <w:vMerge/>
            <w:vAlign w:val="center"/>
          </w:tcPr>
          <w:p w14:paraId="4FB4ACA0" w14:textId="77777777" w:rsidR="003A1719" w:rsidRPr="000D0E00" w:rsidRDefault="003A1719" w:rsidP="00CE6C34">
            <w:pPr>
              <w:pStyle w:val="Paragraphfirst"/>
              <w:rPr>
                <w:sz w:val="20"/>
                <w:szCs w:val="20"/>
              </w:rPr>
            </w:pPr>
          </w:p>
        </w:tc>
        <w:tc>
          <w:tcPr>
            <w:tcW w:w="5670" w:type="dxa"/>
            <w:gridSpan w:val="6"/>
            <w:vAlign w:val="center"/>
          </w:tcPr>
          <w:p w14:paraId="614F5462" w14:textId="77777777" w:rsidR="003A1719" w:rsidRPr="000D0E00" w:rsidRDefault="003A1719" w:rsidP="00CE6C34">
            <w:pPr>
              <w:pStyle w:val="Paragraphfirst"/>
              <w:rPr>
                <w:sz w:val="20"/>
                <w:szCs w:val="20"/>
              </w:rPr>
            </w:pPr>
            <w:r w:rsidRPr="000D0E00">
              <w:rPr>
                <w:sz w:val="20"/>
                <w:szCs w:val="20"/>
              </w:rPr>
              <w:t>% spectral transmittance in range 450-650 nm</w:t>
            </w:r>
          </w:p>
        </w:tc>
      </w:tr>
      <w:tr w:rsidR="003A1719" w:rsidRPr="00CC2E3B" w14:paraId="5EA6AADA" w14:textId="77777777" w:rsidTr="00CE6C34">
        <w:tc>
          <w:tcPr>
            <w:tcW w:w="3686" w:type="dxa"/>
            <w:tcBorders>
              <w:bottom w:val="single" w:sz="4" w:space="0" w:color="auto"/>
            </w:tcBorders>
            <w:vAlign w:val="center"/>
          </w:tcPr>
          <w:p w14:paraId="31A7185C" w14:textId="77777777" w:rsidR="003A1719" w:rsidRPr="0081171D" w:rsidRDefault="003A1719" w:rsidP="00CE6C34">
            <w:pPr>
              <w:pStyle w:val="Paragraphfirst"/>
              <w:rPr>
                <w:sz w:val="20"/>
                <w:szCs w:val="20"/>
              </w:rPr>
            </w:pPr>
            <w:r w:rsidRPr="0081171D">
              <w:rPr>
                <w:sz w:val="20"/>
                <w:szCs w:val="20"/>
              </w:rPr>
              <w:t>Measure</w:t>
            </w:r>
          </w:p>
        </w:tc>
        <w:tc>
          <w:tcPr>
            <w:tcW w:w="956" w:type="dxa"/>
            <w:tcBorders>
              <w:bottom w:val="single" w:sz="4" w:space="0" w:color="auto"/>
            </w:tcBorders>
            <w:vAlign w:val="center"/>
          </w:tcPr>
          <w:p w14:paraId="725E3F63" w14:textId="77777777" w:rsidR="003A1719" w:rsidRPr="0081171D" w:rsidRDefault="003A1719" w:rsidP="00CE6C34">
            <w:pPr>
              <w:pStyle w:val="Paragraphfirst"/>
              <w:rPr>
                <w:sz w:val="20"/>
                <w:szCs w:val="20"/>
              </w:rPr>
            </w:pPr>
            <w:r w:rsidRPr="0081171D">
              <w:rPr>
                <w:sz w:val="20"/>
                <w:szCs w:val="20"/>
              </w:rPr>
              <w:t>Total</w:t>
            </w:r>
          </w:p>
        </w:tc>
        <w:tc>
          <w:tcPr>
            <w:tcW w:w="966" w:type="dxa"/>
            <w:tcBorders>
              <w:bottom w:val="single" w:sz="4" w:space="0" w:color="auto"/>
            </w:tcBorders>
            <w:vAlign w:val="center"/>
          </w:tcPr>
          <w:p w14:paraId="24B29B1F" w14:textId="77777777" w:rsidR="003A1719" w:rsidRPr="0081171D" w:rsidRDefault="003A1719" w:rsidP="00CE6C34">
            <w:pPr>
              <w:pStyle w:val="Paragraphfirst"/>
              <w:rPr>
                <w:sz w:val="20"/>
                <w:szCs w:val="20"/>
              </w:rPr>
            </w:pPr>
            <w:r w:rsidRPr="0081171D">
              <w:rPr>
                <w:sz w:val="20"/>
                <w:szCs w:val="20"/>
              </w:rPr>
              <w:t>Diffuse</w:t>
            </w:r>
          </w:p>
        </w:tc>
        <w:tc>
          <w:tcPr>
            <w:tcW w:w="913" w:type="dxa"/>
            <w:tcBorders>
              <w:bottom w:val="single" w:sz="4" w:space="0" w:color="auto"/>
            </w:tcBorders>
            <w:vAlign w:val="center"/>
          </w:tcPr>
          <w:p w14:paraId="72F5CC4D" w14:textId="77777777" w:rsidR="003A1719" w:rsidRPr="0081171D" w:rsidRDefault="003A1719" w:rsidP="00CE6C34">
            <w:pPr>
              <w:pStyle w:val="Paragraphfirst"/>
              <w:rPr>
                <w:sz w:val="20"/>
                <w:szCs w:val="20"/>
              </w:rPr>
            </w:pPr>
            <w:r w:rsidRPr="0081171D">
              <w:rPr>
                <w:sz w:val="20"/>
                <w:szCs w:val="20"/>
              </w:rPr>
              <w:t>Direct</w:t>
            </w:r>
          </w:p>
        </w:tc>
        <w:tc>
          <w:tcPr>
            <w:tcW w:w="932" w:type="dxa"/>
            <w:tcBorders>
              <w:bottom w:val="single" w:sz="4" w:space="0" w:color="auto"/>
            </w:tcBorders>
            <w:vAlign w:val="center"/>
          </w:tcPr>
          <w:p w14:paraId="5AAB9038" w14:textId="77777777" w:rsidR="003A1719" w:rsidRPr="0081171D" w:rsidRDefault="003A1719" w:rsidP="00CE6C34">
            <w:pPr>
              <w:pStyle w:val="Paragraphfirst"/>
              <w:rPr>
                <w:sz w:val="20"/>
                <w:szCs w:val="20"/>
              </w:rPr>
            </w:pPr>
            <w:r w:rsidRPr="0081171D">
              <w:rPr>
                <w:sz w:val="20"/>
                <w:szCs w:val="20"/>
              </w:rPr>
              <w:t>Total</w:t>
            </w:r>
          </w:p>
        </w:tc>
        <w:tc>
          <w:tcPr>
            <w:tcW w:w="966" w:type="dxa"/>
            <w:tcBorders>
              <w:bottom w:val="single" w:sz="4" w:space="0" w:color="auto"/>
            </w:tcBorders>
            <w:vAlign w:val="center"/>
          </w:tcPr>
          <w:p w14:paraId="02C8A411" w14:textId="77777777" w:rsidR="003A1719" w:rsidRPr="0081171D" w:rsidRDefault="003A1719" w:rsidP="00CE6C34">
            <w:pPr>
              <w:pStyle w:val="Paragraphfirst"/>
              <w:rPr>
                <w:sz w:val="20"/>
                <w:szCs w:val="20"/>
              </w:rPr>
            </w:pPr>
            <w:r w:rsidRPr="0081171D">
              <w:rPr>
                <w:sz w:val="20"/>
                <w:szCs w:val="20"/>
              </w:rPr>
              <w:t>Diffuse</w:t>
            </w:r>
          </w:p>
        </w:tc>
        <w:tc>
          <w:tcPr>
            <w:tcW w:w="937" w:type="dxa"/>
            <w:tcBorders>
              <w:bottom w:val="single" w:sz="4" w:space="0" w:color="auto"/>
            </w:tcBorders>
            <w:vAlign w:val="center"/>
          </w:tcPr>
          <w:p w14:paraId="664ACCFB" w14:textId="77777777" w:rsidR="003A1719" w:rsidRPr="0081171D" w:rsidRDefault="003A1719" w:rsidP="00CE6C34">
            <w:pPr>
              <w:pStyle w:val="Paragraphfirst"/>
              <w:rPr>
                <w:sz w:val="20"/>
                <w:szCs w:val="20"/>
              </w:rPr>
            </w:pPr>
            <w:r w:rsidRPr="0081171D">
              <w:rPr>
                <w:sz w:val="20"/>
                <w:szCs w:val="20"/>
              </w:rPr>
              <w:t>Direct</w:t>
            </w:r>
          </w:p>
        </w:tc>
      </w:tr>
      <w:tr w:rsidR="003A1719" w:rsidRPr="00CC2E3B" w14:paraId="25C2F5AC" w14:textId="77777777" w:rsidTr="00CE6C34">
        <w:tc>
          <w:tcPr>
            <w:tcW w:w="3686" w:type="dxa"/>
            <w:tcBorders>
              <w:top w:val="single" w:sz="4" w:space="0" w:color="auto"/>
            </w:tcBorders>
            <w:vAlign w:val="center"/>
          </w:tcPr>
          <w:p w14:paraId="3AF54CBB" w14:textId="77777777" w:rsidR="003A1719" w:rsidRPr="0081171D" w:rsidRDefault="003A1719" w:rsidP="00CE6C34">
            <w:pPr>
              <w:pStyle w:val="Paragraphfirst"/>
              <w:rPr>
                <w:sz w:val="20"/>
                <w:szCs w:val="20"/>
              </w:rPr>
            </w:pPr>
            <w:r w:rsidRPr="0081171D">
              <w:rPr>
                <w:sz w:val="20"/>
                <w:szCs w:val="20"/>
              </w:rPr>
              <w:t xml:space="preserve">Mean </w:t>
            </w:r>
          </w:p>
        </w:tc>
        <w:tc>
          <w:tcPr>
            <w:tcW w:w="956" w:type="dxa"/>
            <w:tcBorders>
              <w:top w:val="single" w:sz="4" w:space="0" w:color="auto"/>
            </w:tcBorders>
            <w:vAlign w:val="center"/>
          </w:tcPr>
          <w:p w14:paraId="6F8D6C1C" w14:textId="77777777" w:rsidR="003A1719" w:rsidRPr="0081171D" w:rsidRDefault="003A1719" w:rsidP="00CE6C34">
            <w:pPr>
              <w:pStyle w:val="Paragraphfirst"/>
              <w:rPr>
                <w:sz w:val="20"/>
                <w:szCs w:val="20"/>
              </w:rPr>
            </w:pPr>
            <w:r w:rsidRPr="0081171D">
              <w:rPr>
                <w:sz w:val="20"/>
                <w:szCs w:val="20"/>
              </w:rPr>
              <w:t xml:space="preserve">87.6 </w:t>
            </w:r>
          </w:p>
        </w:tc>
        <w:tc>
          <w:tcPr>
            <w:tcW w:w="966" w:type="dxa"/>
            <w:tcBorders>
              <w:top w:val="single" w:sz="4" w:space="0" w:color="auto"/>
            </w:tcBorders>
            <w:vAlign w:val="center"/>
          </w:tcPr>
          <w:p w14:paraId="1F7967A2" w14:textId="77777777" w:rsidR="003A1719" w:rsidRPr="0081171D" w:rsidRDefault="003A1719" w:rsidP="00CE6C34">
            <w:pPr>
              <w:pStyle w:val="Paragraphfirst"/>
              <w:rPr>
                <w:sz w:val="20"/>
                <w:szCs w:val="20"/>
              </w:rPr>
            </w:pPr>
            <w:r w:rsidRPr="0081171D">
              <w:rPr>
                <w:sz w:val="20"/>
                <w:szCs w:val="20"/>
              </w:rPr>
              <w:t>2.2</w:t>
            </w:r>
          </w:p>
        </w:tc>
        <w:tc>
          <w:tcPr>
            <w:tcW w:w="913" w:type="dxa"/>
            <w:tcBorders>
              <w:top w:val="single" w:sz="4" w:space="0" w:color="auto"/>
            </w:tcBorders>
            <w:vAlign w:val="center"/>
          </w:tcPr>
          <w:p w14:paraId="0F897644" w14:textId="77777777" w:rsidR="003A1719" w:rsidRPr="0081171D" w:rsidRDefault="003A1719" w:rsidP="00CE6C34">
            <w:pPr>
              <w:pStyle w:val="Paragraphfirst"/>
              <w:rPr>
                <w:sz w:val="20"/>
                <w:szCs w:val="20"/>
              </w:rPr>
            </w:pPr>
            <w:r w:rsidRPr="0081171D">
              <w:rPr>
                <w:sz w:val="20"/>
                <w:szCs w:val="20"/>
              </w:rPr>
              <w:t>85.4</w:t>
            </w:r>
          </w:p>
        </w:tc>
        <w:tc>
          <w:tcPr>
            <w:tcW w:w="932" w:type="dxa"/>
            <w:tcBorders>
              <w:top w:val="single" w:sz="4" w:space="0" w:color="auto"/>
            </w:tcBorders>
            <w:vAlign w:val="center"/>
          </w:tcPr>
          <w:p w14:paraId="278ABBF6" w14:textId="77777777" w:rsidR="003A1719" w:rsidRPr="0081171D" w:rsidRDefault="003A1719" w:rsidP="00CE6C34">
            <w:pPr>
              <w:pStyle w:val="Paragraphfirst"/>
              <w:rPr>
                <w:sz w:val="20"/>
                <w:szCs w:val="20"/>
              </w:rPr>
            </w:pPr>
            <w:r w:rsidRPr="0081171D">
              <w:rPr>
                <w:sz w:val="20"/>
                <w:szCs w:val="20"/>
              </w:rPr>
              <w:t>87.9</w:t>
            </w:r>
          </w:p>
        </w:tc>
        <w:tc>
          <w:tcPr>
            <w:tcW w:w="966" w:type="dxa"/>
            <w:tcBorders>
              <w:top w:val="single" w:sz="4" w:space="0" w:color="auto"/>
            </w:tcBorders>
            <w:vAlign w:val="center"/>
          </w:tcPr>
          <w:p w14:paraId="10599B1F" w14:textId="77777777" w:rsidR="003A1719" w:rsidRPr="0081171D" w:rsidRDefault="003A1719" w:rsidP="00CE6C34">
            <w:pPr>
              <w:pStyle w:val="Paragraphfirst"/>
              <w:rPr>
                <w:sz w:val="20"/>
                <w:szCs w:val="20"/>
              </w:rPr>
            </w:pPr>
            <w:r w:rsidRPr="0081171D">
              <w:rPr>
                <w:sz w:val="20"/>
                <w:szCs w:val="20"/>
              </w:rPr>
              <w:t>5.0</w:t>
            </w:r>
          </w:p>
        </w:tc>
        <w:tc>
          <w:tcPr>
            <w:tcW w:w="937" w:type="dxa"/>
            <w:tcBorders>
              <w:top w:val="single" w:sz="4" w:space="0" w:color="auto"/>
            </w:tcBorders>
            <w:vAlign w:val="center"/>
          </w:tcPr>
          <w:p w14:paraId="58A0A411" w14:textId="77777777" w:rsidR="003A1719" w:rsidRPr="0081171D" w:rsidRDefault="003A1719" w:rsidP="00CE6C34">
            <w:pPr>
              <w:pStyle w:val="Paragraphfirst"/>
              <w:rPr>
                <w:sz w:val="20"/>
                <w:szCs w:val="20"/>
              </w:rPr>
            </w:pPr>
            <w:r w:rsidRPr="0081171D">
              <w:rPr>
                <w:sz w:val="20"/>
                <w:szCs w:val="20"/>
              </w:rPr>
              <w:t>82.9</w:t>
            </w:r>
          </w:p>
        </w:tc>
      </w:tr>
      <w:tr w:rsidR="003A1719" w:rsidRPr="00CC2E3B" w14:paraId="12F550D2" w14:textId="77777777" w:rsidTr="00CE6C34">
        <w:tc>
          <w:tcPr>
            <w:tcW w:w="3686" w:type="dxa"/>
            <w:vAlign w:val="center"/>
          </w:tcPr>
          <w:p w14:paraId="435784A0" w14:textId="77777777" w:rsidR="003A1719" w:rsidRPr="0081171D" w:rsidRDefault="003A1719" w:rsidP="00CE6C34">
            <w:pPr>
              <w:pStyle w:val="Paragraphfirst"/>
              <w:rPr>
                <w:sz w:val="20"/>
                <w:szCs w:val="20"/>
              </w:rPr>
            </w:pPr>
            <w:r w:rsidRPr="0081171D">
              <w:rPr>
                <w:sz w:val="20"/>
                <w:szCs w:val="20"/>
              </w:rPr>
              <w:t>Minimum</w:t>
            </w:r>
          </w:p>
        </w:tc>
        <w:tc>
          <w:tcPr>
            <w:tcW w:w="956" w:type="dxa"/>
            <w:vAlign w:val="center"/>
          </w:tcPr>
          <w:p w14:paraId="0F87D05C" w14:textId="77777777" w:rsidR="003A1719" w:rsidRPr="0081171D" w:rsidRDefault="003A1719" w:rsidP="00CE6C34">
            <w:pPr>
              <w:pStyle w:val="Paragraphfirst"/>
              <w:rPr>
                <w:sz w:val="20"/>
                <w:szCs w:val="20"/>
              </w:rPr>
            </w:pPr>
            <w:r w:rsidRPr="0081171D">
              <w:rPr>
                <w:sz w:val="20"/>
                <w:szCs w:val="20"/>
              </w:rPr>
              <w:t>86.4</w:t>
            </w:r>
          </w:p>
        </w:tc>
        <w:tc>
          <w:tcPr>
            <w:tcW w:w="966" w:type="dxa"/>
            <w:vAlign w:val="center"/>
          </w:tcPr>
          <w:p w14:paraId="685111EA" w14:textId="77777777" w:rsidR="003A1719" w:rsidRPr="0081171D" w:rsidRDefault="003A1719" w:rsidP="00CE6C34">
            <w:pPr>
              <w:pStyle w:val="Paragraphfirst"/>
              <w:rPr>
                <w:sz w:val="20"/>
                <w:szCs w:val="20"/>
              </w:rPr>
            </w:pPr>
            <w:r w:rsidRPr="0081171D">
              <w:rPr>
                <w:sz w:val="20"/>
                <w:szCs w:val="20"/>
              </w:rPr>
              <w:t>2.0</w:t>
            </w:r>
          </w:p>
        </w:tc>
        <w:tc>
          <w:tcPr>
            <w:tcW w:w="913" w:type="dxa"/>
            <w:vAlign w:val="center"/>
          </w:tcPr>
          <w:p w14:paraId="09293C91" w14:textId="77777777" w:rsidR="003A1719" w:rsidRPr="0081171D" w:rsidRDefault="003A1719" w:rsidP="00CE6C34">
            <w:pPr>
              <w:pStyle w:val="Paragraphfirst"/>
              <w:rPr>
                <w:sz w:val="20"/>
                <w:szCs w:val="20"/>
              </w:rPr>
            </w:pPr>
            <w:r w:rsidRPr="0081171D">
              <w:rPr>
                <w:sz w:val="20"/>
                <w:szCs w:val="20"/>
              </w:rPr>
              <w:t>83.9</w:t>
            </w:r>
          </w:p>
        </w:tc>
        <w:tc>
          <w:tcPr>
            <w:tcW w:w="932" w:type="dxa"/>
            <w:vAlign w:val="center"/>
          </w:tcPr>
          <w:p w14:paraId="0E053223" w14:textId="77777777" w:rsidR="003A1719" w:rsidRPr="0081171D" w:rsidRDefault="003A1719" w:rsidP="00CE6C34">
            <w:pPr>
              <w:pStyle w:val="Paragraphfirst"/>
              <w:rPr>
                <w:sz w:val="20"/>
                <w:szCs w:val="20"/>
              </w:rPr>
            </w:pPr>
            <w:r w:rsidRPr="0081171D">
              <w:rPr>
                <w:sz w:val="20"/>
                <w:szCs w:val="20"/>
              </w:rPr>
              <w:t>86.6</w:t>
            </w:r>
          </w:p>
        </w:tc>
        <w:tc>
          <w:tcPr>
            <w:tcW w:w="966" w:type="dxa"/>
            <w:vAlign w:val="center"/>
          </w:tcPr>
          <w:p w14:paraId="786129AD" w14:textId="77777777" w:rsidR="003A1719" w:rsidRPr="0081171D" w:rsidRDefault="003A1719" w:rsidP="00CE6C34">
            <w:pPr>
              <w:pStyle w:val="Paragraphfirst"/>
              <w:rPr>
                <w:sz w:val="20"/>
                <w:szCs w:val="20"/>
              </w:rPr>
            </w:pPr>
            <w:r w:rsidRPr="0081171D">
              <w:rPr>
                <w:sz w:val="20"/>
                <w:szCs w:val="20"/>
              </w:rPr>
              <w:t>4.8</w:t>
            </w:r>
          </w:p>
        </w:tc>
        <w:tc>
          <w:tcPr>
            <w:tcW w:w="937" w:type="dxa"/>
            <w:vAlign w:val="center"/>
          </w:tcPr>
          <w:p w14:paraId="4288BE32" w14:textId="77777777" w:rsidR="003A1719" w:rsidRPr="0081171D" w:rsidRDefault="003A1719" w:rsidP="00CE6C34">
            <w:pPr>
              <w:pStyle w:val="Paragraphfirst"/>
              <w:rPr>
                <w:sz w:val="20"/>
                <w:szCs w:val="20"/>
              </w:rPr>
            </w:pPr>
            <w:r w:rsidRPr="0081171D">
              <w:rPr>
                <w:sz w:val="20"/>
                <w:szCs w:val="20"/>
              </w:rPr>
              <w:t>81.2</w:t>
            </w:r>
          </w:p>
        </w:tc>
      </w:tr>
      <w:tr w:rsidR="003A1719" w:rsidRPr="00CC2E3B" w14:paraId="6F299E81" w14:textId="77777777" w:rsidTr="00CE6C34">
        <w:tc>
          <w:tcPr>
            <w:tcW w:w="3686" w:type="dxa"/>
            <w:vAlign w:val="center"/>
          </w:tcPr>
          <w:p w14:paraId="682A34CB" w14:textId="77777777" w:rsidR="003A1719" w:rsidRPr="0081171D" w:rsidRDefault="003A1719" w:rsidP="00CE6C34">
            <w:pPr>
              <w:pStyle w:val="Paragraphfirst"/>
              <w:rPr>
                <w:sz w:val="20"/>
                <w:szCs w:val="20"/>
              </w:rPr>
            </w:pPr>
            <w:r w:rsidRPr="0081171D">
              <w:rPr>
                <w:sz w:val="20"/>
                <w:szCs w:val="20"/>
              </w:rPr>
              <w:t xml:space="preserve">Minimum/Mean </w:t>
            </w:r>
          </w:p>
        </w:tc>
        <w:tc>
          <w:tcPr>
            <w:tcW w:w="956" w:type="dxa"/>
            <w:vAlign w:val="center"/>
          </w:tcPr>
          <w:p w14:paraId="36384BE7" w14:textId="77777777" w:rsidR="003A1719" w:rsidRPr="0081171D" w:rsidRDefault="003A1719" w:rsidP="00CE6C34">
            <w:pPr>
              <w:pStyle w:val="Paragraphfirst"/>
              <w:rPr>
                <w:sz w:val="20"/>
                <w:szCs w:val="20"/>
              </w:rPr>
            </w:pPr>
            <w:r w:rsidRPr="0081171D">
              <w:rPr>
                <w:sz w:val="20"/>
                <w:szCs w:val="20"/>
              </w:rPr>
              <w:t xml:space="preserve">0.99 </w:t>
            </w:r>
          </w:p>
        </w:tc>
        <w:tc>
          <w:tcPr>
            <w:tcW w:w="966" w:type="dxa"/>
            <w:vAlign w:val="center"/>
          </w:tcPr>
          <w:p w14:paraId="28C4B5EF" w14:textId="77777777" w:rsidR="003A1719" w:rsidRPr="0081171D" w:rsidRDefault="003A1719" w:rsidP="00CE6C34">
            <w:pPr>
              <w:pStyle w:val="Paragraphfirst"/>
              <w:rPr>
                <w:sz w:val="20"/>
                <w:szCs w:val="20"/>
              </w:rPr>
            </w:pPr>
            <w:r w:rsidRPr="0081171D">
              <w:rPr>
                <w:sz w:val="20"/>
                <w:szCs w:val="20"/>
              </w:rPr>
              <w:t>0.94</w:t>
            </w:r>
          </w:p>
        </w:tc>
        <w:tc>
          <w:tcPr>
            <w:tcW w:w="913" w:type="dxa"/>
            <w:vAlign w:val="center"/>
          </w:tcPr>
          <w:p w14:paraId="1D846393" w14:textId="77777777" w:rsidR="003A1719" w:rsidRPr="0081171D" w:rsidRDefault="003A1719" w:rsidP="00CE6C34">
            <w:pPr>
              <w:pStyle w:val="Paragraphfirst"/>
              <w:rPr>
                <w:sz w:val="20"/>
                <w:szCs w:val="20"/>
              </w:rPr>
            </w:pPr>
            <w:r w:rsidRPr="0081171D">
              <w:rPr>
                <w:sz w:val="20"/>
                <w:szCs w:val="20"/>
              </w:rPr>
              <w:t xml:space="preserve">0.98 </w:t>
            </w:r>
          </w:p>
        </w:tc>
        <w:tc>
          <w:tcPr>
            <w:tcW w:w="932" w:type="dxa"/>
            <w:vAlign w:val="center"/>
          </w:tcPr>
          <w:p w14:paraId="7AECB865" w14:textId="77777777" w:rsidR="003A1719" w:rsidRPr="0081171D" w:rsidRDefault="003A1719" w:rsidP="00CE6C34">
            <w:pPr>
              <w:pStyle w:val="Paragraphfirst"/>
              <w:rPr>
                <w:sz w:val="20"/>
                <w:szCs w:val="20"/>
              </w:rPr>
            </w:pPr>
            <w:r w:rsidRPr="0081171D">
              <w:rPr>
                <w:sz w:val="20"/>
                <w:szCs w:val="20"/>
              </w:rPr>
              <w:t xml:space="preserve">0.99 </w:t>
            </w:r>
          </w:p>
        </w:tc>
        <w:tc>
          <w:tcPr>
            <w:tcW w:w="966" w:type="dxa"/>
            <w:vAlign w:val="center"/>
          </w:tcPr>
          <w:p w14:paraId="666AEB28" w14:textId="77777777" w:rsidR="003A1719" w:rsidRPr="0081171D" w:rsidRDefault="003A1719" w:rsidP="00CE6C34">
            <w:pPr>
              <w:pStyle w:val="Paragraphfirst"/>
              <w:rPr>
                <w:sz w:val="20"/>
                <w:szCs w:val="20"/>
              </w:rPr>
            </w:pPr>
            <w:r w:rsidRPr="0081171D">
              <w:rPr>
                <w:sz w:val="20"/>
                <w:szCs w:val="20"/>
              </w:rPr>
              <w:t>0.97</w:t>
            </w:r>
          </w:p>
        </w:tc>
        <w:tc>
          <w:tcPr>
            <w:tcW w:w="937" w:type="dxa"/>
            <w:vAlign w:val="center"/>
          </w:tcPr>
          <w:p w14:paraId="2ECC5019" w14:textId="77777777" w:rsidR="003A1719" w:rsidRPr="0081171D" w:rsidRDefault="003A1719" w:rsidP="00CE6C34">
            <w:pPr>
              <w:pStyle w:val="Paragraphfirst"/>
              <w:rPr>
                <w:sz w:val="20"/>
                <w:szCs w:val="20"/>
              </w:rPr>
            </w:pPr>
            <w:r w:rsidRPr="0081171D">
              <w:rPr>
                <w:sz w:val="20"/>
                <w:szCs w:val="20"/>
              </w:rPr>
              <w:t xml:space="preserve">0.98 </w:t>
            </w:r>
          </w:p>
        </w:tc>
      </w:tr>
      <w:tr w:rsidR="003A1719" w:rsidRPr="00CC2E3B" w14:paraId="0E0D3BE6" w14:textId="77777777" w:rsidTr="00CE6C34">
        <w:tc>
          <w:tcPr>
            <w:tcW w:w="3686" w:type="dxa"/>
            <w:vAlign w:val="center"/>
          </w:tcPr>
          <w:p w14:paraId="2AB2A962" w14:textId="77777777" w:rsidR="003A1719" w:rsidRPr="0081171D" w:rsidRDefault="003A1719" w:rsidP="00CE6C34">
            <w:pPr>
              <w:pStyle w:val="Paragraphfirst"/>
              <w:rPr>
                <w:sz w:val="20"/>
                <w:szCs w:val="20"/>
              </w:rPr>
            </w:pPr>
            <w:r w:rsidRPr="0081171D">
              <w:rPr>
                <w:sz w:val="20"/>
                <w:szCs w:val="20"/>
              </w:rPr>
              <w:lastRenderedPageBreak/>
              <w:t>Requirement</w:t>
            </w:r>
            <w:r w:rsidRPr="0081171D">
              <w:rPr>
                <w:sz w:val="20"/>
                <w:szCs w:val="20"/>
              </w:rPr>
              <w:br/>
              <w:t>(ISO 12609-1</w:t>
            </w:r>
            <w:r w:rsidRPr="00CC2E3B">
              <w:rPr>
                <w:sz w:val="20"/>
                <w:szCs w:val="20"/>
              </w:rPr>
              <w:t> </w:t>
            </w:r>
            <w:r w:rsidRPr="00CC2E3B">
              <w:rPr>
                <w:noProof/>
                <w:sz w:val="20"/>
                <w:szCs w:val="20"/>
              </w:rPr>
              <w:t>[25]</w:t>
            </w:r>
            <w:r w:rsidRPr="0081171D">
              <w:rPr>
                <w:sz w:val="20"/>
                <w:szCs w:val="20"/>
              </w:rPr>
              <w:t xml:space="preserve"> and AS</w:t>
            </w:r>
            <w:r w:rsidRPr="00CC2E3B">
              <w:rPr>
                <w:sz w:val="20"/>
                <w:szCs w:val="20"/>
              </w:rPr>
              <w:t> </w:t>
            </w:r>
            <w:r w:rsidRPr="0081171D">
              <w:rPr>
                <w:sz w:val="20"/>
                <w:szCs w:val="20"/>
              </w:rPr>
              <w:t>16321.4)</w:t>
            </w:r>
            <w:r w:rsidRPr="00CC2E3B">
              <w:rPr>
                <w:sz w:val="20"/>
                <w:szCs w:val="20"/>
              </w:rPr>
              <w:t> </w:t>
            </w:r>
            <w:r w:rsidRPr="00CC2E3B">
              <w:rPr>
                <w:noProof/>
                <w:sz w:val="20"/>
                <w:szCs w:val="20"/>
              </w:rPr>
              <w:t>[53]</w:t>
            </w:r>
          </w:p>
        </w:tc>
        <w:tc>
          <w:tcPr>
            <w:tcW w:w="5670" w:type="dxa"/>
            <w:gridSpan w:val="6"/>
            <w:vAlign w:val="center"/>
          </w:tcPr>
          <w:p w14:paraId="2318EB72" w14:textId="77777777" w:rsidR="003A1719" w:rsidRPr="0081171D" w:rsidRDefault="003A1719" w:rsidP="00CE6C34">
            <w:pPr>
              <w:pStyle w:val="Paragraphfirst"/>
              <w:jc w:val="center"/>
              <w:rPr>
                <w:sz w:val="20"/>
                <w:szCs w:val="20"/>
              </w:rPr>
            </w:pPr>
            <w:r w:rsidRPr="0081171D">
              <w:rPr>
                <w:sz w:val="20"/>
                <w:szCs w:val="20"/>
              </w:rPr>
              <w:t>≥ 0.80</w:t>
            </w:r>
          </w:p>
        </w:tc>
      </w:tr>
      <w:tr w:rsidR="003A1719" w:rsidRPr="00CC2E3B" w14:paraId="4120E6D6" w14:textId="77777777" w:rsidTr="00CE6C34">
        <w:tc>
          <w:tcPr>
            <w:tcW w:w="3686" w:type="dxa"/>
            <w:tcBorders>
              <w:bottom w:val="single" w:sz="4" w:space="0" w:color="auto"/>
            </w:tcBorders>
            <w:vAlign w:val="center"/>
          </w:tcPr>
          <w:p w14:paraId="2CBFA4F9" w14:textId="77777777" w:rsidR="003A1719" w:rsidRPr="0081171D" w:rsidRDefault="003A1719" w:rsidP="00CE6C34">
            <w:pPr>
              <w:pStyle w:val="Paragraphfirst"/>
              <w:rPr>
                <w:sz w:val="20"/>
                <w:szCs w:val="20"/>
              </w:rPr>
            </w:pPr>
            <w:r w:rsidRPr="0081171D">
              <w:rPr>
                <w:sz w:val="20"/>
                <w:szCs w:val="20"/>
              </w:rPr>
              <w:t xml:space="preserve">Compliance </w:t>
            </w:r>
          </w:p>
        </w:tc>
        <w:tc>
          <w:tcPr>
            <w:tcW w:w="956" w:type="dxa"/>
            <w:tcBorders>
              <w:bottom w:val="single" w:sz="4" w:space="0" w:color="auto"/>
            </w:tcBorders>
            <w:vAlign w:val="center"/>
          </w:tcPr>
          <w:p w14:paraId="4F28A3B2" w14:textId="77777777" w:rsidR="003A1719" w:rsidRPr="0081171D" w:rsidRDefault="003A1719" w:rsidP="00CE6C34">
            <w:pPr>
              <w:pStyle w:val="Paragraphfirst"/>
              <w:rPr>
                <w:sz w:val="20"/>
                <w:szCs w:val="20"/>
              </w:rPr>
            </w:pPr>
            <w:r w:rsidRPr="0081171D">
              <w:rPr>
                <w:sz w:val="20"/>
                <w:szCs w:val="20"/>
              </w:rPr>
              <w:t>Pass</w:t>
            </w:r>
          </w:p>
        </w:tc>
        <w:tc>
          <w:tcPr>
            <w:tcW w:w="966" w:type="dxa"/>
            <w:tcBorders>
              <w:bottom w:val="single" w:sz="4" w:space="0" w:color="auto"/>
            </w:tcBorders>
            <w:vAlign w:val="center"/>
          </w:tcPr>
          <w:p w14:paraId="651CC931" w14:textId="77777777" w:rsidR="003A1719" w:rsidRPr="0081171D" w:rsidRDefault="003A1719" w:rsidP="00CE6C34">
            <w:pPr>
              <w:pStyle w:val="Paragraphfirst"/>
              <w:rPr>
                <w:sz w:val="20"/>
                <w:szCs w:val="20"/>
              </w:rPr>
            </w:pPr>
            <w:r w:rsidRPr="0081171D">
              <w:rPr>
                <w:sz w:val="20"/>
                <w:szCs w:val="20"/>
              </w:rPr>
              <w:t>Pass</w:t>
            </w:r>
          </w:p>
        </w:tc>
        <w:tc>
          <w:tcPr>
            <w:tcW w:w="913" w:type="dxa"/>
            <w:tcBorders>
              <w:bottom w:val="single" w:sz="4" w:space="0" w:color="auto"/>
            </w:tcBorders>
            <w:vAlign w:val="center"/>
          </w:tcPr>
          <w:p w14:paraId="1C5F3B5D" w14:textId="77777777" w:rsidR="003A1719" w:rsidRPr="0081171D" w:rsidRDefault="003A1719" w:rsidP="00CE6C34">
            <w:pPr>
              <w:pStyle w:val="Paragraphfirst"/>
              <w:rPr>
                <w:sz w:val="20"/>
                <w:szCs w:val="20"/>
              </w:rPr>
            </w:pPr>
            <w:r w:rsidRPr="0081171D">
              <w:rPr>
                <w:sz w:val="20"/>
                <w:szCs w:val="20"/>
              </w:rPr>
              <w:t>Pass</w:t>
            </w:r>
          </w:p>
        </w:tc>
        <w:tc>
          <w:tcPr>
            <w:tcW w:w="932" w:type="dxa"/>
            <w:tcBorders>
              <w:bottom w:val="single" w:sz="4" w:space="0" w:color="auto"/>
            </w:tcBorders>
            <w:vAlign w:val="center"/>
          </w:tcPr>
          <w:p w14:paraId="0C751B1B" w14:textId="77777777" w:rsidR="003A1719" w:rsidRPr="0081171D" w:rsidRDefault="003A1719" w:rsidP="00CE6C34">
            <w:pPr>
              <w:pStyle w:val="Paragraphfirst"/>
              <w:rPr>
                <w:sz w:val="20"/>
                <w:szCs w:val="20"/>
              </w:rPr>
            </w:pPr>
            <w:r w:rsidRPr="0081171D">
              <w:rPr>
                <w:sz w:val="20"/>
                <w:szCs w:val="20"/>
              </w:rPr>
              <w:t>Pass</w:t>
            </w:r>
          </w:p>
        </w:tc>
        <w:tc>
          <w:tcPr>
            <w:tcW w:w="966" w:type="dxa"/>
            <w:tcBorders>
              <w:bottom w:val="single" w:sz="4" w:space="0" w:color="auto"/>
            </w:tcBorders>
            <w:vAlign w:val="center"/>
          </w:tcPr>
          <w:p w14:paraId="039D96C1" w14:textId="77777777" w:rsidR="003A1719" w:rsidRPr="0081171D" w:rsidRDefault="003A1719" w:rsidP="00CE6C34">
            <w:pPr>
              <w:pStyle w:val="Paragraphfirst"/>
              <w:rPr>
                <w:sz w:val="20"/>
                <w:szCs w:val="20"/>
              </w:rPr>
            </w:pPr>
            <w:r w:rsidRPr="0081171D">
              <w:rPr>
                <w:sz w:val="20"/>
                <w:szCs w:val="20"/>
              </w:rPr>
              <w:t>Pass</w:t>
            </w:r>
          </w:p>
        </w:tc>
        <w:tc>
          <w:tcPr>
            <w:tcW w:w="937" w:type="dxa"/>
            <w:tcBorders>
              <w:bottom w:val="single" w:sz="4" w:space="0" w:color="auto"/>
            </w:tcBorders>
            <w:vAlign w:val="center"/>
          </w:tcPr>
          <w:p w14:paraId="4FAD2994" w14:textId="77777777" w:rsidR="003A1719" w:rsidRPr="0081171D" w:rsidRDefault="003A1719" w:rsidP="00CE6C34">
            <w:pPr>
              <w:pStyle w:val="Paragraphfirst"/>
              <w:rPr>
                <w:sz w:val="20"/>
                <w:szCs w:val="20"/>
              </w:rPr>
            </w:pPr>
            <w:r w:rsidRPr="0081171D">
              <w:rPr>
                <w:sz w:val="20"/>
                <w:szCs w:val="20"/>
              </w:rPr>
              <w:t>Pass</w:t>
            </w:r>
          </w:p>
        </w:tc>
      </w:tr>
    </w:tbl>
    <w:p w14:paraId="264471F1" w14:textId="77777777" w:rsidR="003A1719" w:rsidRDefault="003A1719" w:rsidP="003A1719"/>
    <w:p w14:paraId="2AD3E7FE" w14:textId="77777777" w:rsidR="003A1719" w:rsidRPr="00D87E9D" w:rsidRDefault="003A1719" w:rsidP="003A1719">
      <w:pPr>
        <w:pStyle w:val="Subsequentparagraph"/>
      </w:pPr>
      <w:r w:rsidRPr="00D87E9D">
        <w:t>Results for haze of the two Bangerter filters are set out in Table B</w:t>
      </w:r>
    </w:p>
    <w:p w14:paraId="1E77D304" w14:textId="77777777" w:rsidR="003A1719" w:rsidRDefault="003A1719" w:rsidP="003A1719"/>
    <w:p w14:paraId="75E70ED3" w14:textId="77777777" w:rsidR="003A1719" w:rsidRPr="00CC2E3B" w:rsidRDefault="003A1719" w:rsidP="003A1719">
      <w:pPr>
        <w:pStyle w:val="Tablecaption"/>
      </w:pPr>
      <w:r w:rsidRPr="00CC2E3B">
        <w:t>Table B: Wide angle scatter (haze) measurements of the Bangerter filters 1.0 and 0.8.</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3113"/>
        <w:gridCol w:w="1559"/>
        <w:gridCol w:w="1560"/>
      </w:tblGrid>
      <w:tr w:rsidR="003A1719" w:rsidRPr="0081171D" w14:paraId="63C6B3F4" w14:textId="77777777" w:rsidTr="00CE6C34">
        <w:tc>
          <w:tcPr>
            <w:tcW w:w="1276" w:type="dxa"/>
            <w:tcBorders>
              <w:top w:val="single" w:sz="4" w:space="0" w:color="auto"/>
              <w:bottom w:val="single" w:sz="4" w:space="0" w:color="auto"/>
            </w:tcBorders>
            <w:vAlign w:val="center"/>
          </w:tcPr>
          <w:p w14:paraId="3C30B4B5" w14:textId="77777777" w:rsidR="003A1719" w:rsidRPr="0081171D" w:rsidRDefault="003A1719" w:rsidP="00CE6C34">
            <w:pPr>
              <w:pStyle w:val="Paragraphfirst"/>
              <w:rPr>
                <w:sz w:val="20"/>
                <w:szCs w:val="20"/>
              </w:rPr>
            </w:pPr>
            <w:r w:rsidRPr="0081171D">
              <w:rPr>
                <w:sz w:val="20"/>
                <w:szCs w:val="20"/>
              </w:rPr>
              <w:t>Illuminant</w:t>
            </w:r>
          </w:p>
        </w:tc>
        <w:tc>
          <w:tcPr>
            <w:tcW w:w="3113" w:type="dxa"/>
            <w:tcBorders>
              <w:top w:val="single" w:sz="4" w:space="0" w:color="auto"/>
              <w:bottom w:val="single" w:sz="4" w:space="0" w:color="auto"/>
            </w:tcBorders>
            <w:vAlign w:val="center"/>
          </w:tcPr>
          <w:p w14:paraId="33914791" w14:textId="77777777" w:rsidR="003A1719" w:rsidRPr="0081171D" w:rsidRDefault="003A1719" w:rsidP="00CE6C34">
            <w:pPr>
              <w:pStyle w:val="Paragraphfirst"/>
              <w:rPr>
                <w:sz w:val="20"/>
                <w:szCs w:val="20"/>
              </w:rPr>
            </w:pPr>
            <w:r w:rsidRPr="0081171D">
              <w:rPr>
                <w:sz w:val="20"/>
                <w:szCs w:val="20"/>
              </w:rPr>
              <w:t>Measure</w:t>
            </w:r>
          </w:p>
        </w:tc>
        <w:tc>
          <w:tcPr>
            <w:tcW w:w="1559" w:type="dxa"/>
            <w:tcBorders>
              <w:top w:val="single" w:sz="4" w:space="0" w:color="auto"/>
              <w:bottom w:val="single" w:sz="4" w:space="0" w:color="auto"/>
            </w:tcBorders>
            <w:vAlign w:val="center"/>
          </w:tcPr>
          <w:p w14:paraId="677347E9" w14:textId="77777777" w:rsidR="003A1719" w:rsidRPr="0081171D" w:rsidRDefault="003A1719" w:rsidP="00CE6C34">
            <w:pPr>
              <w:pStyle w:val="Paragraphfirst"/>
              <w:rPr>
                <w:sz w:val="20"/>
                <w:szCs w:val="20"/>
              </w:rPr>
            </w:pPr>
            <w:r w:rsidRPr="0081171D">
              <w:rPr>
                <w:sz w:val="20"/>
                <w:szCs w:val="20"/>
              </w:rPr>
              <w:t>Bangerter filter 1.0</w:t>
            </w:r>
          </w:p>
        </w:tc>
        <w:tc>
          <w:tcPr>
            <w:tcW w:w="1560" w:type="dxa"/>
            <w:tcBorders>
              <w:top w:val="single" w:sz="4" w:space="0" w:color="auto"/>
              <w:bottom w:val="single" w:sz="4" w:space="0" w:color="auto"/>
            </w:tcBorders>
            <w:vAlign w:val="center"/>
          </w:tcPr>
          <w:p w14:paraId="4C9AA55D" w14:textId="77777777" w:rsidR="003A1719" w:rsidRPr="0081171D" w:rsidRDefault="003A1719" w:rsidP="00CE6C34">
            <w:pPr>
              <w:pStyle w:val="Paragraphfirst"/>
              <w:rPr>
                <w:sz w:val="20"/>
                <w:szCs w:val="20"/>
              </w:rPr>
            </w:pPr>
            <w:r w:rsidRPr="0081171D">
              <w:rPr>
                <w:sz w:val="20"/>
                <w:szCs w:val="20"/>
              </w:rPr>
              <w:t>Bangerter filter 0.8</w:t>
            </w:r>
          </w:p>
        </w:tc>
      </w:tr>
      <w:tr w:rsidR="003A1719" w:rsidRPr="0081171D" w14:paraId="7A99D853" w14:textId="77777777" w:rsidTr="00CE6C34">
        <w:tc>
          <w:tcPr>
            <w:tcW w:w="1276" w:type="dxa"/>
            <w:vMerge w:val="restart"/>
            <w:tcBorders>
              <w:top w:val="single" w:sz="4" w:space="0" w:color="auto"/>
            </w:tcBorders>
            <w:vAlign w:val="center"/>
          </w:tcPr>
          <w:p w14:paraId="58F2894E" w14:textId="77777777" w:rsidR="003A1719" w:rsidRPr="0081171D" w:rsidRDefault="003A1719" w:rsidP="00CE6C34">
            <w:pPr>
              <w:pStyle w:val="Paragraphfirst"/>
              <w:rPr>
                <w:sz w:val="20"/>
                <w:szCs w:val="20"/>
              </w:rPr>
            </w:pPr>
            <w:r w:rsidRPr="0081171D">
              <w:rPr>
                <w:sz w:val="20"/>
                <w:szCs w:val="20"/>
              </w:rPr>
              <w:t>D65</w:t>
            </w:r>
          </w:p>
        </w:tc>
        <w:tc>
          <w:tcPr>
            <w:tcW w:w="3113" w:type="dxa"/>
            <w:tcBorders>
              <w:top w:val="single" w:sz="4" w:space="0" w:color="auto"/>
            </w:tcBorders>
            <w:vAlign w:val="center"/>
          </w:tcPr>
          <w:p w14:paraId="6B8A643A" w14:textId="77777777" w:rsidR="003A1719" w:rsidRPr="0081171D" w:rsidRDefault="003A1719" w:rsidP="00CE6C34">
            <w:pPr>
              <w:pStyle w:val="Paragraphfirst"/>
              <w:rPr>
                <w:sz w:val="20"/>
                <w:szCs w:val="20"/>
              </w:rPr>
            </w:pPr>
            <w:r w:rsidRPr="0081171D">
              <w:rPr>
                <w:sz w:val="20"/>
                <w:szCs w:val="20"/>
              </w:rPr>
              <w:t>Haze (wide angle scatter) %</w:t>
            </w:r>
          </w:p>
        </w:tc>
        <w:tc>
          <w:tcPr>
            <w:tcW w:w="1559" w:type="dxa"/>
            <w:tcBorders>
              <w:top w:val="single" w:sz="4" w:space="0" w:color="auto"/>
            </w:tcBorders>
            <w:vAlign w:val="center"/>
          </w:tcPr>
          <w:p w14:paraId="3733FEAE" w14:textId="77777777" w:rsidR="003A1719" w:rsidRPr="0081171D" w:rsidRDefault="003A1719" w:rsidP="00CE6C34">
            <w:pPr>
              <w:pStyle w:val="Paragraphfirst"/>
              <w:rPr>
                <w:sz w:val="20"/>
                <w:szCs w:val="20"/>
              </w:rPr>
            </w:pPr>
            <w:r w:rsidRPr="0081171D">
              <w:rPr>
                <w:sz w:val="20"/>
                <w:szCs w:val="20"/>
              </w:rPr>
              <w:t>2.8</w:t>
            </w:r>
          </w:p>
        </w:tc>
        <w:tc>
          <w:tcPr>
            <w:tcW w:w="1560" w:type="dxa"/>
            <w:tcBorders>
              <w:top w:val="single" w:sz="4" w:space="0" w:color="auto"/>
            </w:tcBorders>
            <w:vAlign w:val="center"/>
          </w:tcPr>
          <w:p w14:paraId="60BE2B8E" w14:textId="77777777" w:rsidR="003A1719" w:rsidRPr="0081171D" w:rsidRDefault="003A1719" w:rsidP="00CE6C34">
            <w:pPr>
              <w:pStyle w:val="Paragraphfirst"/>
              <w:rPr>
                <w:sz w:val="20"/>
                <w:szCs w:val="20"/>
              </w:rPr>
            </w:pPr>
            <w:r w:rsidRPr="0081171D">
              <w:rPr>
                <w:sz w:val="20"/>
                <w:szCs w:val="20"/>
              </w:rPr>
              <w:t>9.5</w:t>
            </w:r>
          </w:p>
        </w:tc>
      </w:tr>
      <w:tr w:rsidR="003A1719" w:rsidRPr="0081171D" w14:paraId="67193F29" w14:textId="77777777" w:rsidTr="00CE6C34">
        <w:tc>
          <w:tcPr>
            <w:tcW w:w="1276" w:type="dxa"/>
            <w:vMerge/>
            <w:vAlign w:val="center"/>
          </w:tcPr>
          <w:p w14:paraId="7B0CDE03" w14:textId="77777777" w:rsidR="003A1719" w:rsidRPr="0081171D" w:rsidRDefault="003A1719" w:rsidP="00CE6C34">
            <w:pPr>
              <w:pStyle w:val="Paragraphfirst"/>
              <w:rPr>
                <w:sz w:val="20"/>
                <w:szCs w:val="20"/>
              </w:rPr>
            </w:pPr>
          </w:p>
        </w:tc>
        <w:tc>
          <w:tcPr>
            <w:tcW w:w="3113" w:type="dxa"/>
            <w:vAlign w:val="center"/>
          </w:tcPr>
          <w:p w14:paraId="37AE0EA7" w14:textId="77777777" w:rsidR="003A1719" w:rsidRPr="0081171D" w:rsidRDefault="003A1719" w:rsidP="00CE6C34">
            <w:pPr>
              <w:pStyle w:val="Paragraphfirst"/>
              <w:rPr>
                <w:sz w:val="20"/>
                <w:szCs w:val="20"/>
              </w:rPr>
            </w:pPr>
            <w:r w:rsidRPr="0081171D">
              <w:rPr>
                <w:sz w:val="20"/>
                <w:szCs w:val="20"/>
              </w:rPr>
              <w:t>Luminous transmittance %</w:t>
            </w:r>
          </w:p>
        </w:tc>
        <w:tc>
          <w:tcPr>
            <w:tcW w:w="1559" w:type="dxa"/>
            <w:vAlign w:val="center"/>
          </w:tcPr>
          <w:p w14:paraId="2B74F65C" w14:textId="77777777" w:rsidR="003A1719" w:rsidRPr="0081171D" w:rsidRDefault="003A1719" w:rsidP="00CE6C34">
            <w:pPr>
              <w:pStyle w:val="Paragraphfirst"/>
              <w:rPr>
                <w:sz w:val="20"/>
                <w:szCs w:val="20"/>
              </w:rPr>
            </w:pPr>
            <w:r w:rsidRPr="0081171D">
              <w:rPr>
                <w:sz w:val="20"/>
                <w:szCs w:val="20"/>
              </w:rPr>
              <w:t>90.8</w:t>
            </w:r>
          </w:p>
        </w:tc>
        <w:tc>
          <w:tcPr>
            <w:tcW w:w="1560" w:type="dxa"/>
            <w:vAlign w:val="center"/>
          </w:tcPr>
          <w:p w14:paraId="411BEB28" w14:textId="77777777" w:rsidR="003A1719" w:rsidRPr="0081171D" w:rsidRDefault="003A1719" w:rsidP="00CE6C34">
            <w:pPr>
              <w:pStyle w:val="Paragraphfirst"/>
              <w:rPr>
                <w:sz w:val="20"/>
                <w:szCs w:val="20"/>
              </w:rPr>
            </w:pPr>
            <w:r w:rsidRPr="0081171D">
              <w:rPr>
                <w:sz w:val="20"/>
                <w:szCs w:val="20"/>
              </w:rPr>
              <w:t>90.9</w:t>
            </w:r>
          </w:p>
        </w:tc>
      </w:tr>
      <w:tr w:rsidR="003A1719" w:rsidRPr="0081171D" w14:paraId="7F7B2A4C" w14:textId="77777777" w:rsidTr="00CE6C34">
        <w:tc>
          <w:tcPr>
            <w:tcW w:w="1276" w:type="dxa"/>
            <w:vMerge w:val="restart"/>
            <w:vAlign w:val="center"/>
          </w:tcPr>
          <w:p w14:paraId="4E98FBBC" w14:textId="77777777" w:rsidR="003A1719" w:rsidRPr="0081171D" w:rsidRDefault="003A1719" w:rsidP="00CE6C34">
            <w:pPr>
              <w:pStyle w:val="Paragraphfirst"/>
              <w:rPr>
                <w:sz w:val="20"/>
                <w:szCs w:val="20"/>
              </w:rPr>
            </w:pPr>
            <w:r w:rsidRPr="0081171D">
              <w:rPr>
                <w:sz w:val="20"/>
                <w:szCs w:val="20"/>
              </w:rPr>
              <w:t>A</w:t>
            </w:r>
          </w:p>
        </w:tc>
        <w:tc>
          <w:tcPr>
            <w:tcW w:w="3113" w:type="dxa"/>
            <w:vAlign w:val="center"/>
          </w:tcPr>
          <w:p w14:paraId="5DFE2E17" w14:textId="77777777" w:rsidR="003A1719" w:rsidRPr="0081171D" w:rsidRDefault="003A1719" w:rsidP="00CE6C34">
            <w:pPr>
              <w:pStyle w:val="Paragraphfirst"/>
              <w:rPr>
                <w:sz w:val="20"/>
                <w:szCs w:val="20"/>
              </w:rPr>
            </w:pPr>
            <w:r w:rsidRPr="0081171D">
              <w:rPr>
                <w:sz w:val="20"/>
                <w:szCs w:val="20"/>
              </w:rPr>
              <w:t>Haze (wide angle scatter %)</w:t>
            </w:r>
          </w:p>
        </w:tc>
        <w:tc>
          <w:tcPr>
            <w:tcW w:w="1559" w:type="dxa"/>
            <w:vAlign w:val="center"/>
          </w:tcPr>
          <w:p w14:paraId="7B3B1D8A" w14:textId="77777777" w:rsidR="003A1719" w:rsidRPr="0081171D" w:rsidRDefault="003A1719" w:rsidP="00CE6C34">
            <w:pPr>
              <w:pStyle w:val="Paragraphfirst"/>
              <w:rPr>
                <w:sz w:val="20"/>
                <w:szCs w:val="20"/>
              </w:rPr>
            </w:pPr>
            <w:r w:rsidRPr="0081171D">
              <w:rPr>
                <w:sz w:val="20"/>
                <w:szCs w:val="20"/>
              </w:rPr>
              <w:t>2.8</w:t>
            </w:r>
          </w:p>
        </w:tc>
        <w:tc>
          <w:tcPr>
            <w:tcW w:w="1560" w:type="dxa"/>
            <w:vAlign w:val="center"/>
          </w:tcPr>
          <w:p w14:paraId="25E93AA2" w14:textId="77777777" w:rsidR="003A1719" w:rsidRPr="0081171D" w:rsidRDefault="003A1719" w:rsidP="00CE6C34">
            <w:pPr>
              <w:pStyle w:val="Paragraphfirst"/>
              <w:rPr>
                <w:sz w:val="20"/>
                <w:szCs w:val="20"/>
              </w:rPr>
            </w:pPr>
            <w:r w:rsidRPr="0081171D">
              <w:rPr>
                <w:sz w:val="20"/>
                <w:szCs w:val="20"/>
              </w:rPr>
              <w:t>9.4</w:t>
            </w:r>
          </w:p>
        </w:tc>
      </w:tr>
      <w:tr w:rsidR="003A1719" w:rsidRPr="0081171D" w14:paraId="1ACD39C1" w14:textId="77777777" w:rsidTr="00CE6C34">
        <w:tc>
          <w:tcPr>
            <w:tcW w:w="1276" w:type="dxa"/>
            <w:vMerge/>
            <w:vAlign w:val="center"/>
          </w:tcPr>
          <w:p w14:paraId="33129075" w14:textId="77777777" w:rsidR="003A1719" w:rsidRPr="0081171D" w:rsidRDefault="003A1719" w:rsidP="00CE6C34">
            <w:pPr>
              <w:pStyle w:val="Paragraphfirst"/>
              <w:rPr>
                <w:sz w:val="20"/>
                <w:szCs w:val="20"/>
              </w:rPr>
            </w:pPr>
          </w:p>
        </w:tc>
        <w:tc>
          <w:tcPr>
            <w:tcW w:w="3113" w:type="dxa"/>
            <w:vAlign w:val="center"/>
          </w:tcPr>
          <w:p w14:paraId="6A3CB33D" w14:textId="77777777" w:rsidR="003A1719" w:rsidRPr="0081171D" w:rsidRDefault="003A1719" w:rsidP="00CE6C34">
            <w:pPr>
              <w:pStyle w:val="Paragraphfirst"/>
              <w:rPr>
                <w:sz w:val="20"/>
                <w:szCs w:val="20"/>
              </w:rPr>
            </w:pPr>
            <w:r w:rsidRPr="0081171D">
              <w:rPr>
                <w:sz w:val="20"/>
                <w:szCs w:val="20"/>
              </w:rPr>
              <w:t>Luminous transmittance %</w:t>
            </w:r>
          </w:p>
        </w:tc>
        <w:tc>
          <w:tcPr>
            <w:tcW w:w="1559" w:type="dxa"/>
            <w:vAlign w:val="center"/>
          </w:tcPr>
          <w:p w14:paraId="35B52A17" w14:textId="77777777" w:rsidR="003A1719" w:rsidRPr="0081171D" w:rsidRDefault="003A1719" w:rsidP="00CE6C34">
            <w:pPr>
              <w:pStyle w:val="Paragraphfirst"/>
              <w:rPr>
                <w:sz w:val="20"/>
                <w:szCs w:val="20"/>
              </w:rPr>
            </w:pPr>
            <w:r w:rsidRPr="0081171D">
              <w:rPr>
                <w:sz w:val="20"/>
                <w:szCs w:val="20"/>
              </w:rPr>
              <w:t>90.9</w:t>
            </w:r>
          </w:p>
        </w:tc>
        <w:tc>
          <w:tcPr>
            <w:tcW w:w="1560" w:type="dxa"/>
            <w:vAlign w:val="center"/>
          </w:tcPr>
          <w:p w14:paraId="021C82A9" w14:textId="77777777" w:rsidR="003A1719" w:rsidRPr="0081171D" w:rsidRDefault="003A1719" w:rsidP="00CE6C34">
            <w:pPr>
              <w:pStyle w:val="Paragraphfirst"/>
              <w:rPr>
                <w:sz w:val="20"/>
                <w:szCs w:val="20"/>
              </w:rPr>
            </w:pPr>
            <w:r w:rsidRPr="0081171D">
              <w:rPr>
                <w:sz w:val="20"/>
                <w:szCs w:val="20"/>
              </w:rPr>
              <w:t>91.0</w:t>
            </w:r>
          </w:p>
        </w:tc>
      </w:tr>
    </w:tbl>
    <w:p w14:paraId="4E2D68F9" w14:textId="77777777" w:rsidR="003A1719" w:rsidRDefault="003A1719" w:rsidP="003A1719">
      <w:pPr>
        <w:pStyle w:val="Heading2"/>
      </w:pPr>
    </w:p>
    <w:p w14:paraId="3F20EA5B" w14:textId="77777777" w:rsidR="003A1719" w:rsidRDefault="003A1719" w:rsidP="003A1719">
      <w:pPr>
        <w:pStyle w:val="Heading2"/>
      </w:pPr>
      <w:r>
        <w:t>Discussion</w:t>
      </w:r>
    </w:p>
    <w:p w14:paraId="6CCB6CFD" w14:textId="77777777" w:rsidR="003A1719" w:rsidRPr="00D87E9D" w:rsidRDefault="003A1719" w:rsidP="003A1719">
      <w:pPr>
        <w:pStyle w:val="Paragraphfirst"/>
      </w:pPr>
      <w:r w:rsidRPr="00D87E9D">
        <w:t>The ratios of minimum to mean transmittance (total, diffuse and direct, 450-650 nm) are very close to 1.0 and easily comply with the ISO 12609 and AS 16321.4.</w:t>
      </w:r>
    </w:p>
    <w:p w14:paraId="53210E22" w14:textId="77777777" w:rsidR="003A1719" w:rsidRPr="00D87E9D" w:rsidRDefault="003A1719" w:rsidP="003A1719">
      <w:pPr>
        <w:pStyle w:val="Paragraphfirst"/>
      </w:pPr>
      <w:r w:rsidRPr="00D87E9D">
        <w:t>The haze and luminous transmittances to CIE Illuminants A (a relatively yellow illuminant) and D65 (a relatively blue illuminant) are, within the uncertainty of measurement, the same.  This is a further illustration of the neutrality of transmittance of the Bangerter filters.</w:t>
      </w:r>
    </w:p>
    <w:p w14:paraId="362821AB" w14:textId="77777777" w:rsidR="003A1719" w:rsidRDefault="003A1719" w:rsidP="003A1719">
      <w:pPr>
        <w:pStyle w:val="Heading2"/>
      </w:pPr>
    </w:p>
    <w:p w14:paraId="3CA06581" w14:textId="77777777" w:rsidR="003A1719" w:rsidRDefault="003A1719" w:rsidP="003A1719">
      <w:pPr>
        <w:pStyle w:val="Heading2"/>
      </w:pPr>
      <w:r>
        <w:t>Conclusion</w:t>
      </w:r>
    </w:p>
    <w:p w14:paraId="7062CB2B" w14:textId="77777777" w:rsidR="003A1719" w:rsidRPr="00D87E9D" w:rsidRDefault="003A1719" w:rsidP="003A1719">
      <w:pPr>
        <w:pStyle w:val="Paragraphfirst"/>
      </w:pPr>
      <w:r w:rsidRPr="00D87E9D">
        <w:t>The spectral transmittance characteristics Bangerter filters will not cause any significant effect on the visibility of the red, yellow and green signals.</w:t>
      </w:r>
    </w:p>
    <w:p w14:paraId="19193180" w14:textId="77777777" w:rsidR="003A1719" w:rsidRPr="003F1EDA" w:rsidRDefault="003A1719" w:rsidP="003A1719">
      <w:pPr>
        <w:pStyle w:val="Paragraphfirst"/>
        <w:rPr>
          <w:noProof/>
        </w:rPr>
      </w:pPr>
    </w:p>
    <w:p w14:paraId="768CBF28" w14:textId="77777777" w:rsidR="003A1719" w:rsidRDefault="003A1719" w:rsidP="003A1719"/>
    <w:p w14:paraId="35FEF23A"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719"/>
    <w:rsid w:val="003A1719"/>
    <w:rsid w:val="005C0D39"/>
    <w:rsid w:val="0070406C"/>
    <w:rsid w:val="00724754"/>
    <w:rsid w:val="00C321FA"/>
    <w:rsid w:val="00D67E27"/>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37232"/>
  <w15:chartTrackingRefBased/>
  <w15:docId w15:val="{47BCB09D-AFA0-4E4A-A099-CF1BB497C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719"/>
    <w:pPr>
      <w:spacing w:after="0" w:line="240" w:lineRule="auto"/>
    </w:pPr>
    <w:rPr>
      <w:rFonts w:ascii="Times New Roman" w:eastAsia="Times New Roman" w:hAnsi="Times New Roman" w:cs="Times New Roman"/>
      <w:kern w:val="0"/>
      <w:lang w:val="en-AU" w:eastAsia="en-GB"/>
      <w14:ligatures w14:val="none"/>
    </w:rPr>
  </w:style>
  <w:style w:type="paragraph" w:styleId="Heading1">
    <w:name w:val="heading 1"/>
    <w:basedOn w:val="Normal"/>
    <w:next w:val="Normal"/>
    <w:link w:val="Heading1Char"/>
    <w:uiPriority w:val="9"/>
    <w:qFormat/>
    <w:rsid w:val="003A171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unhideWhenUsed/>
    <w:qFormat/>
    <w:rsid w:val="003A171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3A171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3A171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3A1719"/>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3A1719"/>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3A1719"/>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3A1719"/>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3A1719"/>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7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A17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17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17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17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17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17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17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1719"/>
    <w:rPr>
      <w:rFonts w:eastAsiaTheme="majorEastAsia" w:cstheme="majorBidi"/>
      <w:color w:val="272727" w:themeColor="text1" w:themeTint="D8"/>
    </w:rPr>
  </w:style>
  <w:style w:type="paragraph" w:styleId="Title">
    <w:name w:val="Title"/>
    <w:basedOn w:val="Normal"/>
    <w:next w:val="Normal"/>
    <w:link w:val="TitleChar"/>
    <w:uiPriority w:val="10"/>
    <w:qFormat/>
    <w:rsid w:val="003A1719"/>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3A17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171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3A17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1719"/>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3A1719"/>
    <w:rPr>
      <w:i/>
      <w:iCs/>
      <w:color w:val="404040" w:themeColor="text1" w:themeTint="BF"/>
    </w:rPr>
  </w:style>
  <w:style w:type="paragraph" w:styleId="ListParagraph">
    <w:name w:val="List Paragraph"/>
    <w:basedOn w:val="Normal"/>
    <w:uiPriority w:val="34"/>
    <w:qFormat/>
    <w:rsid w:val="003A1719"/>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3A1719"/>
    <w:rPr>
      <w:i/>
      <w:iCs/>
      <w:color w:val="0F4761" w:themeColor="accent1" w:themeShade="BF"/>
    </w:rPr>
  </w:style>
  <w:style w:type="paragraph" w:styleId="IntenseQuote">
    <w:name w:val="Intense Quote"/>
    <w:basedOn w:val="Normal"/>
    <w:next w:val="Normal"/>
    <w:link w:val="IntenseQuoteChar"/>
    <w:uiPriority w:val="30"/>
    <w:qFormat/>
    <w:rsid w:val="003A171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3A1719"/>
    <w:rPr>
      <w:i/>
      <w:iCs/>
      <w:color w:val="0F4761" w:themeColor="accent1" w:themeShade="BF"/>
    </w:rPr>
  </w:style>
  <w:style w:type="character" w:styleId="IntenseReference">
    <w:name w:val="Intense Reference"/>
    <w:basedOn w:val="DefaultParagraphFont"/>
    <w:uiPriority w:val="32"/>
    <w:qFormat/>
    <w:rsid w:val="003A1719"/>
    <w:rPr>
      <w:b/>
      <w:bCs/>
      <w:smallCaps/>
      <w:color w:val="0F4761" w:themeColor="accent1" w:themeShade="BF"/>
      <w:spacing w:val="5"/>
    </w:rPr>
  </w:style>
  <w:style w:type="table" w:styleId="TableGrid">
    <w:name w:val="Table Grid"/>
    <w:basedOn w:val="TableNormal"/>
    <w:uiPriority w:val="39"/>
    <w:rsid w:val="003A1719"/>
    <w:pPr>
      <w:spacing w:after="0" w:line="240" w:lineRule="auto"/>
    </w:pPr>
    <w:rPr>
      <w:kern w:val="0"/>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Table caption"/>
    <w:basedOn w:val="Normal"/>
    <w:qFormat/>
    <w:rsid w:val="003A1719"/>
    <w:pPr>
      <w:widowControl w:val="0"/>
      <w:adjustRightInd w:val="0"/>
      <w:snapToGrid w:val="0"/>
      <w:spacing w:before="120" w:after="240" w:line="360" w:lineRule="auto"/>
    </w:pPr>
    <w:rPr>
      <w:rFonts w:ascii="Arial" w:hAnsi="Arial" w:cs="Arial"/>
      <w:color w:val="000000"/>
      <w:sz w:val="20"/>
      <w:szCs w:val="20"/>
      <w:lang w:eastAsia="en-US"/>
    </w:rPr>
  </w:style>
  <w:style w:type="paragraph" w:customStyle="1" w:styleId="Subsequentparagraph">
    <w:name w:val="Subsequent paragraph"/>
    <w:basedOn w:val="Normal"/>
    <w:qFormat/>
    <w:rsid w:val="003A1719"/>
    <w:pPr>
      <w:snapToGrid w:val="0"/>
      <w:spacing w:line="480" w:lineRule="auto"/>
      <w:ind w:firstLine="340"/>
    </w:pPr>
    <w:rPr>
      <w:rFonts w:ascii="Arial" w:hAnsi="Arial"/>
    </w:rPr>
  </w:style>
  <w:style w:type="paragraph" w:customStyle="1" w:styleId="Paragraphfirst">
    <w:name w:val="Paragraph (first)"/>
    <w:basedOn w:val="Subsequentparagraph"/>
    <w:qFormat/>
    <w:rsid w:val="003A1719"/>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591</Words>
  <Characters>3268</Characters>
  <Application>Microsoft Office Word</Application>
  <DocSecurity>0</DocSecurity>
  <Lines>69</Lines>
  <Paragraphs>29</Paragraphs>
  <ScaleCrop>false</ScaleCrop>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2025-11-24T13:15:00Z</dcterms:created>
  <dcterms:modified xsi:type="dcterms:W3CDTF">2025-11-24T13:15:00Z</dcterms:modified>
</cp:coreProperties>
</file>