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F7CE4" w14:textId="77777777" w:rsidR="00F25E33" w:rsidRPr="00D6648E" w:rsidRDefault="00F25E33" w:rsidP="00F25E3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1"/>
          <w:szCs w:val="21"/>
        </w:rPr>
      </w:pPr>
      <w:r w:rsidRPr="00D6648E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Supplementary Figure 1: Corresponding to Figures 2 and 3 </w:t>
      </w:r>
    </w:p>
    <w:p w14:paraId="7736EF79" w14:textId="77777777" w:rsidR="00F25E33" w:rsidRPr="00D6648E" w:rsidRDefault="00F25E33" w:rsidP="00F25E33">
      <w:pPr>
        <w:spacing w:after="0" w:line="360" w:lineRule="auto"/>
        <w:rPr>
          <w:rFonts w:ascii="Times New Roman" w:hAnsi="Times New Roman" w:cs="Times New Roman"/>
          <w:i/>
          <w:iCs/>
          <w:sz w:val="21"/>
          <w:szCs w:val="21"/>
        </w:rPr>
      </w:pPr>
      <w:r w:rsidRPr="00D6648E">
        <w:rPr>
          <w:rFonts w:ascii="Times New Roman" w:hAnsi="Times New Roman" w:cs="Times New Roman"/>
          <w:i/>
          <w:iCs/>
          <w:noProof/>
          <w:sz w:val="21"/>
          <w:szCs w:val="21"/>
        </w:rPr>
        <w:drawing>
          <wp:inline distT="0" distB="0" distL="0" distR="0" wp14:anchorId="1E34D67E" wp14:editId="6C15520C">
            <wp:extent cx="5274310" cy="5776595"/>
            <wp:effectExtent l="0" t="0" r="2540" b="0"/>
            <wp:docPr id="7687202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720231" name="图片 76872023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7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DDB16" w14:textId="77777777" w:rsidR="00F25E33" w:rsidRPr="00B62E12" w:rsidRDefault="00F25E33" w:rsidP="00F25E33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18"/>
          <w:szCs w:val="18"/>
        </w:rPr>
      </w:pPr>
      <w:r w:rsidRPr="00B62E12">
        <w:rPr>
          <w:rFonts w:ascii="Times New Roman" w:hAnsi="Times New Roman" w:cs="Times New Roman"/>
          <w:i/>
          <w:iCs/>
          <w:sz w:val="18"/>
          <w:szCs w:val="18"/>
        </w:rPr>
        <w:t>(A) Body weight changes of mice in the control group (Con), CTX group, and CTX+HCQ group from day 0 (D0) to day35 (D35).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 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>(B) Proportions of mice in each stage of the estrous cycle [estrus (E), proestrus (P), metestrus (M), diestrus (D)] across groups.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 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(C) Representative photographs showing the gross morphology of uteri in each treatment group (scale bar for indicating uterus size).(D) Quantitative analysis of uterus weight (n=6;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0.01).(E) Quantitative analysis of the uterine index (uterus weight/body weight) (n=6;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0.05,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>P &lt; 0.01).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 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>(F) Representative masson staining of ovaries (Upper scale bar = 100μm, Lower scale bar = 20μm; insets show magnified views).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 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(G) Quantitative analysis of collagen-positive areas in ovaries (n=6;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>P &lt; 0.01).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 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(H–L) Statistics of the number of primordial follicles (H), primary follicles (I), secondary follicles (J), antral follicles (K), and early growing follicles (L) per ovary (n=6;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0.05,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>P &lt; 0.01).</w:t>
      </w:r>
    </w:p>
    <w:p w14:paraId="0A1AA4A6" w14:textId="77777777" w:rsidR="00F25E33" w:rsidRPr="00D6648E" w:rsidRDefault="00F25E33" w:rsidP="00F25E3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1"/>
          <w:szCs w:val="21"/>
        </w:rPr>
      </w:pPr>
      <w:r w:rsidRPr="00D6648E">
        <w:rPr>
          <w:rFonts w:ascii="Times New Roman" w:hAnsi="Times New Roman" w:cs="Times New Roman"/>
          <w:b/>
          <w:bCs/>
          <w:i/>
          <w:iCs/>
          <w:sz w:val="21"/>
          <w:szCs w:val="21"/>
        </w:rPr>
        <w:t>Supplementary Figure 2: Corresponding to Figures 4 and 5</w:t>
      </w:r>
    </w:p>
    <w:p w14:paraId="3B2B3CFC" w14:textId="77777777" w:rsidR="00F25E33" w:rsidRPr="00D6648E" w:rsidRDefault="00F25E33" w:rsidP="00F25E3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1"/>
          <w:szCs w:val="21"/>
        </w:rPr>
      </w:pPr>
      <w:r w:rsidRPr="00D6648E">
        <w:rPr>
          <w:rFonts w:ascii="Times New Roman" w:hAnsi="Times New Roman" w:cs="Times New Roman"/>
          <w:b/>
          <w:bCs/>
          <w:i/>
          <w:iCs/>
          <w:noProof/>
          <w:sz w:val="21"/>
          <w:szCs w:val="21"/>
        </w:rPr>
        <w:lastRenderedPageBreak/>
        <w:drawing>
          <wp:inline distT="0" distB="0" distL="0" distR="0" wp14:anchorId="08F991FF" wp14:editId="69628C05">
            <wp:extent cx="5274310" cy="6788785"/>
            <wp:effectExtent l="0" t="0" r="2540" b="0"/>
            <wp:docPr id="122573709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737095" name="图片 122573709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8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F70BC" w14:textId="77777777" w:rsidR="00F25E33" w:rsidRPr="00B62E12" w:rsidRDefault="00F25E33" w:rsidP="00F25E33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18"/>
          <w:szCs w:val="18"/>
        </w:rPr>
      </w:pP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(A) Representative TUNEL staining of ovaries in the control group (Con), CTX group, and CTX+HCQ group (DAPI stains nuclei blue, TUNEL-positive signals are shown in red, Merge = merged images; green arrows indicate positive cells; scale bar = 200μm).(B) Quantitative analysis of TUNEL-positive areas (n=6;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0.05,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0.01).(C) ELISA detection of cell apoptosis in each group (Con, PM, PM+HCQ, HCQ) (absorbance values at 450 nm) (n=6;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0.05,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>P &lt; 0.01).(D) Representative edU staining of cells in each group (DAPI stains nuclei blue, EdU-positive signals are shown in red, Merge = merged images; scale bar = 100μm).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 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(E) Quantitative analysis of the proportion of EdU-positive cells (n=6;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>P &lt; 0.01).(F) Representative western blot analysis of γ-H2AX protein in each group (Con, PM, PM+HCQ, HCQ) (Tubulin served as the internal reference).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 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(G) Quantitative analysis of the relative protein expression of γ-H2AX (n=3;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0.05,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>P &lt; 0.01)。</w:t>
      </w:r>
    </w:p>
    <w:p w14:paraId="25247FF7" w14:textId="77777777" w:rsidR="00F25E33" w:rsidRPr="00D6648E" w:rsidRDefault="00F25E33" w:rsidP="00F25E3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1"/>
          <w:szCs w:val="21"/>
        </w:rPr>
      </w:pPr>
      <w:r w:rsidRPr="00D6648E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Supplementary Figure 3: Corresponding to Figure 7 </w:t>
      </w:r>
    </w:p>
    <w:p w14:paraId="044DEBE5" w14:textId="77777777" w:rsidR="00F25E33" w:rsidRPr="00D6648E" w:rsidRDefault="00F25E33" w:rsidP="00F25E3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1"/>
          <w:szCs w:val="21"/>
        </w:rPr>
      </w:pPr>
      <w:r w:rsidRPr="00D6648E">
        <w:rPr>
          <w:rFonts w:ascii="Times New Roman" w:hAnsi="Times New Roman" w:cs="Times New Roman"/>
          <w:b/>
          <w:bCs/>
          <w:i/>
          <w:iCs/>
          <w:noProof/>
          <w:sz w:val="21"/>
          <w:szCs w:val="21"/>
        </w:rPr>
        <w:lastRenderedPageBreak/>
        <w:drawing>
          <wp:inline distT="0" distB="0" distL="0" distR="0" wp14:anchorId="04A2985A" wp14:editId="4DDF7009">
            <wp:extent cx="5274310" cy="7979410"/>
            <wp:effectExtent l="0" t="0" r="2540" b="2540"/>
            <wp:docPr id="500950590" name="图片 11" descr="A collage of imag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950590" name="图片 11" descr="A collage of images of cell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7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F5668" w14:textId="77777777" w:rsidR="00F25E33" w:rsidRPr="00B62E12" w:rsidRDefault="00F25E33" w:rsidP="00F25E33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18"/>
          <w:szCs w:val="18"/>
        </w:rPr>
      </w:pP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(A) Representative ROS fluorescence staining of cells in the control group (Con), PM group, PM+HCQ group, and HCQ group 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lastRenderedPageBreak/>
        <w:t xml:space="preserve">(green indicates ROS-positive signals; scale bar = 200μm).(B) Quantitative analysis of ROS-positive areas (n=6;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0.01).(C) Representative JC-1 staining of cells in each group (red represents aggregated JC-1, green represents monomeric JC-1, Merge = merged images; scale bar = 50μm).(D) Quantitative analysis of the ratio of JC-1 monomer/aggregated fluorescence intensity (n=6;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0.01).(E) qPCR analysis of HK2 gene expression in cells (whole cells and cytoplasmic fractions) from each group (n=3).(F) Representative western blot analysis of cytochrome c (CYTO-c), phosphorylated IRF3 (p-IRF3), and IRF3 proteins in each group (Tubulin served as the internal reference).(G–H) Quantitative analysis of the relative protein expression of CYTO-c (G) and p-IRF3 (H) (n=3;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0.05,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0.01).(I–K) qPCR analysis of the relative mRNA expression of cGAS (I), STING1 (J), and TBK1 (K) in cells from each group. (n=3;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 xml:space="preserve">P &lt; 0.05, </w:t>
      </w:r>
      <w:r w:rsidRPr="00B62E12">
        <w:rPr>
          <w:rFonts w:ascii="Cambria Math" w:hAnsi="Cambria Math" w:cs="Cambria Math"/>
          <w:i/>
          <w:iCs/>
          <w:sz w:val="18"/>
          <w:szCs w:val="18"/>
        </w:rPr>
        <w:t>∗∗</w:t>
      </w:r>
      <w:r w:rsidRPr="00B62E12">
        <w:rPr>
          <w:rFonts w:ascii="Times New Roman" w:hAnsi="Times New Roman" w:cs="Times New Roman"/>
          <w:i/>
          <w:iCs/>
          <w:sz w:val="18"/>
          <w:szCs w:val="18"/>
        </w:rPr>
        <w:t>P &lt; 0.01)</w:t>
      </w:r>
    </w:p>
    <w:p w14:paraId="30829FAF" w14:textId="77777777" w:rsidR="00F25E33" w:rsidRPr="00B62E12" w:rsidRDefault="00F25E33" w:rsidP="00F25E33">
      <w:pPr>
        <w:spacing w:after="0" w:line="360" w:lineRule="auto"/>
        <w:rPr>
          <w:rFonts w:ascii="Times New Roman" w:hAnsi="Times New Roman" w:cs="Times New Roman"/>
          <w:i/>
          <w:iCs/>
          <w:sz w:val="18"/>
          <w:szCs w:val="18"/>
        </w:rPr>
      </w:pPr>
    </w:p>
    <w:p w14:paraId="1D7C638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E33"/>
    <w:rsid w:val="002978F5"/>
    <w:rsid w:val="0031398C"/>
    <w:rsid w:val="003852CF"/>
    <w:rsid w:val="004E780C"/>
    <w:rsid w:val="00F25E3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90692"/>
  <w15:chartTrackingRefBased/>
  <w15:docId w15:val="{7FA07B92-7EB6-4219-8F81-D16564388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E33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5E33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5E33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E33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E33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E33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E33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E33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E33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E33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E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5E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E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E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E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E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E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E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E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E33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25E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E33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25E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5E33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25E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E33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F25E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E3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E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E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465</Words>
  <Characters>2684</Characters>
  <Application>Microsoft Office Word</Application>
  <DocSecurity>0</DocSecurity>
  <Lines>40</Lines>
  <Paragraphs>11</Paragraphs>
  <ScaleCrop>false</ScaleCrop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2025-11-25T18:07:00Z</dcterms:created>
  <dcterms:modified xsi:type="dcterms:W3CDTF">2025-11-25T18:07:00Z</dcterms:modified>
</cp:coreProperties>
</file>