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74BA0" w14:textId="77777777" w:rsidR="004944C4" w:rsidRDefault="004944C4" w:rsidP="004944C4">
      <w:pPr>
        <w:spacing w:before="240" w:after="120" w:line="480" w:lineRule="auto"/>
        <w:ind w:firstLine="0"/>
        <w:contextualSpacing/>
        <w:jc w:val="left"/>
        <w:outlineLvl w:val="0"/>
        <w:rPr>
          <w:rFonts w:ascii="Times New Roman" w:eastAsia="Times New Roman" w:hAnsi="Times New Roman" w:cs="Times New Roman"/>
          <w:b/>
          <w:bCs/>
          <w:spacing w:val="-10"/>
          <w:kern w:val="28"/>
          <w:sz w:val="28"/>
          <w:szCs w:val="28"/>
        </w:rPr>
      </w:pPr>
      <w:r w:rsidRPr="00124164">
        <w:rPr>
          <w:rFonts w:ascii="Times New Roman" w:eastAsia="Times New Roman" w:hAnsi="Times New Roman" w:cs="Times New Roman"/>
          <w:b/>
          <w:bCs/>
          <w:spacing w:val="-10"/>
          <w:kern w:val="28"/>
          <w:sz w:val="28"/>
          <w:szCs w:val="28"/>
        </w:rPr>
        <w:t>Supplementary Table S1.</w:t>
      </w:r>
    </w:p>
    <w:p w14:paraId="17ECF06D" w14:textId="77777777" w:rsidR="004944C4" w:rsidRPr="005D3039" w:rsidRDefault="004944C4" w:rsidP="004944C4">
      <w:pPr>
        <w:spacing w:before="240" w:after="120" w:line="480" w:lineRule="auto"/>
        <w:ind w:firstLine="0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spacing w:val="-10"/>
          <w:kern w:val="28"/>
          <w:sz w:val="28"/>
          <w:szCs w:val="28"/>
        </w:rPr>
      </w:pPr>
      <w:r w:rsidRPr="005D3039">
        <w:rPr>
          <w:rFonts w:ascii="Times New Roman" w:eastAsia="Times New Roman" w:hAnsi="Times New Roman" w:cs="Times New Roman"/>
          <w:b/>
          <w:bCs/>
          <w:spacing w:val="-10"/>
          <w:kern w:val="28"/>
          <w:sz w:val="28"/>
          <w:szCs w:val="28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spacing w:val="-10"/>
          <w:kern w:val="28"/>
          <w:sz w:val="28"/>
          <w:szCs w:val="28"/>
        </w:rPr>
        <w:t>S1</w:t>
      </w:r>
      <w:r w:rsidRPr="005D3039">
        <w:rPr>
          <w:rFonts w:ascii="Times New Roman" w:eastAsia="Times New Roman" w:hAnsi="Times New Roman" w:cs="Times New Roman"/>
          <w:b/>
          <w:bCs/>
          <w:spacing w:val="-10"/>
          <w:kern w:val="28"/>
          <w:sz w:val="28"/>
          <w:szCs w:val="28"/>
        </w:rPr>
        <w:t>A–C. Human-Centered Summary (Aligned &amp; Sorted 2025→2020)</w:t>
      </w:r>
    </w:p>
    <w:p w14:paraId="77D03B05" w14:textId="77777777" w:rsidR="004944C4" w:rsidRPr="005D3039" w:rsidRDefault="004944C4" w:rsidP="004944C4">
      <w:pPr>
        <w:spacing w:after="200" w:line="276" w:lineRule="auto"/>
        <w:ind w:firstLine="0"/>
        <w:jc w:val="center"/>
        <w:rPr>
          <w:rFonts w:ascii="Times New Roman" w:eastAsia="Times New Roman" w:hAnsi="Times New Roman" w:cs="Arial"/>
          <w:kern w:val="0"/>
          <w:szCs w:val="22"/>
          <w14:ligatures w14:val="none"/>
        </w:rPr>
      </w:pPr>
      <w:r w:rsidRPr="005D3039">
        <w:rPr>
          <w:rFonts w:ascii="Times New Roman" w:eastAsia="Times New Roman" w:hAnsi="Times New Roman" w:cs="Arial"/>
          <w:kern w:val="0"/>
          <w:szCs w:val="22"/>
          <w14:ligatures w14:val="none"/>
        </w:rPr>
        <w:t xml:space="preserve">Each sub-table contains ten articles with challenges, solutions, and why it matters. Order is identical to Table </w:t>
      </w:r>
      <w:r>
        <w:rPr>
          <w:rFonts w:ascii="Times New Roman" w:eastAsia="Times New Roman" w:hAnsi="Times New Roman" w:cs="Arial"/>
          <w:kern w:val="0"/>
          <w:szCs w:val="22"/>
          <w14:ligatures w14:val="none"/>
        </w:rPr>
        <w:t>sS1</w:t>
      </w:r>
      <w:r w:rsidRPr="005D3039">
        <w:rPr>
          <w:rFonts w:ascii="Times New Roman" w:eastAsia="Times New Roman" w:hAnsi="Times New Roman" w:cs="Arial"/>
          <w:kern w:val="0"/>
          <w:szCs w:val="22"/>
          <w14:ligatures w14:val="none"/>
        </w:rPr>
        <w:t>1</w:t>
      </w:r>
      <w:r>
        <w:rPr>
          <w:rFonts w:ascii="Times New Roman" w:eastAsia="Times New Roman" w:hAnsi="Times New Roman" w:cs="Arial"/>
          <w:kern w:val="0"/>
          <w:szCs w:val="22"/>
          <w14:ligatures w14:val="none"/>
        </w:rPr>
        <w:t>a</w:t>
      </w:r>
      <w:r w:rsidRPr="005D3039">
        <w:rPr>
          <w:rFonts w:ascii="Times New Roman" w:eastAsia="Times New Roman" w:hAnsi="Times New Roman" w:cs="Arial"/>
          <w:kern w:val="0"/>
          <w:szCs w:val="22"/>
          <w14:ligatures w14:val="none"/>
        </w:rPr>
        <w:t>–</w:t>
      </w:r>
      <w:r>
        <w:rPr>
          <w:rFonts w:ascii="Times New Roman" w:eastAsia="Times New Roman" w:hAnsi="Times New Roman" w:cs="Arial"/>
          <w:kern w:val="0"/>
          <w:szCs w:val="22"/>
          <w14:ligatures w14:val="none"/>
        </w:rPr>
        <w:t>c</w:t>
      </w:r>
      <w:r w:rsidRPr="005D3039">
        <w:rPr>
          <w:rFonts w:ascii="Times New Roman" w:eastAsia="Times New Roman" w:hAnsi="Times New Roman" w:cs="Arial"/>
          <w:kern w:val="0"/>
          <w:szCs w:val="22"/>
          <w14:ligatures w14:val="none"/>
        </w:rPr>
        <w:t>.</w:t>
      </w:r>
    </w:p>
    <w:p w14:paraId="0A751C37" w14:textId="77777777" w:rsidR="004944C4" w:rsidRPr="005D3039" w:rsidRDefault="004944C4" w:rsidP="004944C4">
      <w:pPr>
        <w:spacing w:after="200" w:line="276" w:lineRule="auto"/>
        <w:ind w:firstLine="0"/>
        <w:jc w:val="left"/>
        <w:rPr>
          <w:rFonts w:ascii="Times New Roman" w:eastAsia="Times New Roman" w:hAnsi="Times New Roman" w:cs="Arial"/>
          <w:kern w:val="0"/>
          <w:szCs w:val="22"/>
          <w14:ligatures w14:val="none"/>
        </w:rPr>
      </w:pPr>
      <w:r w:rsidRPr="00124164">
        <w:rPr>
          <w:rFonts w:ascii="Times New Roman" w:eastAsia="Times New Roman" w:hAnsi="Times New Roman" w:cs="Arial"/>
          <w:b/>
          <w:kern w:val="0"/>
          <w:szCs w:val="22"/>
          <w14:ligatures w14:val="none"/>
        </w:rPr>
        <w:t>Supplementary Table S1a. Summary of studies 1–10</w:t>
      </w:r>
    </w:p>
    <w:tbl>
      <w:tblPr>
        <w:tblStyle w:val="TableGrid4"/>
        <w:tblW w:w="0" w:type="auto"/>
        <w:tblLayout w:type="fixed"/>
        <w:tblLook w:val="04A0" w:firstRow="1" w:lastRow="0" w:firstColumn="1" w:lastColumn="0" w:noHBand="0" w:noVBand="1"/>
      </w:tblPr>
      <w:tblGrid>
        <w:gridCol w:w="358"/>
        <w:gridCol w:w="1131"/>
        <w:gridCol w:w="831"/>
        <w:gridCol w:w="500"/>
        <w:gridCol w:w="1003"/>
        <w:gridCol w:w="1417"/>
        <w:gridCol w:w="1825"/>
        <w:gridCol w:w="1565"/>
      </w:tblGrid>
      <w:tr w:rsidR="004944C4" w:rsidRPr="004944C4" w14:paraId="1AB6C6CB" w14:textId="77777777" w:rsidTr="00692E92">
        <w:tc>
          <w:tcPr>
            <w:tcW w:w="358" w:type="dxa"/>
          </w:tcPr>
          <w:p w14:paraId="49C824F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#</w:t>
            </w:r>
          </w:p>
        </w:tc>
        <w:tc>
          <w:tcPr>
            <w:tcW w:w="1131" w:type="dxa"/>
          </w:tcPr>
          <w:p w14:paraId="1E3E563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Title</w:t>
            </w:r>
          </w:p>
        </w:tc>
        <w:tc>
          <w:tcPr>
            <w:tcW w:w="831" w:type="dxa"/>
          </w:tcPr>
          <w:p w14:paraId="587F6BC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 xml:space="preserve">Journal </w:t>
            </w:r>
          </w:p>
        </w:tc>
        <w:tc>
          <w:tcPr>
            <w:tcW w:w="500" w:type="dxa"/>
          </w:tcPr>
          <w:p w14:paraId="2B578B2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Year</w:t>
            </w:r>
          </w:p>
        </w:tc>
        <w:tc>
          <w:tcPr>
            <w:tcW w:w="1003" w:type="dxa"/>
          </w:tcPr>
          <w:p w14:paraId="58828F1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Primary Theme</w:t>
            </w:r>
          </w:p>
        </w:tc>
        <w:tc>
          <w:tcPr>
            <w:tcW w:w="1417" w:type="dxa"/>
          </w:tcPr>
          <w:p w14:paraId="23B948F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Key Challenges</w:t>
            </w:r>
          </w:p>
        </w:tc>
        <w:tc>
          <w:tcPr>
            <w:tcW w:w="1825" w:type="dxa"/>
          </w:tcPr>
          <w:p w14:paraId="1631081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Practical Solutions</w:t>
            </w:r>
          </w:p>
        </w:tc>
        <w:tc>
          <w:tcPr>
            <w:tcW w:w="1565" w:type="dxa"/>
          </w:tcPr>
          <w:p w14:paraId="72113F5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Why It Matters</w:t>
            </w:r>
          </w:p>
        </w:tc>
      </w:tr>
      <w:tr w:rsidR="004944C4" w:rsidRPr="004944C4" w14:paraId="37190A59" w14:textId="77777777" w:rsidTr="00692E92">
        <w:tc>
          <w:tcPr>
            <w:tcW w:w="358" w:type="dxa"/>
          </w:tcPr>
          <w:p w14:paraId="70F50E6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</w:t>
            </w:r>
          </w:p>
        </w:tc>
        <w:tc>
          <w:tcPr>
            <w:tcW w:w="1131" w:type="dxa"/>
          </w:tcPr>
          <w:p w14:paraId="0437135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Algorithmic Bias in Public Health AI</w:t>
            </w:r>
          </w:p>
        </w:tc>
        <w:tc>
          <w:tcPr>
            <w:tcW w:w="831" w:type="dxa"/>
          </w:tcPr>
          <w:p w14:paraId="4FECA20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Frontiers in Public Health (Q2)</w:t>
            </w:r>
          </w:p>
        </w:tc>
        <w:tc>
          <w:tcPr>
            <w:tcW w:w="500" w:type="dxa"/>
          </w:tcPr>
          <w:p w14:paraId="4410C8B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003" w:type="dxa"/>
          </w:tcPr>
          <w:p w14:paraId="52F052E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Ethics &amp; Governance</w:t>
            </w:r>
          </w:p>
        </w:tc>
        <w:tc>
          <w:tcPr>
            <w:tcW w:w="1417" w:type="dxa"/>
          </w:tcPr>
          <w:p w14:paraId="68A9DDA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Training-data bias — raises trust and safety concerns</w:t>
            </w:r>
          </w:p>
        </w:tc>
        <w:tc>
          <w:tcPr>
            <w:tcW w:w="1825" w:type="dxa"/>
          </w:tcPr>
          <w:p w14:paraId="57AA540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Fairness testing — raises trust and safety concerns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local datasets — raises trust and safety concerns</w:t>
            </w:r>
          </w:p>
        </w:tc>
        <w:tc>
          <w:tcPr>
            <w:tcW w:w="1565" w:type="dxa"/>
          </w:tcPr>
          <w:p w14:paraId="3C662EA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Fairer decisions — raises trust and safety concerns</w:t>
            </w:r>
          </w:p>
        </w:tc>
      </w:tr>
      <w:tr w:rsidR="004944C4" w:rsidRPr="004944C4" w14:paraId="753A4306" w14:textId="77777777" w:rsidTr="00692E92">
        <w:tc>
          <w:tcPr>
            <w:tcW w:w="358" w:type="dxa"/>
          </w:tcPr>
          <w:p w14:paraId="56AEC2F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131" w:type="dxa"/>
          </w:tcPr>
          <w:p w14:paraId="097A2DE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 in Humanitarian Healthcare: Decision Support in Crises</w:t>
            </w:r>
          </w:p>
        </w:tc>
        <w:tc>
          <w:tcPr>
            <w:tcW w:w="831" w:type="dxa"/>
          </w:tcPr>
          <w:p w14:paraId="2F40159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Frontiers in AI (Q2)</w:t>
            </w:r>
          </w:p>
        </w:tc>
        <w:tc>
          <w:tcPr>
            <w:tcW w:w="500" w:type="dxa"/>
          </w:tcPr>
          <w:p w14:paraId="488A1D4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003" w:type="dxa"/>
          </w:tcPr>
          <w:p w14:paraId="7592D0B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Infrastructure</w:t>
            </w:r>
          </w:p>
        </w:tc>
        <w:tc>
          <w:tcPr>
            <w:tcW w:w="1417" w:type="dxa"/>
          </w:tcPr>
          <w:p w14:paraId="1C5DC9B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Data loss — disrupts connectivity/workflows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weak networks — disrupts connectivity/workflows</w:t>
            </w:r>
          </w:p>
        </w:tc>
        <w:tc>
          <w:tcPr>
            <w:tcW w:w="1825" w:type="dxa"/>
          </w:tcPr>
          <w:p w14:paraId="5510EF4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Offline tools — disrupts connectivity/workflows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encryption — disrupts connectivity/workflows</w:t>
            </w:r>
          </w:p>
        </w:tc>
        <w:tc>
          <w:tcPr>
            <w:tcW w:w="1565" w:type="dxa"/>
          </w:tcPr>
          <w:p w14:paraId="05B7BF8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Continuity in emergencies — disrupts connectivity/workflows</w:t>
            </w:r>
          </w:p>
        </w:tc>
      </w:tr>
      <w:tr w:rsidR="004944C4" w:rsidRPr="004944C4" w14:paraId="3C71AE63" w14:textId="77777777" w:rsidTr="00692E92">
        <w:tc>
          <w:tcPr>
            <w:tcW w:w="358" w:type="dxa"/>
          </w:tcPr>
          <w:p w14:paraId="572A3FD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131" w:type="dxa"/>
          </w:tcPr>
          <w:p w14:paraId="0AE08602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 &amp; Digital Health in Developing Countries: Primary Care Integration</w:t>
            </w:r>
          </w:p>
        </w:tc>
        <w:tc>
          <w:tcPr>
            <w:tcW w:w="831" w:type="dxa"/>
          </w:tcPr>
          <w:p w14:paraId="6281BF3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Frontiers in Digital Health (Q2)</w:t>
            </w:r>
          </w:p>
        </w:tc>
        <w:tc>
          <w:tcPr>
            <w:tcW w:w="500" w:type="dxa"/>
          </w:tcPr>
          <w:p w14:paraId="2691553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003" w:type="dxa"/>
          </w:tcPr>
          <w:p w14:paraId="307E9CE2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Policy &amp; Sustainability</w:t>
            </w:r>
          </w:p>
        </w:tc>
        <w:tc>
          <w:tcPr>
            <w:tcW w:w="1417" w:type="dxa"/>
          </w:tcPr>
          <w:p w14:paraId="045560A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Poor integration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resistance — delays scale‑up and funding</w:t>
            </w:r>
          </w:p>
        </w:tc>
        <w:tc>
          <w:tcPr>
            <w:tcW w:w="1825" w:type="dxa"/>
          </w:tcPr>
          <w:p w14:paraId="5A696BE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Roadmap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training — delays scale‑up and funding</w:t>
            </w:r>
          </w:p>
        </w:tc>
        <w:tc>
          <w:tcPr>
            <w:tcW w:w="1565" w:type="dxa"/>
          </w:tcPr>
          <w:p w14:paraId="195DBEE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Sustainable services — delays scale‑up and funding</w:t>
            </w:r>
          </w:p>
        </w:tc>
      </w:tr>
      <w:tr w:rsidR="004944C4" w:rsidRPr="004944C4" w14:paraId="5D6CCD40" w14:textId="77777777" w:rsidTr="00692E92">
        <w:tc>
          <w:tcPr>
            <w:tcW w:w="358" w:type="dxa"/>
          </w:tcPr>
          <w:p w14:paraId="703BD93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131" w:type="dxa"/>
          </w:tcPr>
          <w:p w14:paraId="4308F73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Generalizability of AI Models in Health Systems</w:t>
            </w:r>
          </w:p>
        </w:tc>
        <w:tc>
          <w:tcPr>
            <w:tcW w:w="831" w:type="dxa"/>
          </w:tcPr>
          <w:p w14:paraId="4A019422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Scientific Reports (Q1)</w:t>
            </w:r>
          </w:p>
        </w:tc>
        <w:tc>
          <w:tcPr>
            <w:tcW w:w="500" w:type="dxa"/>
          </w:tcPr>
          <w:p w14:paraId="399CC64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003" w:type="dxa"/>
          </w:tcPr>
          <w:p w14:paraId="4E704BA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Data &amp; Capacity</w:t>
            </w:r>
          </w:p>
        </w:tc>
        <w:tc>
          <w:tcPr>
            <w:tcW w:w="1417" w:type="dxa"/>
          </w:tcPr>
          <w:p w14:paraId="4513B4D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Limited data diversity — limits model training/validation</w:t>
            </w:r>
          </w:p>
        </w:tc>
        <w:tc>
          <w:tcPr>
            <w:tcW w:w="1825" w:type="dxa"/>
          </w:tcPr>
          <w:p w14:paraId="200D6E2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Multi-center validation — limits model training/validation</w:t>
            </w:r>
          </w:p>
        </w:tc>
        <w:tc>
          <w:tcPr>
            <w:tcW w:w="1565" w:type="dxa"/>
          </w:tcPr>
          <w:p w14:paraId="3E47A40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Safer deployment — limits model training/validation</w:t>
            </w:r>
          </w:p>
        </w:tc>
      </w:tr>
      <w:tr w:rsidR="004944C4" w:rsidRPr="004944C4" w14:paraId="0EDC3226" w14:textId="77777777" w:rsidTr="00692E92">
        <w:tc>
          <w:tcPr>
            <w:tcW w:w="358" w:type="dxa"/>
          </w:tcPr>
          <w:p w14:paraId="320B043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5</w:t>
            </w:r>
          </w:p>
        </w:tc>
        <w:tc>
          <w:tcPr>
            <w:tcW w:w="1131" w:type="dxa"/>
          </w:tcPr>
          <w:p w14:paraId="6BAE78E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AIRE Platform for Health Equity</w:t>
            </w:r>
          </w:p>
        </w:tc>
        <w:tc>
          <w:tcPr>
            <w:tcW w:w="831" w:type="dxa"/>
          </w:tcPr>
          <w:p w14:paraId="1F60AFC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The Lancet Digital Health (Q1)</w:t>
            </w:r>
          </w:p>
        </w:tc>
        <w:tc>
          <w:tcPr>
            <w:tcW w:w="500" w:type="dxa"/>
          </w:tcPr>
          <w:p w14:paraId="5B441CF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003" w:type="dxa"/>
          </w:tcPr>
          <w:p w14:paraId="5F1807F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Policy &amp; Sustainability</w:t>
            </w:r>
          </w:p>
        </w:tc>
        <w:tc>
          <w:tcPr>
            <w:tcW w:w="1417" w:type="dxa"/>
          </w:tcPr>
          <w:p w14:paraId="37F79A6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Unequal AI access — delays scale‑up and funding</w:t>
            </w:r>
          </w:p>
        </w:tc>
        <w:tc>
          <w:tcPr>
            <w:tcW w:w="1825" w:type="dxa"/>
          </w:tcPr>
          <w:p w14:paraId="30EC2AC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Open platforms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subsidies — delays scale‑up and funding</w:t>
            </w:r>
          </w:p>
        </w:tc>
        <w:tc>
          <w:tcPr>
            <w:tcW w:w="1565" w:type="dxa"/>
          </w:tcPr>
          <w:p w14:paraId="6F32E73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Local innovation — delays scale‑up and funding</w:t>
            </w:r>
          </w:p>
        </w:tc>
      </w:tr>
      <w:tr w:rsidR="004944C4" w:rsidRPr="004944C4" w14:paraId="3EC9B8CB" w14:textId="77777777" w:rsidTr="00692E92">
        <w:tc>
          <w:tcPr>
            <w:tcW w:w="358" w:type="dxa"/>
          </w:tcPr>
          <w:p w14:paraId="307C8C4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131" w:type="dxa"/>
          </w:tcPr>
          <w:p w14:paraId="351E940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Artificial Intelligence in Nuclear Medicine</w:t>
            </w:r>
          </w:p>
        </w:tc>
        <w:tc>
          <w:tcPr>
            <w:tcW w:w="831" w:type="dxa"/>
          </w:tcPr>
          <w:p w14:paraId="7120A8C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Journal of Nuclear Medicine (Q1)</w:t>
            </w:r>
          </w:p>
        </w:tc>
        <w:tc>
          <w:tcPr>
            <w:tcW w:w="500" w:type="dxa"/>
          </w:tcPr>
          <w:p w14:paraId="0CF7BFE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003" w:type="dxa"/>
          </w:tcPr>
          <w:p w14:paraId="178999B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Infrastructure</w:t>
            </w:r>
          </w:p>
        </w:tc>
        <w:tc>
          <w:tcPr>
            <w:tcW w:w="1417" w:type="dxa"/>
          </w:tcPr>
          <w:p w14:paraId="14DB066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Few devices — disrupts connectivity/workflows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low quality — disrupts connectivity/workflows</w:t>
            </w:r>
          </w:p>
        </w:tc>
        <w:tc>
          <w:tcPr>
            <w:tcW w:w="1825" w:type="dxa"/>
          </w:tcPr>
          <w:p w14:paraId="3191801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AI enhancement — disrupts connectivity/workflows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low-dose — disrupts connectivity/workflows</w:t>
            </w:r>
          </w:p>
        </w:tc>
        <w:tc>
          <w:tcPr>
            <w:tcW w:w="1565" w:type="dxa"/>
          </w:tcPr>
          <w:p w14:paraId="35EC216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Better diagnostics — disrupts connectivity/workflows</w:t>
            </w:r>
          </w:p>
        </w:tc>
      </w:tr>
      <w:tr w:rsidR="004944C4" w:rsidRPr="004944C4" w14:paraId="6A8471BB" w14:textId="77777777" w:rsidTr="00692E92">
        <w:tc>
          <w:tcPr>
            <w:tcW w:w="358" w:type="dxa"/>
          </w:tcPr>
          <w:p w14:paraId="5BC317D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7</w:t>
            </w:r>
          </w:p>
        </w:tc>
        <w:tc>
          <w:tcPr>
            <w:tcW w:w="1131" w:type="dxa"/>
          </w:tcPr>
          <w:p w14:paraId="66757F1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 for Infectious Disease Prediction</w:t>
            </w:r>
          </w:p>
        </w:tc>
        <w:tc>
          <w:tcPr>
            <w:tcW w:w="831" w:type="dxa"/>
          </w:tcPr>
          <w:p w14:paraId="449AAC1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Frontiers in Digital Health (Q1)</w:t>
            </w:r>
          </w:p>
        </w:tc>
        <w:tc>
          <w:tcPr>
            <w:tcW w:w="500" w:type="dxa"/>
          </w:tcPr>
          <w:p w14:paraId="7CC7DFE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003" w:type="dxa"/>
          </w:tcPr>
          <w:p w14:paraId="1AE608C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Data &amp; Capacity</w:t>
            </w:r>
          </w:p>
        </w:tc>
        <w:tc>
          <w:tcPr>
            <w:tcW w:w="1417" w:type="dxa"/>
          </w:tcPr>
          <w:p w14:paraId="05EA613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Poor infection data — limits model training/validation</w:t>
            </w:r>
          </w:p>
        </w:tc>
        <w:tc>
          <w:tcPr>
            <w:tcW w:w="1825" w:type="dxa"/>
          </w:tcPr>
          <w:p w14:paraId="0BA0BFB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Unified coding — limits model training/validation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alerts — limits model training/validation</w:t>
            </w:r>
          </w:p>
        </w:tc>
        <w:tc>
          <w:tcPr>
            <w:tcW w:w="1565" w:type="dxa"/>
          </w:tcPr>
          <w:p w14:paraId="30E8B56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Timely response — limits model training/validation</w:t>
            </w:r>
          </w:p>
        </w:tc>
      </w:tr>
      <w:tr w:rsidR="004944C4" w:rsidRPr="004944C4" w14:paraId="51E413C1" w14:textId="77777777" w:rsidTr="00692E92">
        <w:tc>
          <w:tcPr>
            <w:tcW w:w="358" w:type="dxa"/>
          </w:tcPr>
          <w:p w14:paraId="760C050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8</w:t>
            </w:r>
          </w:p>
        </w:tc>
        <w:tc>
          <w:tcPr>
            <w:tcW w:w="1131" w:type="dxa"/>
          </w:tcPr>
          <w:p w14:paraId="462A8FB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Opportunities &amp; Challenges in AI Primary Care</w:t>
            </w:r>
          </w:p>
        </w:tc>
        <w:tc>
          <w:tcPr>
            <w:tcW w:w="831" w:type="dxa"/>
          </w:tcPr>
          <w:p w14:paraId="69D7A70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BMC Primary Care (Q1)</w:t>
            </w:r>
          </w:p>
        </w:tc>
        <w:tc>
          <w:tcPr>
            <w:tcW w:w="500" w:type="dxa"/>
          </w:tcPr>
          <w:p w14:paraId="1130CCE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003" w:type="dxa"/>
          </w:tcPr>
          <w:p w14:paraId="1831ADA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Policy &amp; Sustainability</w:t>
            </w:r>
          </w:p>
        </w:tc>
        <w:tc>
          <w:tcPr>
            <w:tcW w:w="1417" w:type="dxa"/>
          </w:tcPr>
          <w:p w14:paraId="44E0DE6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Low AI literacy — delays scale‑up and funding</w:t>
            </w:r>
          </w:p>
        </w:tc>
        <w:tc>
          <w:tcPr>
            <w:tcW w:w="1825" w:type="dxa"/>
          </w:tcPr>
          <w:p w14:paraId="01C0E85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Upskilling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EMR integration — delays scale‑up and funding</w:t>
            </w:r>
          </w:p>
        </w:tc>
        <w:tc>
          <w:tcPr>
            <w:tcW w:w="1565" w:type="dxa"/>
          </w:tcPr>
          <w:p w14:paraId="609F148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Earlier treatment — delays scale‑up and funding</w:t>
            </w:r>
          </w:p>
        </w:tc>
      </w:tr>
      <w:tr w:rsidR="004944C4" w:rsidRPr="004944C4" w14:paraId="02D688A3" w14:textId="77777777" w:rsidTr="00692E92">
        <w:tc>
          <w:tcPr>
            <w:tcW w:w="358" w:type="dxa"/>
          </w:tcPr>
          <w:p w14:paraId="35D6BC3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9</w:t>
            </w:r>
          </w:p>
        </w:tc>
        <w:tc>
          <w:tcPr>
            <w:tcW w:w="1131" w:type="dxa"/>
          </w:tcPr>
          <w:p w14:paraId="0A0043E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Barriers &amp; Facilities for AI in Health Systems</w:t>
            </w:r>
          </w:p>
        </w:tc>
        <w:tc>
          <w:tcPr>
            <w:tcW w:w="831" w:type="dxa"/>
          </w:tcPr>
          <w:p w14:paraId="473ADE2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BMJ Open (Q1)</w:t>
            </w:r>
          </w:p>
        </w:tc>
        <w:tc>
          <w:tcPr>
            <w:tcW w:w="500" w:type="dxa"/>
          </w:tcPr>
          <w:p w14:paraId="386925B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003" w:type="dxa"/>
          </w:tcPr>
          <w:p w14:paraId="34D94D2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Implementation</w:t>
            </w:r>
          </w:p>
        </w:tc>
        <w:tc>
          <w:tcPr>
            <w:tcW w:w="1417" w:type="dxa"/>
          </w:tcPr>
          <w:p w14:paraId="0F7293D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Institutional resistance — slows clinical adoption</w:t>
            </w:r>
          </w:p>
        </w:tc>
        <w:tc>
          <w:tcPr>
            <w:tcW w:w="1825" w:type="dxa"/>
          </w:tcPr>
          <w:p w14:paraId="399D4B9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Change management — slows clinical adoption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champions — slows clinical adoption</w:t>
            </w:r>
          </w:p>
        </w:tc>
        <w:tc>
          <w:tcPr>
            <w:tcW w:w="1565" w:type="dxa"/>
          </w:tcPr>
          <w:p w14:paraId="626975B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Faster adoption — slows clinical adoption</w:t>
            </w:r>
          </w:p>
        </w:tc>
      </w:tr>
      <w:tr w:rsidR="004944C4" w:rsidRPr="004944C4" w14:paraId="4BED6190" w14:textId="77777777" w:rsidTr="00692E92">
        <w:tc>
          <w:tcPr>
            <w:tcW w:w="358" w:type="dxa"/>
          </w:tcPr>
          <w:p w14:paraId="7B4498C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10</w:t>
            </w:r>
          </w:p>
        </w:tc>
        <w:tc>
          <w:tcPr>
            <w:tcW w:w="1131" w:type="dxa"/>
          </w:tcPr>
          <w:p w14:paraId="11A6C42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Integrating AI in Healthcare</w:t>
            </w:r>
          </w:p>
        </w:tc>
        <w:tc>
          <w:tcPr>
            <w:tcW w:w="831" w:type="dxa"/>
          </w:tcPr>
          <w:p w14:paraId="45C0925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Healthcare (Q2)</w:t>
            </w:r>
          </w:p>
        </w:tc>
        <w:tc>
          <w:tcPr>
            <w:tcW w:w="500" w:type="dxa"/>
          </w:tcPr>
          <w:p w14:paraId="07BB02F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003" w:type="dxa"/>
          </w:tcPr>
          <w:p w14:paraId="2C6CFAF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Implementation</w:t>
            </w:r>
          </w:p>
        </w:tc>
        <w:tc>
          <w:tcPr>
            <w:tcW w:w="1417" w:type="dxa"/>
          </w:tcPr>
          <w:p w14:paraId="6BE4DC0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Fragmented data — slows clinical adoption</w:t>
            </w:r>
          </w:p>
        </w:tc>
        <w:tc>
          <w:tcPr>
            <w:tcW w:w="1825" w:type="dxa"/>
          </w:tcPr>
          <w:p w14:paraId="45D8D90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APIs — slows clinical adoption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unified permissions — slows clinical adoption</w:t>
            </w:r>
          </w:p>
        </w:tc>
        <w:tc>
          <w:tcPr>
            <w:tcW w:w="1565" w:type="dxa"/>
          </w:tcPr>
          <w:p w14:paraId="2B0A79B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Better tracking — slows clinical adoption</w:t>
            </w:r>
          </w:p>
        </w:tc>
      </w:tr>
    </w:tbl>
    <w:p w14:paraId="6CC4AE99" w14:textId="77777777" w:rsidR="004944C4" w:rsidRPr="005D3039" w:rsidRDefault="004944C4" w:rsidP="004944C4">
      <w:pPr>
        <w:spacing w:after="200" w:line="276" w:lineRule="auto"/>
        <w:ind w:firstLine="0"/>
        <w:jc w:val="left"/>
        <w:rPr>
          <w:rFonts w:ascii="Times New Roman" w:eastAsia="Times New Roman" w:hAnsi="Times New Roman" w:cs="Arial"/>
          <w:kern w:val="0"/>
          <w:szCs w:val="22"/>
          <w14:ligatures w14:val="none"/>
        </w:rPr>
      </w:pPr>
      <w:r w:rsidRPr="005D3039">
        <w:rPr>
          <w:rFonts w:ascii="Times New Roman" w:eastAsia="Times New Roman" w:hAnsi="Times New Roman" w:cs="Arial"/>
          <w:kern w:val="0"/>
          <w:szCs w:val="22"/>
          <w14:ligatures w14:val="none"/>
        </w:rPr>
        <w:br w:type="page"/>
      </w:r>
    </w:p>
    <w:p w14:paraId="506B02E4" w14:textId="77777777" w:rsidR="004944C4" w:rsidRPr="005D3039" w:rsidRDefault="004944C4" w:rsidP="004944C4">
      <w:pPr>
        <w:spacing w:after="200" w:line="276" w:lineRule="auto"/>
        <w:ind w:firstLine="0"/>
        <w:jc w:val="left"/>
        <w:rPr>
          <w:rFonts w:ascii="Times New Roman" w:eastAsia="Times New Roman" w:hAnsi="Times New Roman" w:cs="Arial"/>
          <w:kern w:val="0"/>
          <w:szCs w:val="22"/>
          <w14:ligatures w14:val="none"/>
        </w:rPr>
      </w:pPr>
      <w:r w:rsidRPr="00EC75CE">
        <w:rPr>
          <w:rFonts w:ascii="Times New Roman" w:eastAsia="Times New Roman" w:hAnsi="Times New Roman" w:cs="Arial"/>
          <w:b/>
          <w:kern w:val="0"/>
          <w:szCs w:val="22"/>
          <w14:ligatures w14:val="none"/>
        </w:rPr>
        <w:lastRenderedPageBreak/>
        <w:t xml:space="preserve">Supplementary Table S1b. Summary of studies 11–20 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366"/>
        <w:gridCol w:w="1176"/>
        <w:gridCol w:w="797"/>
        <w:gridCol w:w="536"/>
        <w:gridCol w:w="1176"/>
        <w:gridCol w:w="1655"/>
        <w:gridCol w:w="1655"/>
        <w:gridCol w:w="1655"/>
      </w:tblGrid>
      <w:tr w:rsidR="004944C4" w:rsidRPr="004944C4" w14:paraId="3325811E" w14:textId="77777777" w:rsidTr="004944C4">
        <w:tc>
          <w:tcPr>
            <w:tcW w:w="704" w:type="dxa"/>
          </w:tcPr>
          <w:p w14:paraId="345AC07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b/>
                <w:bCs/>
                <w:sz w:val="20"/>
                <w:szCs w:val="20"/>
              </w:rPr>
            </w:pPr>
            <w:r w:rsidRPr="004944C4">
              <w:rPr>
                <w:rFonts w:eastAsia="Times New Roman"/>
                <w:b/>
                <w:bCs/>
                <w:sz w:val="20"/>
                <w:szCs w:val="20"/>
              </w:rPr>
              <w:t>#</w:t>
            </w:r>
          </w:p>
        </w:tc>
        <w:tc>
          <w:tcPr>
            <w:tcW w:w="838" w:type="dxa"/>
          </w:tcPr>
          <w:p w14:paraId="189674B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b/>
                <w:bCs/>
                <w:sz w:val="20"/>
                <w:szCs w:val="20"/>
              </w:rPr>
            </w:pPr>
            <w:r w:rsidRPr="004944C4">
              <w:rPr>
                <w:rFonts w:eastAsia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797" w:type="dxa"/>
          </w:tcPr>
          <w:p w14:paraId="5F076D8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b/>
                <w:bCs/>
                <w:sz w:val="20"/>
                <w:szCs w:val="20"/>
              </w:rPr>
            </w:pPr>
            <w:r w:rsidRPr="004944C4">
              <w:rPr>
                <w:rFonts w:eastAsia="Times New Roman"/>
                <w:b/>
                <w:bCs/>
                <w:sz w:val="20"/>
                <w:szCs w:val="20"/>
              </w:rPr>
              <w:t xml:space="preserve">Journal </w:t>
            </w:r>
          </w:p>
        </w:tc>
        <w:tc>
          <w:tcPr>
            <w:tcW w:w="536" w:type="dxa"/>
          </w:tcPr>
          <w:p w14:paraId="3B0111C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b/>
                <w:bCs/>
                <w:sz w:val="20"/>
                <w:szCs w:val="20"/>
              </w:rPr>
            </w:pPr>
            <w:r w:rsidRPr="004944C4">
              <w:rPr>
                <w:rFonts w:eastAsia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176" w:type="dxa"/>
          </w:tcPr>
          <w:p w14:paraId="3314F62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b/>
                <w:bCs/>
                <w:sz w:val="20"/>
                <w:szCs w:val="20"/>
              </w:rPr>
            </w:pPr>
            <w:r w:rsidRPr="004944C4">
              <w:rPr>
                <w:rFonts w:eastAsia="Times New Roman"/>
                <w:b/>
                <w:bCs/>
                <w:sz w:val="20"/>
                <w:szCs w:val="20"/>
              </w:rPr>
              <w:t>Primary Theme</w:t>
            </w:r>
          </w:p>
        </w:tc>
        <w:tc>
          <w:tcPr>
            <w:tcW w:w="1655" w:type="dxa"/>
          </w:tcPr>
          <w:p w14:paraId="4634531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b/>
                <w:bCs/>
                <w:sz w:val="20"/>
                <w:szCs w:val="20"/>
              </w:rPr>
            </w:pPr>
            <w:r w:rsidRPr="004944C4">
              <w:rPr>
                <w:rFonts w:eastAsia="Times New Roman"/>
                <w:b/>
                <w:bCs/>
                <w:sz w:val="20"/>
                <w:szCs w:val="20"/>
              </w:rPr>
              <w:t>Key Challenges</w:t>
            </w:r>
          </w:p>
        </w:tc>
        <w:tc>
          <w:tcPr>
            <w:tcW w:w="1655" w:type="dxa"/>
          </w:tcPr>
          <w:p w14:paraId="60639AA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b/>
                <w:bCs/>
                <w:sz w:val="20"/>
                <w:szCs w:val="20"/>
              </w:rPr>
            </w:pPr>
            <w:r w:rsidRPr="004944C4">
              <w:rPr>
                <w:rFonts w:eastAsia="Times New Roman"/>
                <w:b/>
                <w:bCs/>
                <w:sz w:val="20"/>
                <w:szCs w:val="20"/>
              </w:rPr>
              <w:t>Practical Solutions</w:t>
            </w:r>
          </w:p>
        </w:tc>
        <w:tc>
          <w:tcPr>
            <w:tcW w:w="1655" w:type="dxa"/>
          </w:tcPr>
          <w:p w14:paraId="6830CC9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b/>
                <w:bCs/>
                <w:sz w:val="20"/>
                <w:szCs w:val="20"/>
              </w:rPr>
            </w:pPr>
            <w:r w:rsidRPr="004944C4">
              <w:rPr>
                <w:rFonts w:eastAsia="Times New Roman"/>
                <w:b/>
                <w:bCs/>
                <w:sz w:val="20"/>
                <w:szCs w:val="20"/>
              </w:rPr>
              <w:t>Why It Matters</w:t>
            </w:r>
          </w:p>
        </w:tc>
      </w:tr>
      <w:tr w:rsidR="004944C4" w:rsidRPr="004944C4" w14:paraId="37B19AF8" w14:textId="77777777" w:rsidTr="004944C4">
        <w:tc>
          <w:tcPr>
            <w:tcW w:w="704" w:type="dxa"/>
          </w:tcPr>
          <w:p w14:paraId="40D7219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11</w:t>
            </w:r>
          </w:p>
        </w:tc>
        <w:tc>
          <w:tcPr>
            <w:tcW w:w="838" w:type="dxa"/>
          </w:tcPr>
          <w:p w14:paraId="1830282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 and Primary Care</w:t>
            </w:r>
          </w:p>
        </w:tc>
        <w:tc>
          <w:tcPr>
            <w:tcW w:w="797" w:type="dxa"/>
          </w:tcPr>
          <w:p w14:paraId="0A8002A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JMIR (Q1)</w:t>
            </w:r>
          </w:p>
        </w:tc>
        <w:tc>
          <w:tcPr>
            <w:tcW w:w="536" w:type="dxa"/>
          </w:tcPr>
          <w:p w14:paraId="6BF3A9B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176" w:type="dxa"/>
          </w:tcPr>
          <w:p w14:paraId="7DC3EAB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Policy &amp; Sustainability</w:t>
            </w:r>
          </w:p>
        </w:tc>
        <w:tc>
          <w:tcPr>
            <w:tcW w:w="1655" w:type="dxa"/>
          </w:tcPr>
          <w:p w14:paraId="6011334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Unclear use of AI — delays scale‑up and funding</w:t>
            </w:r>
          </w:p>
        </w:tc>
        <w:tc>
          <w:tcPr>
            <w:tcW w:w="1655" w:type="dxa"/>
          </w:tcPr>
          <w:p w14:paraId="0EE9ADF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Guidelines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explainability — delays scale‑up and funding</w:t>
            </w:r>
          </w:p>
        </w:tc>
        <w:tc>
          <w:tcPr>
            <w:tcW w:w="1655" w:type="dxa"/>
          </w:tcPr>
          <w:p w14:paraId="35C3E83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Safer care — delays scale‑up and funding</w:t>
            </w:r>
          </w:p>
        </w:tc>
      </w:tr>
      <w:tr w:rsidR="004944C4" w:rsidRPr="004944C4" w14:paraId="7AE145CA" w14:textId="77777777" w:rsidTr="004944C4">
        <w:tc>
          <w:tcPr>
            <w:tcW w:w="704" w:type="dxa"/>
          </w:tcPr>
          <w:p w14:paraId="3392ED0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12</w:t>
            </w:r>
          </w:p>
        </w:tc>
        <w:tc>
          <w:tcPr>
            <w:tcW w:w="838" w:type="dxa"/>
          </w:tcPr>
          <w:p w14:paraId="269B92E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Experiences of Using AI in Medical Education</w:t>
            </w:r>
          </w:p>
        </w:tc>
        <w:tc>
          <w:tcPr>
            <w:tcW w:w="797" w:type="dxa"/>
          </w:tcPr>
          <w:p w14:paraId="395EDF8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BMJ Open (Q1)</w:t>
            </w:r>
          </w:p>
        </w:tc>
        <w:tc>
          <w:tcPr>
            <w:tcW w:w="536" w:type="dxa"/>
          </w:tcPr>
          <w:p w14:paraId="07B2792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176" w:type="dxa"/>
          </w:tcPr>
          <w:p w14:paraId="64DE22E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Policy &amp; Sustainability</w:t>
            </w:r>
          </w:p>
        </w:tc>
        <w:tc>
          <w:tcPr>
            <w:tcW w:w="1655" w:type="dxa"/>
          </w:tcPr>
          <w:p w14:paraId="38EE0D6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AI not in curricula — delays scale‑up and funding</w:t>
            </w:r>
          </w:p>
        </w:tc>
        <w:tc>
          <w:tcPr>
            <w:tcW w:w="1655" w:type="dxa"/>
          </w:tcPr>
          <w:p w14:paraId="1F84EA3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Mandatory modules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labs — delays scale‑up and funding</w:t>
            </w:r>
          </w:p>
        </w:tc>
        <w:tc>
          <w:tcPr>
            <w:tcW w:w="1655" w:type="dxa"/>
          </w:tcPr>
          <w:p w14:paraId="4919B92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AI-competent workforce — delays scale‑up and funding</w:t>
            </w:r>
          </w:p>
        </w:tc>
      </w:tr>
      <w:tr w:rsidR="004944C4" w:rsidRPr="004944C4" w14:paraId="53DB62F8" w14:textId="77777777" w:rsidTr="004944C4">
        <w:tc>
          <w:tcPr>
            <w:tcW w:w="704" w:type="dxa"/>
          </w:tcPr>
          <w:p w14:paraId="2F3F45C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13</w:t>
            </w:r>
          </w:p>
        </w:tc>
        <w:tc>
          <w:tcPr>
            <w:tcW w:w="838" w:type="dxa"/>
          </w:tcPr>
          <w:p w14:paraId="2965A73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Enhancing Fetal Ultrasound via AI</w:t>
            </w:r>
          </w:p>
        </w:tc>
        <w:tc>
          <w:tcPr>
            <w:tcW w:w="797" w:type="dxa"/>
          </w:tcPr>
          <w:p w14:paraId="3BCC7F0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PLOS ONE (Q1)</w:t>
            </w:r>
          </w:p>
        </w:tc>
        <w:tc>
          <w:tcPr>
            <w:tcW w:w="536" w:type="dxa"/>
          </w:tcPr>
          <w:p w14:paraId="2F31590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176" w:type="dxa"/>
          </w:tcPr>
          <w:p w14:paraId="133036B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Infrastructure</w:t>
            </w:r>
          </w:p>
        </w:tc>
        <w:tc>
          <w:tcPr>
            <w:tcW w:w="1655" w:type="dxa"/>
          </w:tcPr>
          <w:p w14:paraId="3BAF923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Low resolution — disrupts connectivity/workflows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operator variance — disrupts connectivity/workflows</w:t>
            </w:r>
          </w:p>
        </w:tc>
        <w:tc>
          <w:tcPr>
            <w:tcW w:w="1655" w:type="dxa"/>
          </w:tcPr>
          <w:p w14:paraId="59887D3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Reconstruction — disrupts connectivity/workflows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probe guidance — disrupts connectivity/workflows</w:t>
            </w:r>
          </w:p>
        </w:tc>
        <w:tc>
          <w:tcPr>
            <w:tcW w:w="1655" w:type="dxa"/>
          </w:tcPr>
          <w:p w14:paraId="6438031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Better assessments — disrupts connectivity/workflows</w:t>
            </w:r>
          </w:p>
        </w:tc>
      </w:tr>
      <w:tr w:rsidR="004944C4" w:rsidRPr="004944C4" w14:paraId="45825EDE" w14:textId="77777777" w:rsidTr="004944C4">
        <w:tc>
          <w:tcPr>
            <w:tcW w:w="704" w:type="dxa"/>
          </w:tcPr>
          <w:p w14:paraId="2270A73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14</w:t>
            </w:r>
          </w:p>
        </w:tc>
        <w:tc>
          <w:tcPr>
            <w:tcW w:w="838" w:type="dxa"/>
          </w:tcPr>
          <w:p w14:paraId="56CC1B7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 for Public Health Surveillance</w:t>
            </w:r>
          </w:p>
        </w:tc>
        <w:tc>
          <w:tcPr>
            <w:tcW w:w="797" w:type="dxa"/>
          </w:tcPr>
          <w:p w14:paraId="6F464AF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Scientific Reports (Q2)</w:t>
            </w:r>
          </w:p>
        </w:tc>
        <w:tc>
          <w:tcPr>
            <w:tcW w:w="536" w:type="dxa"/>
          </w:tcPr>
          <w:p w14:paraId="76B6E26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176" w:type="dxa"/>
          </w:tcPr>
          <w:p w14:paraId="6118B99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Data &amp; Capacity</w:t>
            </w:r>
          </w:p>
        </w:tc>
        <w:tc>
          <w:tcPr>
            <w:tcW w:w="1655" w:type="dxa"/>
          </w:tcPr>
          <w:p w14:paraId="0C9417B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Weak early-warning systems — limits model training/validation</w:t>
            </w:r>
          </w:p>
        </w:tc>
        <w:tc>
          <w:tcPr>
            <w:tcW w:w="1655" w:type="dxa"/>
          </w:tcPr>
          <w:p w14:paraId="285F979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Integrate lab/clinic/mobility data — limits model training/validation</w:t>
            </w:r>
          </w:p>
        </w:tc>
        <w:tc>
          <w:tcPr>
            <w:tcW w:w="1655" w:type="dxa"/>
          </w:tcPr>
          <w:p w14:paraId="76480F5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Faster response — limits model training/validation</w:t>
            </w:r>
          </w:p>
        </w:tc>
      </w:tr>
      <w:tr w:rsidR="004944C4" w:rsidRPr="004944C4" w14:paraId="1A8A8E08" w14:textId="77777777" w:rsidTr="004944C4">
        <w:tc>
          <w:tcPr>
            <w:tcW w:w="704" w:type="dxa"/>
          </w:tcPr>
          <w:p w14:paraId="357E3CB2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15</w:t>
            </w:r>
          </w:p>
        </w:tc>
        <w:tc>
          <w:tcPr>
            <w:tcW w:w="838" w:type="dxa"/>
          </w:tcPr>
          <w:p w14:paraId="46EB4E8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Building Health Systems with AI: Global Insights</w:t>
            </w:r>
          </w:p>
        </w:tc>
        <w:tc>
          <w:tcPr>
            <w:tcW w:w="797" w:type="dxa"/>
          </w:tcPr>
          <w:p w14:paraId="4C30976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BMC Global Public Health (Q1)</w:t>
            </w:r>
          </w:p>
        </w:tc>
        <w:tc>
          <w:tcPr>
            <w:tcW w:w="536" w:type="dxa"/>
          </w:tcPr>
          <w:p w14:paraId="7F2CA4F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2025</w:t>
            </w:r>
          </w:p>
        </w:tc>
        <w:tc>
          <w:tcPr>
            <w:tcW w:w="1176" w:type="dxa"/>
          </w:tcPr>
          <w:p w14:paraId="6EC1055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Policy &amp; Sustainability</w:t>
            </w:r>
          </w:p>
        </w:tc>
        <w:tc>
          <w:tcPr>
            <w:tcW w:w="1655" w:type="dxa"/>
          </w:tcPr>
          <w:p w14:paraId="7DF7FA8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Weak governance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no KPIs — delays scale‑up and funding</w:t>
            </w:r>
          </w:p>
        </w:tc>
        <w:tc>
          <w:tcPr>
            <w:tcW w:w="1655" w:type="dxa"/>
          </w:tcPr>
          <w:p w14:paraId="2D53185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Dashboards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equity KPIs — delays scale‑up and funding</w:t>
            </w:r>
          </w:p>
        </w:tc>
        <w:tc>
          <w:tcPr>
            <w:tcW w:w="1655" w:type="dxa"/>
          </w:tcPr>
          <w:p w14:paraId="67D9687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Accountability — delays scale‑up and funding</w:t>
            </w:r>
          </w:p>
        </w:tc>
      </w:tr>
      <w:tr w:rsidR="004944C4" w:rsidRPr="004944C4" w14:paraId="2CBCD692" w14:textId="77777777" w:rsidTr="004944C4">
        <w:tc>
          <w:tcPr>
            <w:tcW w:w="704" w:type="dxa"/>
          </w:tcPr>
          <w:p w14:paraId="50777DB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16</w:t>
            </w:r>
          </w:p>
        </w:tc>
        <w:tc>
          <w:tcPr>
            <w:tcW w:w="838" w:type="dxa"/>
          </w:tcPr>
          <w:p w14:paraId="131F4AF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Exploring the Impact of AI on Healthcare</w:t>
            </w:r>
          </w:p>
        </w:tc>
        <w:tc>
          <w:tcPr>
            <w:tcW w:w="797" w:type="dxa"/>
          </w:tcPr>
          <w:p w14:paraId="328B01D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Applied Sciences (Q2)</w:t>
            </w:r>
          </w:p>
        </w:tc>
        <w:tc>
          <w:tcPr>
            <w:tcW w:w="536" w:type="dxa"/>
          </w:tcPr>
          <w:p w14:paraId="19D2DD2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2024</w:t>
            </w:r>
          </w:p>
        </w:tc>
        <w:tc>
          <w:tcPr>
            <w:tcW w:w="1176" w:type="dxa"/>
          </w:tcPr>
          <w:p w14:paraId="497B6D5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Infrastructure</w:t>
            </w:r>
          </w:p>
        </w:tc>
        <w:tc>
          <w:tcPr>
            <w:tcW w:w="1655" w:type="dxa"/>
          </w:tcPr>
          <w:p w14:paraId="1F1EC80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Poor interoperability — disrupts connectivity/workflows</w:t>
            </w:r>
          </w:p>
        </w:tc>
        <w:tc>
          <w:tcPr>
            <w:tcW w:w="1655" w:type="dxa"/>
          </w:tcPr>
          <w:p w14:paraId="7AED509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SNOMED/LOINC — disrupts connectivity/workflows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 xml:space="preserve">• migration — disrupts </w:t>
            </w:r>
            <w:r w:rsidRPr="004944C4">
              <w:rPr>
                <w:rFonts w:eastAsia="Times New Roman"/>
                <w:sz w:val="20"/>
                <w:szCs w:val="20"/>
              </w:rPr>
              <w:lastRenderedPageBreak/>
              <w:t>connectivity/workflows</w:t>
            </w:r>
          </w:p>
        </w:tc>
        <w:tc>
          <w:tcPr>
            <w:tcW w:w="1655" w:type="dxa"/>
          </w:tcPr>
          <w:p w14:paraId="7D39C80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lastRenderedPageBreak/>
              <w:t>• Fewer errors — disrupts connectivity/workflows</w:t>
            </w:r>
          </w:p>
        </w:tc>
      </w:tr>
      <w:tr w:rsidR="004944C4" w:rsidRPr="004944C4" w14:paraId="38EE62A0" w14:textId="77777777" w:rsidTr="004944C4">
        <w:tc>
          <w:tcPr>
            <w:tcW w:w="704" w:type="dxa"/>
          </w:tcPr>
          <w:p w14:paraId="638060E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17</w:t>
            </w:r>
          </w:p>
        </w:tc>
        <w:tc>
          <w:tcPr>
            <w:tcW w:w="838" w:type="dxa"/>
          </w:tcPr>
          <w:p w14:paraId="4F124AC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Benefits &amp; Risks of AI in Health Care: Narrative Review</w:t>
            </w:r>
          </w:p>
        </w:tc>
        <w:tc>
          <w:tcPr>
            <w:tcW w:w="797" w:type="dxa"/>
          </w:tcPr>
          <w:p w14:paraId="0BCC358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JMIR (Q1)</w:t>
            </w:r>
          </w:p>
        </w:tc>
        <w:tc>
          <w:tcPr>
            <w:tcW w:w="536" w:type="dxa"/>
          </w:tcPr>
          <w:p w14:paraId="342E1F1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2024</w:t>
            </w:r>
          </w:p>
        </w:tc>
        <w:tc>
          <w:tcPr>
            <w:tcW w:w="1176" w:type="dxa"/>
          </w:tcPr>
          <w:p w14:paraId="686C4F4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Ethics &amp; Governance</w:t>
            </w:r>
          </w:p>
        </w:tc>
        <w:tc>
          <w:tcPr>
            <w:tcW w:w="1655" w:type="dxa"/>
          </w:tcPr>
          <w:p w14:paraId="1E2B773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Privacy &amp; reliability — raises trust and safety concerns</w:t>
            </w:r>
          </w:p>
        </w:tc>
        <w:tc>
          <w:tcPr>
            <w:tcW w:w="1655" w:type="dxa"/>
          </w:tcPr>
          <w:p w14:paraId="048A74C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Human oversight — raises trust and safety concerns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audits — raises trust and safety concerns</w:t>
            </w:r>
          </w:p>
        </w:tc>
        <w:tc>
          <w:tcPr>
            <w:tcW w:w="1655" w:type="dxa"/>
          </w:tcPr>
          <w:p w14:paraId="4EAF5F7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Patient safety — raises trust and safety concerns</w:t>
            </w:r>
          </w:p>
        </w:tc>
      </w:tr>
      <w:tr w:rsidR="004944C4" w:rsidRPr="004944C4" w14:paraId="696BE2E6" w14:textId="77777777" w:rsidTr="004944C4">
        <w:tc>
          <w:tcPr>
            <w:tcW w:w="704" w:type="dxa"/>
          </w:tcPr>
          <w:p w14:paraId="2C4A5A6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18</w:t>
            </w:r>
          </w:p>
        </w:tc>
        <w:tc>
          <w:tcPr>
            <w:tcW w:w="838" w:type="dxa"/>
          </w:tcPr>
          <w:p w14:paraId="3B7B302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Barriers and Strategies for AI Implementation in Healthcare</w:t>
            </w:r>
          </w:p>
        </w:tc>
        <w:tc>
          <w:tcPr>
            <w:tcW w:w="797" w:type="dxa"/>
          </w:tcPr>
          <w:p w14:paraId="7FF3495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PLOS ONE (Q1)</w:t>
            </w:r>
          </w:p>
        </w:tc>
        <w:tc>
          <w:tcPr>
            <w:tcW w:w="536" w:type="dxa"/>
          </w:tcPr>
          <w:p w14:paraId="3351948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2024</w:t>
            </w:r>
          </w:p>
        </w:tc>
        <w:tc>
          <w:tcPr>
            <w:tcW w:w="1176" w:type="dxa"/>
          </w:tcPr>
          <w:p w14:paraId="5BBAE31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Implementation</w:t>
            </w:r>
          </w:p>
        </w:tc>
        <w:tc>
          <w:tcPr>
            <w:tcW w:w="1655" w:type="dxa"/>
          </w:tcPr>
          <w:p w14:paraId="2BA7CFF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Low trust — slows clinical adoption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complex UI — slows clinical adoption</w:t>
            </w:r>
          </w:p>
        </w:tc>
        <w:tc>
          <w:tcPr>
            <w:tcW w:w="1655" w:type="dxa"/>
          </w:tcPr>
          <w:p w14:paraId="5FE1F6F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Interpretable models — slows clinical adoption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training — slows clinical adoption</w:t>
            </w:r>
          </w:p>
        </w:tc>
        <w:tc>
          <w:tcPr>
            <w:tcW w:w="1655" w:type="dxa"/>
          </w:tcPr>
          <w:p w14:paraId="7ACB6EF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Real-world impact — slows clinical adoption</w:t>
            </w:r>
          </w:p>
        </w:tc>
      </w:tr>
      <w:tr w:rsidR="004944C4" w:rsidRPr="004944C4" w14:paraId="31633234" w14:textId="77777777" w:rsidTr="004944C4">
        <w:tc>
          <w:tcPr>
            <w:tcW w:w="704" w:type="dxa"/>
          </w:tcPr>
          <w:p w14:paraId="6AEC792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19</w:t>
            </w:r>
          </w:p>
        </w:tc>
        <w:tc>
          <w:tcPr>
            <w:tcW w:w="838" w:type="dxa"/>
          </w:tcPr>
          <w:p w14:paraId="0CF1BB92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Public Evidence on Clinical AI</w:t>
            </w:r>
          </w:p>
        </w:tc>
        <w:tc>
          <w:tcPr>
            <w:tcW w:w="797" w:type="dxa"/>
          </w:tcPr>
          <w:p w14:paraId="30B58C3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NPJ Digital Medicine (Q1)</w:t>
            </w:r>
          </w:p>
        </w:tc>
        <w:tc>
          <w:tcPr>
            <w:tcW w:w="536" w:type="dxa"/>
          </w:tcPr>
          <w:p w14:paraId="3FD0A1A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2024</w:t>
            </w:r>
          </w:p>
        </w:tc>
        <w:tc>
          <w:tcPr>
            <w:tcW w:w="1176" w:type="dxa"/>
          </w:tcPr>
          <w:p w14:paraId="41D53ED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Infrastructure</w:t>
            </w:r>
          </w:p>
        </w:tc>
        <w:tc>
          <w:tcPr>
            <w:tcW w:w="1655" w:type="dxa"/>
          </w:tcPr>
          <w:p w14:paraId="2CD844B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Lack of real-world evidence — disrupts connectivity/workflows</w:t>
            </w:r>
          </w:p>
        </w:tc>
        <w:tc>
          <w:tcPr>
            <w:tcW w:w="1655" w:type="dxa"/>
          </w:tcPr>
          <w:p w14:paraId="7FD0604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Benchmarks — disrupts connectivity/workflows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dashboards — disrupts connectivity/workflows</w:t>
            </w:r>
          </w:p>
        </w:tc>
        <w:tc>
          <w:tcPr>
            <w:tcW w:w="1655" w:type="dxa"/>
          </w:tcPr>
          <w:p w14:paraId="7809F75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Transparency — disrupts connectivity/workflows</w:t>
            </w:r>
          </w:p>
        </w:tc>
      </w:tr>
      <w:tr w:rsidR="004944C4" w:rsidRPr="004944C4" w14:paraId="313F61A6" w14:textId="77777777" w:rsidTr="004944C4">
        <w:tc>
          <w:tcPr>
            <w:tcW w:w="704" w:type="dxa"/>
          </w:tcPr>
          <w:p w14:paraId="4589CE2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</w:t>
            </w:r>
          </w:p>
        </w:tc>
        <w:tc>
          <w:tcPr>
            <w:tcW w:w="838" w:type="dxa"/>
          </w:tcPr>
          <w:p w14:paraId="52B5AEA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Ethical &amp; Practical Challenges in Radiology AI (LMICs)</w:t>
            </w:r>
          </w:p>
        </w:tc>
        <w:tc>
          <w:tcPr>
            <w:tcW w:w="797" w:type="dxa"/>
          </w:tcPr>
          <w:p w14:paraId="1EF99D9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BMC Medical Ethics (Q1)</w:t>
            </w:r>
          </w:p>
        </w:tc>
        <w:tc>
          <w:tcPr>
            <w:tcW w:w="536" w:type="dxa"/>
          </w:tcPr>
          <w:p w14:paraId="691EDBA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2024</w:t>
            </w:r>
          </w:p>
        </w:tc>
        <w:tc>
          <w:tcPr>
            <w:tcW w:w="1176" w:type="dxa"/>
          </w:tcPr>
          <w:p w14:paraId="5FDC976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Ethics &amp; Governance</w:t>
            </w:r>
          </w:p>
        </w:tc>
        <w:tc>
          <w:tcPr>
            <w:tcW w:w="1655" w:type="dxa"/>
          </w:tcPr>
          <w:p w14:paraId="2CA994E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Weak protection — raises trust and safety concerns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liability — raises trust and safety concerns</w:t>
            </w:r>
          </w:p>
        </w:tc>
        <w:tc>
          <w:tcPr>
            <w:tcW w:w="1655" w:type="dxa"/>
          </w:tcPr>
          <w:p w14:paraId="00C1274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Legal frameworks — raises trust and safety concerns</w:t>
            </w:r>
          </w:p>
        </w:tc>
        <w:tc>
          <w:tcPr>
            <w:tcW w:w="1655" w:type="dxa"/>
          </w:tcPr>
          <w:p w14:paraId="0D0C705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Clear responsibilities — raises trust and safety concerns</w:t>
            </w:r>
          </w:p>
        </w:tc>
      </w:tr>
    </w:tbl>
    <w:p w14:paraId="6791F5AE" w14:textId="77777777" w:rsidR="004944C4" w:rsidRPr="005D3039" w:rsidRDefault="004944C4" w:rsidP="004944C4">
      <w:pPr>
        <w:spacing w:after="200" w:line="276" w:lineRule="auto"/>
        <w:ind w:firstLine="0"/>
        <w:jc w:val="left"/>
        <w:rPr>
          <w:rFonts w:ascii="Times New Roman" w:eastAsia="Times New Roman" w:hAnsi="Times New Roman" w:cs="Arial"/>
          <w:kern w:val="0"/>
          <w:szCs w:val="22"/>
          <w14:ligatures w14:val="none"/>
        </w:rPr>
      </w:pPr>
      <w:r w:rsidRPr="005D3039">
        <w:rPr>
          <w:rFonts w:ascii="Times New Roman" w:eastAsia="Times New Roman" w:hAnsi="Times New Roman" w:cs="Arial"/>
          <w:kern w:val="0"/>
          <w:szCs w:val="22"/>
          <w14:ligatures w14:val="none"/>
        </w:rPr>
        <w:br w:type="page"/>
      </w:r>
    </w:p>
    <w:p w14:paraId="658B0AA2" w14:textId="77777777" w:rsidR="004944C4" w:rsidRPr="005D3039" w:rsidRDefault="004944C4" w:rsidP="004944C4">
      <w:pPr>
        <w:spacing w:after="200" w:line="276" w:lineRule="auto"/>
        <w:ind w:firstLine="0"/>
        <w:jc w:val="left"/>
        <w:rPr>
          <w:rFonts w:ascii="Times New Roman" w:eastAsia="Times New Roman" w:hAnsi="Times New Roman" w:cs="Arial"/>
          <w:kern w:val="0"/>
          <w:szCs w:val="22"/>
          <w:lang w:bidi="ar-YE"/>
          <w14:ligatures w14:val="none"/>
        </w:rPr>
      </w:pPr>
      <w:r w:rsidRPr="00EC75CE">
        <w:rPr>
          <w:rFonts w:ascii="Times New Roman" w:eastAsia="Times New Roman" w:hAnsi="Times New Roman" w:cs="Arial"/>
          <w:b/>
          <w:kern w:val="0"/>
          <w:szCs w:val="22"/>
          <w14:ligatures w14:val="none"/>
        </w:rPr>
        <w:lastRenderedPageBreak/>
        <w:t>Supplementary Table S1c. Summary of studies 21–30</w:t>
      </w:r>
    </w:p>
    <w:tbl>
      <w:tblPr>
        <w:tblStyle w:val="TableGrid4"/>
        <w:tblW w:w="0" w:type="auto"/>
        <w:tblLook w:val="04A0" w:firstRow="1" w:lastRow="0" w:firstColumn="1" w:lastColumn="0" w:noHBand="0" w:noVBand="1"/>
      </w:tblPr>
      <w:tblGrid>
        <w:gridCol w:w="361"/>
        <w:gridCol w:w="1124"/>
        <w:gridCol w:w="1124"/>
        <w:gridCol w:w="505"/>
        <w:gridCol w:w="1132"/>
        <w:gridCol w:w="1590"/>
        <w:gridCol w:w="1590"/>
        <w:gridCol w:w="1590"/>
      </w:tblGrid>
      <w:tr w:rsidR="004944C4" w:rsidRPr="004944C4" w14:paraId="25D6F34C" w14:textId="77777777" w:rsidTr="00692E92">
        <w:tc>
          <w:tcPr>
            <w:tcW w:w="340" w:type="dxa"/>
          </w:tcPr>
          <w:p w14:paraId="2223D91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#</w:t>
            </w:r>
          </w:p>
        </w:tc>
        <w:tc>
          <w:tcPr>
            <w:tcW w:w="988" w:type="dxa"/>
          </w:tcPr>
          <w:p w14:paraId="544C4B4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Title</w:t>
            </w:r>
          </w:p>
        </w:tc>
        <w:tc>
          <w:tcPr>
            <w:tcW w:w="988" w:type="dxa"/>
          </w:tcPr>
          <w:p w14:paraId="0DF1C42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Journal (Rank)</w:t>
            </w:r>
          </w:p>
        </w:tc>
        <w:tc>
          <w:tcPr>
            <w:tcW w:w="465" w:type="dxa"/>
          </w:tcPr>
          <w:p w14:paraId="0EFEFDB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Year</w:t>
            </w:r>
          </w:p>
        </w:tc>
        <w:tc>
          <w:tcPr>
            <w:tcW w:w="1020" w:type="dxa"/>
          </w:tcPr>
          <w:p w14:paraId="6757038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Primary Theme</w:t>
            </w:r>
          </w:p>
        </w:tc>
        <w:tc>
          <w:tcPr>
            <w:tcW w:w="1388" w:type="dxa"/>
          </w:tcPr>
          <w:p w14:paraId="102F53E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Key Challenges</w:t>
            </w:r>
          </w:p>
        </w:tc>
        <w:tc>
          <w:tcPr>
            <w:tcW w:w="1388" w:type="dxa"/>
          </w:tcPr>
          <w:p w14:paraId="02B249B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Practical Solutions</w:t>
            </w:r>
          </w:p>
        </w:tc>
        <w:tc>
          <w:tcPr>
            <w:tcW w:w="1388" w:type="dxa"/>
          </w:tcPr>
          <w:p w14:paraId="0CC2BCF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Why It Matters</w:t>
            </w:r>
          </w:p>
        </w:tc>
      </w:tr>
      <w:tr w:rsidR="004944C4" w:rsidRPr="004944C4" w14:paraId="3FE8510A" w14:textId="77777777" w:rsidTr="00692E92">
        <w:tc>
          <w:tcPr>
            <w:tcW w:w="340" w:type="dxa"/>
          </w:tcPr>
          <w:p w14:paraId="4240663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21</w:t>
            </w:r>
          </w:p>
        </w:tc>
        <w:tc>
          <w:tcPr>
            <w:tcW w:w="988" w:type="dxa"/>
          </w:tcPr>
          <w:p w14:paraId="3B9F399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 in Global Health Research</w:t>
            </w:r>
          </w:p>
        </w:tc>
        <w:tc>
          <w:tcPr>
            <w:tcW w:w="988" w:type="dxa"/>
          </w:tcPr>
          <w:p w14:paraId="66714EF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Journal of Global Health (Q1)</w:t>
            </w:r>
          </w:p>
        </w:tc>
        <w:tc>
          <w:tcPr>
            <w:tcW w:w="465" w:type="dxa"/>
          </w:tcPr>
          <w:p w14:paraId="23EE3B6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2024</w:t>
            </w:r>
          </w:p>
        </w:tc>
        <w:tc>
          <w:tcPr>
            <w:tcW w:w="1020" w:type="dxa"/>
          </w:tcPr>
          <w:p w14:paraId="0569E60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Policy &amp; Sustainability</w:t>
            </w:r>
          </w:p>
        </w:tc>
        <w:tc>
          <w:tcPr>
            <w:tcW w:w="1388" w:type="dxa"/>
          </w:tcPr>
          <w:p w14:paraId="4AAADEA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Limited funding — delays scale‑up and funding</w:t>
            </w:r>
          </w:p>
        </w:tc>
        <w:tc>
          <w:tcPr>
            <w:tcW w:w="1388" w:type="dxa"/>
          </w:tcPr>
          <w:p w14:paraId="182BADE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Innovation funds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networks — delays scale‑up and funding</w:t>
            </w:r>
          </w:p>
        </w:tc>
        <w:tc>
          <w:tcPr>
            <w:tcW w:w="1388" w:type="dxa"/>
          </w:tcPr>
          <w:p w14:paraId="5EBAD0C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Local solutions — delays scale‑up and funding</w:t>
            </w:r>
          </w:p>
        </w:tc>
      </w:tr>
      <w:tr w:rsidR="004944C4" w:rsidRPr="004944C4" w14:paraId="1BB9B9EB" w14:textId="77777777" w:rsidTr="00692E92">
        <w:tc>
          <w:tcPr>
            <w:tcW w:w="340" w:type="dxa"/>
          </w:tcPr>
          <w:p w14:paraId="4E79B1F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22</w:t>
            </w:r>
          </w:p>
        </w:tc>
        <w:tc>
          <w:tcPr>
            <w:tcW w:w="988" w:type="dxa"/>
          </w:tcPr>
          <w:p w14:paraId="2DAC451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Advancements in Clinical Decision Support Systems</w:t>
            </w:r>
          </w:p>
        </w:tc>
        <w:tc>
          <w:tcPr>
            <w:tcW w:w="988" w:type="dxa"/>
          </w:tcPr>
          <w:p w14:paraId="44E260D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Journal of Clinical Medicine (Q1)</w:t>
            </w:r>
          </w:p>
        </w:tc>
        <w:tc>
          <w:tcPr>
            <w:tcW w:w="465" w:type="dxa"/>
          </w:tcPr>
          <w:p w14:paraId="3BA9CC6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2024</w:t>
            </w:r>
          </w:p>
        </w:tc>
        <w:tc>
          <w:tcPr>
            <w:tcW w:w="1020" w:type="dxa"/>
          </w:tcPr>
          <w:p w14:paraId="7C13836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Implementation</w:t>
            </w:r>
          </w:p>
        </w:tc>
        <w:tc>
          <w:tcPr>
            <w:tcW w:w="1388" w:type="dxa"/>
          </w:tcPr>
          <w:p w14:paraId="13A3F2A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Complex UI — slows clinical adoption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alerts — slows clinical adoption</w:t>
            </w:r>
          </w:p>
        </w:tc>
        <w:tc>
          <w:tcPr>
            <w:tcW w:w="1388" w:type="dxa"/>
          </w:tcPr>
          <w:p w14:paraId="13A10FB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Task-centered design — slows clinical adoption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limits — slows clinical adoption</w:t>
            </w:r>
          </w:p>
        </w:tc>
        <w:tc>
          <w:tcPr>
            <w:tcW w:w="1388" w:type="dxa"/>
          </w:tcPr>
          <w:p w14:paraId="24E5B76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Faster decisions — slows clinical adoption</w:t>
            </w:r>
          </w:p>
        </w:tc>
      </w:tr>
      <w:tr w:rsidR="004944C4" w:rsidRPr="004944C4" w14:paraId="02341F4D" w14:textId="77777777" w:rsidTr="00692E92">
        <w:tc>
          <w:tcPr>
            <w:tcW w:w="340" w:type="dxa"/>
          </w:tcPr>
          <w:p w14:paraId="3F1E3B7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23</w:t>
            </w:r>
          </w:p>
        </w:tc>
        <w:tc>
          <w:tcPr>
            <w:tcW w:w="988" w:type="dxa"/>
          </w:tcPr>
          <w:p w14:paraId="05DD49C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Societal Factors in AI Acceptance</w:t>
            </w:r>
          </w:p>
        </w:tc>
        <w:tc>
          <w:tcPr>
            <w:tcW w:w="988" w:type="dxa"/>
          </w:tcPr>
          <w:p w14:paraId="156464E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PLOS ONE (Q1)</w:t>
            </w:r>
          </w:p>
        </w:tc>
        <w:tc>
          <w:tcPr>
            <w:tcW w:w="465" w:type="dxa"/>
          </w:tcPr>
          <w:p w14:paraId="477FFDA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2024</w:t>
            </w:r>
          </w:p>
        </w:tc>
        <w:tc>
          <w:tcPr>
            <w:tcW w:w="1020" w:type="dxa"/>
          </w:tcPr>
          <w:p w14:paraId="14330D0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Ethics &amp; Governance</w:t>
            </w:r>
          </w:p>
        </w:tc>
        <w:tc>
          <w:tcPr>
            <w:tcW w:w="1388" w:type="dxa"/>
          </w:tcPr>
          <w:p w14:paraId="05873D6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Public mistrust — raises trust and safety concerns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fear — raises trust and safety concerns</w:t>
            </w:r>
          </w:p>
        </w:tc>
        <w:tc>
          <w:tcPr>
            <w:tcW w:w="1388" w:type="dxa"/>
          </w:tcPr>
          <w:p w14:paraId="304A6D6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Awareness — raises trust and safety concerns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oversight — raises trust and safety concerns</w:t>
            </w:r>
          </w:p>
        </w:tc>
        <w:tc>
          <w:tcPr>
            <w:tcW w:w="1388" w:type="dxa"/>
          </w:tcPr>
          <w:p w14:paraId="325501D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Responsible use — raises trust and safety concerns</w:t>
            </w:r>
          </w:p>
        </w:tc>
      </w:tr>
      <w:tr w:rsidR="004944C4" w:rsidRPr="004944C4" w14:paraId="7A536A43" w14:textId="77777777" w:rsidTr="00692E92">
        <w:tc>
          <w:tcPr>
            <w:tcW w:w="340" w:type="dxa"/>
          </w:tcPr>
          <w:p w14:paraId="24A1751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24</w:t>
            </w:r>
          </w:p>
        </w:tc>
        <w:tc>
          <w:tcPr>
            <w:tcW w:w="988" w:type="dxa"/>
          </w:tcPr>
          <w:p w14:paraId="6114A11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 for Diagnostic Imaging in LMICs</w:t>
            </w:r>
          </w:p>
        </w:tc>
        <w:tc>
          <w:tcPr>
            <w:tcW w:w="988" w:type="dxa"/>
          </w:tcPr>
          <w:p w14:paraId="6F7585C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The Lancet Digital Health (Q1)</w:t>
            </w:r>
          </w:p>
        </w:tc>
        <w:tc>
          <w:tcPr>
            <w:tcW w:w="465" w:type="dxa"/>
          </w:tcPr>
          <w:p w14:paraId="0A9A6F5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2024</w:t>
            </w:r>
          </w:p>
        </w:tc>
        <w:tc>
          <w:tcPr>
            <w:tcW w:w="1020" w:type="dxa"/>
          </w:tcPr>
          <w:p w14:paraId="61AD8E0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Infrastructure</w:t>
            </w:r>
          </w:p>
        </w:tc>
        <w:tc>
          <w:tcPr>
            <w:tcW w:w="1388" w:type="dxa"/>
          </w:tcPr>
          <w:p w14:paraId="5A2DA7C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Few devices — disrupts connectivity/workflows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quality gaps — disrupts connectivity/workflows</w:t>
            </w:r>
          </w:p>
        </w:tc>
        <w:tc>
          <w:tcPr>
            <w:tcW w:w="1388" w:type="dxa"/>
          </w:tcPr>
          <w:p w14:paraId="248B9C2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Robust low-quality models — disrupts connectivity/workflows</w:t>
            </w:r>
          </w:p>
        </w:tc>
        <w:tc>
          <w:tcPr>
            <w:tcW w:w="1388" w:type="dxa"/>
          </w:tcPr>
          <w:p w14:paraId="1AF31403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Better access — disrupts connectivity/workflows</w:t>
            </w:r>
          </w:p>
        </w:tc>
      </w:tr>
      <w:tr w:rsidR="004944C4" w:rsidRPr="004944C4" w14:paraId="75DB5281" w14:textId="77777777" w:rsidTr="00692E92">
        <w:tc>
          <w:tcPr>
            <w:tcW w:w="340" w:type="dxa"/>
          </w:tcPr>
          <w:p w14:paraId="6D208ED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25</w:t>
            </w:r>
          </w:p>
        </w:tc>
        <w:tc>
          <w:tcPr>
            <w:tcW w:w="988" w:type="dxa"/>
          </w:tcPr>
          <w:p w14:paraId="15159E5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Artificial Intelligence in Global Health: Opportunities &amp; Challenges</w:t>
            </w:r>
          </w:p>
        </w:tc>
        <w:tc>
          <w:tcPr>
            <w:tcW w:w="988" w:type="dxa"/>
          </w:tcPr>
          <w:p w14:paraId="7967176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Frontiers in Public Health (Q1)</w:t>
            </w:r>
          </w:p>
        </w:tc>
        <w:tc>
          <w:tcPr>
            <w:tcW w:w="465" w:type="dxa"/>
          </w:tcPr>
          <w:p w14:paraId="02FAFC42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2023</w:t>
            </w:r>
          </w:p>
        </w:tc>
        <w:tc>
          <w:tcPr>
            <w:tcW w:w="1020" w:type="dxa"/>
          </w:tcPr>
          <w:p w14:paraId="71AC180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Ethics &amp; Governance</w:t>
            </w:r>
          </w:p>
        </w:tc>
        <w:tc>
          <w:tcPr>
            <w:tcW w:w="1388" w:type="dxa"/>
          </w:tcPr>
          <w:p w14:paraId="7223FE7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Weak data governance — raises trust and safety concerns</w:t>
            </w:r>
          </w:p>
        </w:tc>
        <w:tc>
          <w:tcPr>
            <w:tcW w:w="1388" w:type="dxa"/>
          </w:tcPr>
          <w:p w14:paraId="69E63EA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Ethics committees — raises trust and safety concerns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engagement — raises trust and safety concerns</w:t>
            </w:r>
          </w:p>
        </w:tc>
        <w:tc>
          <w:tcPr>
            <w:tcW w:w="1388" w:type="dxa"/>
          </w:tcPr>
          <w:p w14:paraId="40FE464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Better acceptance — raises trust and safety concerns</w:t>
            </w:r>
          </w:p>
        </w:tc>
      </w:tr>
      <w:tr w:rsidR="004944C4" w:rsidRPr="004944C4" w14:paraId="395DA898" w14:textId="77777777" w:rsidTr="00692E92">
        <w:tc>
          <w:tcPr>
            <w:tcW w:w="340" w:type="dxa"/>
          </w:tcPr>
          <w:p w14:paraId="79F925F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26</w:t>
            </w:r>
          </w:p>
        </w:tc>
        <w:tc>
          <w:tcPr>
            <w:tcW w:w="988" w:type="dxa"/>
          </w:tcPr>
          <w:p w14:paraId="6632150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 Adoption in Developing Healthcare Systems</w:t>
            </w:r>
          </w:p>
        </w:tc>
        <w:tc>
          <w:tcPr>
            <w:tcW w:w="988" w:type="dxa"/>
          </w:tcPr>
          <w:p w14:paraId="2A5D6C1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Journal of Biomedical Informatics (Q1)</w:t>
            </w:r>
          </w:p>
        </w:tc>
        <w:tc>
          <w:tcPr>
            <w:tcW w:w="465" w:type="dxa"/>
          </w:tcPr>
          <w:p w14:paraId="5D093B59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2023</w:t>
            </w:r>
          </w:p>
        </w:tc>
        <w:tc>
          <w:tcPr>
            <w:tcW w:w="1020" w:type="dxa"/>
          </w:tcPr>
          <w:p w14:paraId="4636A29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Data &amp; Capacity</w:t>
            </w:r>
          </w:p>
        </w:tc>
        <w:tc>
          <w:tcPr>
            <w:tcW w:w="1388" w:type="dxa"/>
          </w:tcPr>
          <w:p w14:paraId="390966B5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Scarce local data — limits model training/validation</w:t>
            </w:r>
          </w:p>
        </w:tc>
        <w:tc>
          <w:tcPr>
            <w:tcW w:w="1388" w:type="dxa"/>
          </w:tcPr>
          <w:p w14:paraId="38B6096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Data repositories — limits model training/validation</w:t>
            </w:r>
            <w:r w:rsidRPr="004944C4">
              <w:rPr>
                <w:rFonts w:eastAsia="Times New Roman"/>
                <w:sz w:val="20"/>
                <w:szCs w:val="20"/>
              </w:rPr>
              <w:br/>
              <w:t xml:space="preserve">• upskilling — limits model </w:t>
            </w:r>
            <w:r w:rsidRPr="004944C4">
              <w:rPr>
                <w:rFonts w:eastAsia="Times New Roman"/>
                <w:sz w:val="20"/>
                <w:szCs w:val="20"/>
              </w:rPr>
              <w:lastRenderedPageBreak/>
              <w:t>training/validation</w:t>
            </w:r>
          </w:p>
        </w:tc>
        <w:tc>
          <w:tcPr>
            <w:tcW w:w="1388" w:type="dxa"/>
          </w:tcPr>
          <w:p w14:paraId="3A9320C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lastRenderedPageBreak/>
              <w:t>• Local relevance — limits model training/validation</w:t>
            </w:r>
          </w:p>
        </w:tc>
      </w:tr>
      <w:tr w:rsidR="004944C4" w:rsidRPr="004944C4" w14:paraId="605653EF" w14:textId="77777777" w:rsidTr="00692E92">
        <w:tc>
          <w:tcPr>
            <w:tcW w:w="340" w:type="dxa"/>
          </w:tcPr>
          <w:p w14:paraId="5919A66F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27</w:t>
            </w:r>
          </w:p>
        </w:tc>
        <w:tc>
          <w:tcPr>
            <w:tcW w:w="988" w:type="dxa"/>
          </w:tcPr>
          <w:p w14:paraId="4812DAA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 Integration in Pathology</w:t>
            </w:r>
          </w:p>
        </w:tc>
        <w:tc>
          <w:tcPr>
            <w:tcW w:w="988" w:type="dxa"/>
          </w:tcPr>
          <w:p w14:paraId="165AE27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Diagnostic Pathology (Q2)</w:t>
            </w:r>
          </w:p>
        </w:tc>
        <w:tc>
          <w:tcPr>
            <w:tcW w:w="465" w:type="dxa"/>
          </w:tcPr>
          <w:p w14:paraId="37AF49C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2023</w:t>
            </w:r>
          </w:p>
        </w:tc>
        <w:tc>
          <w:tcPr>
            <w:tcW w:w="1020" w:type="dxa"/>
          </w:tcPr>
          <w:p w14:paraId="5AAEEB0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Implementation</w:t>
            </w:r>
          </w:p>
        </w:tc>
        <w:tc>
          <w:tcPr>
            <w:tcW w:w="1388" w:type="dxa"/>
          </w:tcPr>
          <w:p w14:paraId="037B562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Non-digital slides — slows clinical adoption</w:t>
            </w:r>
          </w:p>
        </w:tc>
        <w:tc>
          <w:tcPr>
            <w:tcW w:w="1388" w:type="dxa"/>
          </w:tcPr>
          <w:p w14:paraId="2DA5754E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Digitization — slows clinical adoption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unified LIMS — slows clinical adoption</w:t>
            </w:r>
          </w:p>
        </w:tc>
        <w:tc>
          <w:tcPr>
            <w:tcW w:w="1388" w:type="dxa"/>
          </w:tcPr>
          <w:p w14:paraId="3F92085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Faster reports — slows clinical adoption</w:t>
            </w:r>
          </w:p>
        </w:tc>
      </w:tr>
      <w:tr w:rsidR="004944C4" w:rsidRPr="004944C4" w14:paraId="48FAFE5D" w14:textId="77777777" w:rsidTr="00692E92">
        <w:tc>
          <w:tcPr>
            <w:tcW w:w="340" w:type="dxa"/>
          </w:tcPr>
          <w:p w14:paraId="6ADED45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28</w:t>
            </w:r>
          </w:p>
        </w:tc>
        <w:tc>
          <w:tcPr>
            <w:tcW w:w="988" w:type="dxa"/>
          </w:tcPr>
          <w:p w14:paraId="0185B3C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Assessing Ophthalmology AI Performance</w:t>
            </w:r>
          </w:p>
        </w:tc>
        <w:tc>
          <w:tcPr>
            <w:tcW w:w="988" w:type="dxa"/>
          </w:tcPr>
          <w:p w14:paraId="014E919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Ophthalmology Science (Q2)</w:t>
            </w:r>
          </w:p>
        </w:tc>
        <w:tc>
          <w:tcPr>
            <w:tcW w:w="465" w:type="dxa"/>
          </w:tcPr>
          <w:p w14:paraId="3E332AF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2023</w:t>
            </w:r>
          </w:p>
        </w:tc>
        <w:tc>
          <w:tcPr>
            <w:tcW w:w="1020" w:type="dxa"/>
          </w:tcPr>
          <w:p w14:paraId="4C04090D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Data &amp; Capacity</w:t>
            </w:r>
          </w:p>
        </w:tc>
        <w:tc>
          <w:tcPr>
            <w:tcW w:w="1388" w:type="dxa"/>
          </w:tcPr>
          <w:p w14:paraId="51DC159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Dataset/device bias — limits model training/validation</w:t>
            </w:r>
          </w:p>
        </w:tc>
        <w:tc>
          <w:tcPr>
            <w:tcW w:w="1388" w:type="dxa"/>
          </w:tcPr>
          <w:p w14:paraId="0335CC0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Diversify images — limits model training/validation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calibration — limits model training/validation</w:t>
            </w:r>
          </w:p>
        </w:tc>
        <w:tc>
          <w:tcPr>
            <w:tcW w:w="1388" w:type="dxa"/>
          </w:tcPr>
          <w:p w14:paraId="41DFFD08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Generalizable models — limits model training/validation</w:t>
            </w:r>
          </w:p>
        </w:tc>
      </w:tr>
      <w:tr w:rsidR="004944C4" w:rsidRPr="004944C4" w14:paraId="0B2B298C" w14:textId="77777777" w:rsidTr="00692E92">
        <w:tc>
          <w:tcPr>
            <w:tcW w:w="340" w:type="dxa"/>
          </w:tcPr>
          <w:p w14:paraId="5FFD1A3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29</w:t>
            </w:r>
          </w:p>
        </w:tc>
        <w:tc>
          <w:tcPr>
            <w:tcW w:w="988" w:type="dxa"/>
          </w:tcPr>
          <w:p w14:paraId="0BE28C9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Challenges and Solutions for Transforming Health Ecosystems in LMICs</w:t>
            </w:r>
          </w:p>
        </w:tc>
        <w:tc>
          <w:tcPr>
            <w:tcW w:w="988" w:type="dxa"/>
          </w:tcPr>
          <w:p w14:paraId="0D37441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Frontiers in Medicine (Q1)</w:t>
            </w:r>
          </w:p>
        </w:tc>
        <w:tc>
          <w:tcPr>
            <w:tcW w:w="465" w:type="dxa"/>
          </w:tcPr>
          <w:p w14:paraId="1C3BB65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2022</w:t>
            </w:r>
          </w:p>
        </w:tc>
        <w:tc>
          <w:tcPr>
            <w:tcW w:w="1020" w:type="dxa"/>
          </w:tcPr>
          <w:p w14:paraId="39CE0F5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Infrastructure</w:t>
            </w:r>
          </w:p>
        </w:tc>
        <w:tc>
          <w:tcPr>
            <w:tcW w:w="1388" w:type="dxa"/>
          </w:tcPr>
          <w:p w14:paraId="312FC5F0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Weak internet &amp; power — disrupts connectivity/workflows</w:t>
            </w:r>
          </w:p>
        </w:tc>
        <w:tc>
          <w:tcPr>
            <w:tcW w:w="1388" w:type="dxa"/>
          </w:tcPr>
          <w:p w14:paraId="10C964A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Reliable connectivity &amp; power — disrupts connectivity/workflows</w:t>
            </w:r>
          </w:p>
        </w:tc>
        <w:tc>
          <w:tcPr>
            <w:tcW w:w="1388" w:type="dxa"/>
          </w:tcPr>
          <w:p w14:paraId="192713B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Improves AI uptake — disrupts connectivity/workflows</w:t>
            </w:r>
          </w:p>
        </w:tc>
      </w:tr>
      <w:tr w:rsidR="004944C4" w:rsidRPr="004944C4" w14:paraId="6DE4F177" w14:textId="77777777" w:rsidTr="00692E92">
        <w:tc>
          <w:tcPr>
            <w:tcW w:w="340" w:type="dxa"/>
          </w:tcPr>
          <w:p w14:paraId="11E594D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30</w:t>
            </w:r>
          </w:p>
        </w:tc>
        <w:tc>
          <w:tcPr>
            <w:tcW w:w="988" w:type="dxa"/>
          </w:tcPr>
          <w:p w14:paraId="2F8B9954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AI in Health Care: Laying the Foundation for Global Equity</w:t>
            </w:r>
          </w:p>
        </w:tc>
        <w:tc>
          <w:tcPr>
            <w:tcW w:w="988" w:type="dxa"/>
          </w:tcPr>
          <w:p w14:paraId="1985FF37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BMC Globalization &amp; Health (Q1)</w:t>
            </w:r>
          </w:p>
        </w:tc>
        <w:tc>
          <w:tcPr>
            <w:tcW w:w="465" w:type="dxa"/>
          </w:tcPr>
          <w:p w14:paraId="449C9056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2020</w:t>
            </w:r>
          </w:p>
        </w:tc>
        <w:tc>
          <w:tcPr>
            <w:tcW w:w="1020" w:type="dxa"/>
          </w:tcPr>
          <w:p w14:paraId="455A054A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Policy &amp; Sustainability</w:t>
            </w:r>
          </w:p>
        </w:tc>
        <w:tc>
          <w:tcPr>
            <w:tcW w:w="1388" w:type="dxa"/>
          </w:tcPr>
          <w:p w14:paraId="2989BDC1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Digital divide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funding — delays scale‑up and funding</w:t>
            </w:r>
          </w:p>
        </w:tc>
        <w:tc>
          <w:tcPr>
            <w:tcW w:w="1388" w:type="dxa"/>
          </w:tcPr>
          <w:p w14:paraId="24414EBC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Grants — delays scale‑up and funding</w:t>
            </w:r>
            <w:r w:rsidRPr="004944C4">
              <w:rPr>
                <w:rFonts w:eastAsia="Times New Roman"/>
                <w:sz w:val="20"/>
                <w:szCs w:val="20"/>
              </w:rPr>
              <w:br/>
              <w:t>• pooled procurement — delays scale‑up and funding</w:t>
            </w:r>
          </w:p>
        </w:tc>
        <w:tc>
          <w:tcPr>
            <w:tcW w:w="1388" w:type="dxa"/>
          </w:tcPr>
          <w:p w14:paraId="78764FEB" w14:textId="77777777" w:rsidR="004944C4" w:rsidRPr="004944C4" w:rsidRDefault="004944C4" w:rsidP="00692E92">
            <w:pPr>
              <w:spacing w:after="200" w:line="276" w:lineRule="auto"/>
              <w:ind w:firstLine="0"/>
              <w:jc w:val="left"/>
              <w:rPr>
                <w:rFonts w:eastAsia="Times New Roman"/>
                <w:sz w:val="20"/>
                <w:szCs w:val="20"/>
              </w:rPr>
            </w:pPr>
            <w:r w:rsidRPr="004944C4">
              <w:rPr>
                <w:rFonts w:eastAsia="Times New Roman"/>
                <w:sz w:val="20"/>
                <w:szCs w:val="20"/>
              </w:rPr>
              <w:t>• Equitable access — delays scale‑up and funding</w:t>
            </w:r>
          </w:p>
        </w:tc>
      </w:tr>
    </w:tbl>
    <w:p w14:paraId="03104F41" w14:textId="77777777" w:rsidR="004944C4" w:rsidRPr="005D3039" w:rsidRDefault="004944C4" w:rsidP="004944C4">
      <w:pPr>
        <w:spacing w:after="200" w:line="276" w:lineRule="auto"/>
        <w:ind w:firstLine="0"/>
        <w:jc w:val="left"/>
        <w:rPr>
          <w:rFonts w:ascii="Times New Roman" w:eastAsia="Times New Roman" w:hAnsi="Times New Roman" w:cs="Arial"/>
          <w:kern w:val="0"/>
          <w:szCs w:val="22"/>
          <w14:ligatures w14:val="none"/>
        </w:rPr>
      </w:pPr>
    </w:p>
    <w:p w14:paraId="23BD2F2E" w14:textId="77777777" w:rsidR="004944C4" w:rsidRPr="005D3039" w:rsidRDefault="004944C4" w:rsidP="004944C4">
      <w:pPr>
        <w:spacing w:after="200" w:line="276" w:lineRule="auto"/>
        <w:ind w:firstLine="0"/>
        <w:jc w:val="left"/>
        <w:rPr>
          <w:rFonts w:ascii="Times New Roman" w:eastAsia="Times New Roman" w:hAnsi="Times New Roman" w:cs="Arial"/>
          <w:kern w:val="0"/>
          <w:szCs w:val="22"/>
          <w14:ligatures w14:val="none"/>
        </w:rPr>
      </w:pPr>
    </w:p>
    <w:p w14:paraId="2BC7C4E4" w14:textId="77777777" w:rsidR="004944C4" w:rsidRDefault="004944C4" w:rsidP="004944C4">
      <w:pPr>
        <w:pStyle w:val="Referencesvancover"/>
        <w:rPr>
          <w:lang w:bidi="ar-YE"/>
        </w:rPr>
      </w:pPr>
    </w:p>
    <w:p w14:paraId="29D92CC1" w14:textId="77777777" w:rsidR="004944C4" w:rsidRDefault="004944C4" w:rsidP="004944C4">
      <w:pPr>
        <w:pStyle w:val="Referencesvancover"/>
        <w:rPr>
          <w:lang w:bidi="ar-YE"/>
        </w:rPr>
      </w:pPr>
    </w:p>
    <w:p w14:paraId="39E78900" w14:textId="77777777" w:rsidR="00115280" w:rsidRDefault="00115280"/>
    <w:sectPr w:rsidR="00115280" w:rsidSect="00501C8D">
      <w:pgSz w:w="11906" w:h="16838"/>
      <w:pgMar w:top="1440" w:right="1440" w:bottom="1440" w:left="14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594"/>
    <w:rsid w:val="00115280"/>
    <w:rsid w:val="004944C4"/>
    <w:rsid w:val="00501C8D"/>
    <w:rsid w:val="00650048"/>
    <w:rsid w:val="007A35F3"/>
    <w:rsid w:val="007E278B"/>
    <w:rsid w:val="007F7594"/>
    <w:rsid w:val="00F228B8"/>
    <w:rsid w:val="00FF3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51522FB-9A32-4095-BEEE-AABBF11AC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000000" w:themeColor="text1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4C4"/>
    <w:pPr>
      <w:spacing w:after="0" w:line="360" w:lineRule="auto"/>
      <w:ind w:firstLine="720"/>
      <w:jc w:val="both"/>
    </w:pPr>
    <w:rPr>
      <w:rFonts w:asciiTheme="majorBidi" w:eastAsiaTheme="majorEastAsia" w:hAnsiTheme="majorBidi" w:cstheme="majorBidi"/>
      <w:color w:val="auto"/>
    </w:rPr>
  </w:style>
  <w:style w:type="paragraph" w:styleId="Heading1">
    <w:name w:val="heading 1"/>
    <w:basedOn w:val="Title"/>
    <w:next w:val="Normal"/>
    <w:link w:val="Heading1Char"/>
    <w:uiPriority w:val="9"/>
    <w:qFormat/>
    <w:rsid w:val="007E278B"/>
    <w:pPr>
      <w:spacing w:before="240" w:after="120" w:line="480" w:lineRule="auto"/>
      <w:ind w:firstLine="0"/>
      <w:jc w:val="left"/>
      <w:outlineLvl w:val="0"/>
    </w:pPr>
    <w:rPr>
      <w:rFonts w:ascii="Times New Roman" w:hAnsi="Times New Roman" w:cs="Times New Roman"/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7E278B"/>
    <w:pPr>
      <w:spacing w:before="120" w:after="60"/>
      <w:outlineLvl w:val="1"/>
    </w:pPr>
    <w:rPr>
      <w:sz w:val="24"/>
      <w:szCs w:val="24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7E278B"/>
    <w:pPr>
      <w:outlineLvl w:val="2"/>
    </w:pPr>
    <w:rPr>
      <w:i/>
      <w:i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7594"/>
    <w:pPr>
      <w:keepNext/>
      <w:keepLines/>
      <w:spacing w:before="80" w:after="40" w:line="480" w:lineRule="auto"/>
      <w:contextualSpacing/>
      <w:outlineLvl w:val="3"/>
    </w:pPr>
    <w:rPr>
      <w:rFonts w:asciiTheme="minorHAnsi" w:hAnsiTheme="minorHAns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7594"/>
    <w:pPr>
      <w:keepNext/>
      <w:keepLines/>
      <w:spacing w:before="80" w:after="40" w:line="480" w:lineRule="auto"/>
      <w:contextualSpacing/>
      <w:outlineLvl w:val="4"/>
    </w:pPr>
    <w:rPr>
      <w:rFonts w:asciiTheme="minorHAnsi" w:hAnsiTheme="minorHAns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7594"/>
    <w:pPr>
      <w:keepNext/>
      <w:keepLines/>
      <w:spacing w:before="40" w:line="480" w:lineRule="auto"/>
      <w:contextualSpacing/>
      <w:outlineLvl w:val="5"/>
    </w:pPr>
    <w:rPr>
      <w:rFonts w:asciiTheme="minorHAnsi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7594"/>
    <w:pPr>
      <w:keepNext/>
      <w:keepLines/>
      <w:spacing w:before="40" w:line="480" w:lineRule="auto"/>
      <w:contextualSpacing/>
      <w:outlineLvl w:val="6"/>
    </w:pPr>
    <w:rPr>
      <w:rFonts w:asciiTheme="minorHAnsi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7594"/>
    <w:pPr>
      <w:keepNext/>
      <w:keepLines/>
      <w:spacing w:line="480" w:lineRule="auto"/>
      <w:contextualSpacing/>
      <w:outlineLvl w:val="7"/>
    </w:pPr>
    <w:rPr>
      <w:rFonts w:asciiTheme="minorHAnsi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7594"/>
    <w:pPr>
      <w:keepNext/>
      <w:keepLines/>
      <w:spacing w:line="480" w:lineRule="auto"/>
      <w:contextualSpacing/>
      <w:outlineLvl w:val="8"/>
    </w:pPr>
    <w:rPr>
      <w:rFonts w:asciiTheme="minorHAnsi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278B"/>
    <w:rPr>
      <w:rFonts w:eastAsiaTheme="majorEastAsia"/>
      <w:b/>
      <w:bCs/>
      <w:color w:val="auto"/>
      <w:spacing w:val="-10"/>
      <w:kern w:val="28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E278B"/>
    <w:rPr>
      <w:rFonts w:eastAsiaTheme="majorEastAsia"/>
      <w:b/>
      <w:bCs/>
      <w:color w:val="auto"/>
      <w:spacing w:val="-10"/>
      <w:kern w:val="28"/>
    </w:rPr>
  </w:style>
  <w:style w:type="paragraph" w:styleId="Title">
    <w:name w:val="Title"/>
    <w:basedOn w:val="Normal"/>
    <w:next w:val="Normal"/>
    <w:link w:val="TitleChar"/>
    <w:uiPriority w:val="10"/>
    <w:qFormat/>
    <w:rsid w:val="007E278B"/>
    <w:pPr>
      <w:spacing w:after="80" w:line="240" w:lineRule="auto"/>
      <w:contextualSpacing/>
    </w:pPr>
    <w:rPr>
      <w:rFonts w:asciiTheme="majorHAnsi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78B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7E278B"/>
    <w:rPr>
      <w:rFonts w:eastAsiaTheme="majorEastAsia"/>
      <w:b/>
      <w:bCs/>
      <w:i/>
      <w:iCs/>
      <w:color w:val="auto"/>
      <w:spacing w:val="-10"/>
      <w:kern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7594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7594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759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759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759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7594"/>
    <w:rPr>
      <w:rFonts w:asciiTheme="minorHAnsi" w:eastAsiaTheme="majorEastAsia" w:hAnsiTheme="minorHAnsi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7594"/>
    <w:pPr>
      <w:numPr>
        <w:ilvl w:val="1"/>
      </w:numPr>
      <w:spacing w:after="160" w:line="480" w:lineRule="auto"/>
      <w:ind w:firstLine="720"/>
      <w:contextualSpacing/>
    </w:pPr>
    <w:rPr>
      <w:rFonts w:asciiTheme="minorHAnsi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759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7594"/>
    <w:pPr>
      <w:spacing w:before="160" w:after="160" w:line="480" w:lineRule="auto"/>
      <w:contextualSpacing/>
      <w:jc w:val="center"/>
    </w:pPr>
    <w:rPr>
      <w:rFonts w:ascii="Times New Roman" w:eastAsiaTheme="minorHAnsi" w:hAnsi="Times New Roman" w:cs="Times New Roman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75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7594"/>
    <w:pPr>
      <w:spacing w:line="480" w:lineRule="auto"/>
      <w:ind w:left="720"/>
      <w:contextualSpacing/>
    </w:pPr>
    <w:rPr>
      <w:rFonts w:ascii="Times New Roman" w:eastAsiaTheme="minorHAnsi" w:hAnsi="Times New Roman" w:cs="Times New Roman"/>
      <w:color w:val="000000" w:themeColor="text1"/>
    </w:rPr>
  </w:style>
  <w:style w:type="character" w:styleId="IntenseEmphasis">
    <w:name w:val="Intense Emphasis"/>
    <w:basedOn w:val="DefaultParagraphFont"/>
    <w:uiPriority w:val="21"/>
    <w:qFormat/>
    <w:rsid w:val="007F75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75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480" w:lineRule="auto"/>
      <w:ind w:left="864" w:right="864"/>
      <w:contextualSpacing/>
      <w:jc w:val="center"/>
    </w:pPr>
    <w:rPr>
      <w:rFonts w:ascii="Times New Roman" w:eastAsiaTheme="minorHAnsi" w:hAnsi="Times New Roman" w:cs="Times New Roman"/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75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7594"/>
    <w:rPr>
      <w:b/>
      <w:bCs/>
      <w:smallCaps/>
      <w:color w:val="2F5496" w:themeColor="accent1" w:themeShade="BF"/>
      <w:spacing w:val="5"/>
    </w:rPr>
  </w:style>
  <w:style w:type="paragraph" w:customStyle="1" w:styleId="Referencesvancover">
    <w:name w:val="References vancover"/>
    <w:basedOn w:val="Normal"/>
    <w:qFormat/>
    <w:rsid w:val="004944C4"/>
    <w:pPr>
      <w:spacing w:line="240" w:lineRule="auto"/>
      <w:ind w:left="680" w:hanging="680"/>
    </w:pPr>
    <w:rPr>
      <w:noProof/>
    </w:rPr>
  </w:style>
  <w:style w:type="table" w:customStyle="1" w:styleId="TableGrid4">
    <w:name w:val="Table Grid4"/>
    <w:basedOn w:val="TableNormal"/>
    <w:next w:val="TableGrid"/>
    <w:uiPriority w:val="59"/>
    <w:rsid w:val="004944C4"/>
    <w:pPr>
      <w:spacing w:after="0" w:line="240" w:lineRule="auto"/>
    </w:pPr>
    <w:rPr>
      <w:rFonts w:asciiTheme="minorHAnsi" w:eastAsia="Times New Roman" w:hAnsiTheme="minorHAnsi" w:cstheme="minorBidi"/>
      <w:color w:val="auto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944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1194</Words>
  <Characters>8237</Characters>
  <Application>Microsoft Office Word</Application>
  <DocSecurity>0</DocSecurity>
  <Lines>1006</Lines>
  <Paragraphs>270</Paragraphs>
  <ScaleCrop>false</ScaleCrop>
  <Company/>
  <LinksUpToDate>false</LinksUpToDate>
  <CharactersWithSpaces>9411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Albaik Abdulelah</dc:creator>
  <cp:keywords/>
  <dc:description/>
  <cp:lastModifiedBy>Albaik Abdulelah</cp:lastModifiedBy>
  <cp:revision>2</cp:revision>
  <dcterms:created xsi:type="dcterms:W3CDTF">2025-11-06T22:16:00Z</dcterms:created>
  <dcterms:modified xsi:type="dcterms:W3CDTF">2025-11-06T22:16:00Z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1f25d5ed-153a-4611-97de-24879d363223</vt:lpwstr>
  </property>
</Properties>
</file>