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A789" w14:textId="10AA7BBE" w:rsidR="005D5D88" w:rsidRDefault="2A5E3825" w:rsidP="37A6FD75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37A6FD75">
        <w:rPr>
          <w:rFonts w:ascii="Calibri" w:eastAsia="Calibri" w:hAnsi="Calibri" w:cs="Calibri"/>
          <w:b/>
          <w:bCs/>
          <w:i/>
          <w:iCs/>
          <w:color w:val="000000" w:themeColor="text1"/>
        </w:rPr>
        <w:t>Supplementary Table 1: Summary of study aims, objectives</w:t>
      </w:r>
      <w:r w:rsidR="0031426A">
        <w:rPr>
          <w:rFonts w:ascii="Calibri" w:eastAsia="Calibri" w:hAnsi="Calibri" w:cs="Calibri"/>
          <w:b/>
          <w:bCs/>
          <w:i/>
          <w:iCs/>
          <w:color w:val="000000" w:themeColor="text1"/>
        </w:rPr>
        <w:t>,</w:t>
      </w:r>
      <w:r w:rsidRPr="37A6FD75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outcome measures</w:t>
      </w:r>
      <w:r w:rsidR="0031426A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and sample size justification</w:t>
      </w:r>
      <w:r w:rsidRPr="37A6FD75">
        <w:rPr>
          <w:rFonts w:ascii="Calibri" w:eastAsia="Calibri" w:hAnsi="Calibri" w:cs="Calibri"/>
          <w:b/>
          <w:bCs/>
          <w:i/>
          <w:iCs/>
          <w:color w:val="000000" w:themeColor="text1"/>
        </w:rPr>
        <w:t>.</w:t>
      </w:r>
    </w:p>
    <w:p w14:paraId="7E471DAB" w14:textId="27A61FFA" w:rsidR="005D5D88" w:rsidRDefault="005D5D88" w:rsidP="37A6FD75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W w:w="15735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4253"/>
        <w:gridCol w:w="5528"/>
        <w:gridCol w:w="3402"/>
      </w:tblGrid>
      <w:tr w:rsidR="0031426A" w14:paraId="4F491809" w14:textId="7FE8F8D1" w:rsidTr="00584B89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left w:w="105" w:type="dxa"/>
              <w:right w:w="105" w:type="dxa"/>
            </w:tcMar>
          </w:tcPr>
          <w:p w14:paraId="43919E48" w14:textId="2B3B3D27" w:rsidR="0031426A" w:rsidRDefault="0031426A" w:rsidP="37A6FD7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7A6FD7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Aims/questions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left w:w="105" w:type="dxa"/>
              <w:right w:w="105" w:type="dxa"/>
            </w:tcMar>
          </w:tcPr>
          <w:p w14:paraId="3A1C6FFD" w14:textId="576D58F2" w:rsidR="0031426A" w:rsidRDefault="0031426A" w:rsidP="37A6FD7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37A6FD7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tcMar>
              <w:left w:w="105" w:type="dxa"/>
              <w:right w:w="105" w:type="dxa"/>
            </w:tcMar>
          </w:tcPr>
          <w:p w14:paraId="7066795C" w14:textId="510D22B5" w:rsidR="0031426A" w:rsidRDefault="0031426A" w:rsidP="00584B89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37A6FD7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Outcome Measure(s)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</w:tcPr>
          <w:p w14:paraId="279E6EB4" w14:textId="513FE4ED" w:rsidR="0031426A" w:rsidRPr="37A6FD75" w:rsidRDefault="0031426A" w:rsidP="37A6FD75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Sample size</w:t>
            </w:r>
            <w:r w:rsidR="00584B8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and justification</w:t>
            </w:r>
          </w:p>
        </w:tc>
      </w:tr>
      <w:tr w:rsidR="0031426A" w14:paraId="2D4CF9DE" w14:textId="0409B4DA" w:rsidTr="00584B89">
        <w:trPr>
          <w:trHeight w:val="3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5212B65" w14:textId="1F123CA3" w:rsidR="0031426A" w:rsidRDefault="0031426A" w:rsidP="37A6FD75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37A6FD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To test the feasibility of delivering an early opioid deprescribing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</w:t>
            </w:r>
            <w:r w:rsidRPr="37A6FD7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ntervention in primary care, led by trained clinical pharmacists.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24C86B" w14:textId="5F33712F" w:rsidR="0031426A" w:rsidRDefault="0031426A" w:rsidP="00584B89">
            <w:pPr>
              <w:rPr>
                <w:rFonts w:ascii="Calibri" w:eastAsia="Calibri" w:hAnsi="Calibri" w:cs="Calibri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Ascertain stakeholder acceptability of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the intervention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4E389D" w14:textId="723FBF91" w:rsidR="0031426A" w:rsidRDefault="0031426A" w:rsidP="00584B89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•   Qualitative interviews with pharmacists and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stakeholders - identify perceptions of the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intervention and barriers/enablers for delivery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Research team notes on barriers and facilitators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when delivering the study within GP practices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9C33" w14:textId="3B3E08BE" w:rsidR="0031426A" w:rsidRDefault="00ED4DE3" w:rsidP="37A6FD75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Clinical pharmacists involved in intervention delivery – minimum n=6 (6 GP sites with minimum of 1 pharmacist per site)</w:t>
            </w:r>
            <w:r w:rsidR="004431C0">
              <w:rPr>
                <w:rFonts w:ascii="Calibri" w:eastAsia="Calibri" w:hAnsi="Calibri" w:cs="Calibri"/>
                <w:sz w:val="22"/>
                <w:szCs w:val="22"/>
              </w:rPr>
              <w:t>. Stakeholders n=5</w:t>
            </w:r>
          </w:p>
          <w:p w14:paraId="036BD149" w14:textId="6C53D3BD" w:rsidR="00ED4DE3" w:rsidRPr="00584B89" w:rsidRDefault="00ED4DE3" w:rsidP="37A6FD75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584B89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**Sample size not relevant to this article – results reported separately**</w:t>
            </w:r>
          </w:p>
        </w:tc>
      </w:tr>
      <w:tr w:rsidR="0031426A" w14:paraId="0C38FDDD" w14:textId="5A4898F0" w:rsidTr="00584B89">
        <w:trPr>
          <w:trHeight w:val="300"/>
        </w:trPr>
        <w:tc>
          <w:tcPr>
            <w:tcW w:w="255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8B7845E" w14:textId="77777777" w:rsidR="0031426A" w:rsidRDefault="0031426A"/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7EF4BF" w14:textId="0EF5FAA6" w:rsidR="0031426A" w:rsidRDefault="0031426A" w:rsidP="00584B89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 w:rsidRPr="37A6FD75">
              <w:rPr>
                <w:rFonts w:ascii="Calibri" w:eastAsia="Calibri" w:hAnsi="Calibri" w:cs="Calibri"/>
                <w:sz w:val="22"/>
                <w:szCs w:val="22"/>
              </w:rPr>
              <w:t xml:space="preserve">Determination of the fidelity of an early opioid deprescribing intervention led by trained clinical pharmacists in primary care and their role in the wider medicine’s optimisation programme.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E161E4" w14:textId="0D9D76F1" w:rsidR="004431C0" w:rsidRPr="00584B89" w:rsidRDefault="0031426A" w:rsidP="004431C0">
            <w:pPr>
              <w:spacing w:after="120" w:line="240" w:lineRule="auto"/>
              <w:rPr>
                <w:rFonts w:ascii="Calibri" w:eastAsia="Calibri" w:hAnsi="Calibri" w:cs="Calibri"/>
                <w:sz w:val="10"/>
                <w:szCs w:val="10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Assess the capabilities of trained clinical pharmacists to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deliver an early opioid medication review through: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Completion of intervention delivery training with the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Clinical</w:t>
            </w:r>
            <w:r w:rsidR="004431C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t>Lead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Observational competency checks by Clinical Lead at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regular weekly drop-in support sessions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Completed medication review case reports reviewed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by the research staff at GP surgery and by study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team for accuracy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  <w:p w14:paraId="3F6DDB84" w14:textId="2A821EB9" w:rsidR="0031426A" w:rsidRDefault="0031426A" w:rsidP="00584B89">
            <w:pPr>
              <w:spacing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The percentage of participants successfully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de-escalated by the pharmacists delivering the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intervention. Measured as the mean difference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in morphine milligram equivalent (MME) dose at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baseline and at end of intervention (&lt;91 days)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6AEE" w14:textId="77777777" w:rsidR="0031426A" w:rsidRDefault="004431C0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Clinical pharmacists involved in intervention delivery – minimum n=6 (6 GP sites with minimum of 1 pharmacist per site).</w:t>
            </w:r>
          </w:p>
          <w:p w14:paraId="5AAC1B79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1D5A2A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AD08B1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6EE42E" w14:textId="77777777" w:rsidR="004431C0" w:rsidRPr="00584B89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  <w:p w14:paraId="6417429C" w14:textId="378D792F" w:rsidR="004431C0" w:rsidRPr="00584B89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84B89">
              <w:rPr>
                <w:rFonts w:ascii="Calibri" w:eastAsia="Calibri" w:hAnsi="Calibri" w:cs="Calibri"/>
                <w:sz w:val="22"/>
                <w:szCs w:val="22"/>
              </w:rPr>
              <w:t>Quantitative sample: n=70</w:t>
            </w:r>
          </w:p>
          <w:p w14:paraId="2E200A9A" w14:textId="595BFE34" w:rsidR="004431C0" w:rsidRPr="37A6FD75" w:rsidRDefault="004431C0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D4DE3">
              <w:rPr>
                <w:rFonts w:ascii="Calibri" w:eastAsia="Calibri" w:hAnsi="Calibri" w:cs="Calibri"/>
                <w:sz w:val="22"/>
                <w:szCs w:val="22"/>
              </w:rPr>
              <w:t>Descriptive statistics on</w:t>
            </w:r>
            <w:r w:rsidRPr="00417C9A">
              <w:rPr>
                <w:rFonts w:ascii="Calibri" w:eastAsia="Calibri" w:hAnsi="Calibri" w:cs="Calibri"/>
                <w:sz w:val="22"/>
                <w:szCs w:val="22"/>
              </w:rPr>
              <w:t xml:space="preserve">ly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sample of n=70 deemed sufficient as no statistical testing involved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as single arm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31426A" w14:paraId="0040AB43" w14:textId="1E438080" w:rsidTr="00584B89">
        <w:trPr>
          <w:trHeight w:val="300"/>
        </w:trPr>
        <w:tc>
          <w:tcPr>
            <w:tcW w:w="2552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1152B8EA" w14:textId="77777777" w:rsidR="0031426A" w:rsidRDefault="0031426A"/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9E2CBF" w14:textId="0768AA83" w:rsidR="0031426A" w:rsidRDefault="0031426A" w:rsidP="00584B89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Ascertain participant acceptability of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the intervention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FF1651" w14:textId="77777777" w:rsidR="00ED4DE3" w:rsidRDefault="0031426A" w:rsidP="004431C0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584B89">
              <w:rPr>
                <w:rFonts w:ascii="Calibri" w:eastAsia="Calibri" w:hAnsi="Calibri" w:cs="Calibri"/>
                <w:sz w:val="22"/>
                <w:szCs w:val="22"/>
              </w:rPr>
              <w:t>Number and baseline characteristic (age, gender,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surgical procedure) of participants that are eligible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for the study versus those that are approached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 xml:space="preserve">and subsequently enrol in the study </w:t>
            </w:r>
          </w:p>
          <w:p w14:paraId="7AFBB9F0" w14:textId="327D4346" w:rsidR="00ED4DE3" w:rsidRPr="00ED4DE3" w:rsidRDefault="0031426A" w:rsidP="00584B89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584B89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Number of</w:t>
            </w:r>
            <w:r w:rsidR="00ED4DE3" w:rsidRPr="00ED4DE3">
              <w:rPr>
                <w:rFonts w:ascii="Calibri" w:eastAsia="Calibri" w:hAnsi="Calibri" w:cs="Calibri"/>
                <w:sz w:val="22"/>
                <w:szCs w:val="22"/>
              </w:rPr>
              <w:t xml:space="preserve"> p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t>articipants that decline or withdrawal from the</w:t>
            </w:r>
            <w:r w:rsidR="00ED4DE3" w:rsidRPr="00ED4DE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t>study</w:t>
            </w:r>
          </w:p>
          <w:p w14:paraId="7F04AFF1" w14:textId="28951963" w:rsidR="00ED4DE3" w:rsidRDefault="0031426A" w:rsidP="00584B89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584B89">
              <w:rPr>
                <w:rFonts w:ascii="Calibri" w:eastAsia="Calibri" w:hAnsi="Calibri" w:cs="Calibri"/>
                <w:sz w:val="22"/>
                <w:szCs w:val="22"/>
              </w:rPr>
              <w:t>Adherence to pharmacist medication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recommendations based on the completed CRF</w:t>
            </w:r>
          </w:p>
          <w:p w14:paraId="35EF5320" w14:textId="2DF965E9" w:rsidR="0031426A" w:rsidRDefault="0031426A" w:rsidP="00584B89">
            <w:pPr>
              <w:pStyle w:val="ListParagraph"/>
              <w:ind w:left="0"/>
            </w:pPr>
            <w:r w:rsidRPr="00584B89">
              <w:rPr>
                <w:rFonts w:ascii="Calibri" w:eastAsia="Calibri" w:hAnsi="Calibri" w:cs="Calibri"/>
                <w:sz w:val="2"/>
                <w:szCs w:val="2"/>
              </w:rPr>
              <w:br/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t>•   Participant satisfaction questionnaire ava</w:t>
            </w:r>
            <w:r w:rsidR="00ED4DE3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t>lable at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</w:r>
            <w:hyperlink r:id="rId10" w:tgtFrame="xrefwindow" w:history="1">
              <w:r w:rsidRPr="00ED4DE3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https://osf.io/yv2cj/</w:t>
              </w:r>
            </w:hyperlink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•   Themes derived from participant interviews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–participants experience, support and thoughts on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the intervention including barriers/enablers that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affect the delivery of the intervention from patient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perspective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CC68" w14:textId="7FA98719" w:rsidR="0031426A" w:rsidRPr="00584B89" w:rsidRDefault="0031426A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00584B89">
              <w:rPr>
                <w:rFonts w:ascii="Calibri" w:eastAsia="Calibri" w:hAnsi="Calibri" w:cs="Calibri"/>
                <w:sz w:val="22"/>
                <w:szCs w:val="22"/>
                <w:lang w:val="fr-FR"/>
              </w:rPr>
              <w:lastRenderedPageBreak/>
              <w:t>Quantitative sample</w:t>
            </w:r>
            <w:r w:rsidR="00ED4DE3" w:rsidRPr="00584B89">
              <w:rPr>
                <w:rFonts w:ascii="Calibri" w:eastAsia="Calibri" w:hAnsi="Calibri" w:cs="Calibri"/>
                <w:sz w:val="22"/>
                <w:szCs w:val="22"/>
                <w:lang w:val="fr-FR"/>
              </w:rPr>
              <w:t>: n=70</w:t>
            </w:r>
          </w:p>
          <w:p w14:paraId="030747BB" w14:textId="6AB28C79" w:rsidR="00ED4DE3" w:rsidRPr="00ED4DE3" w:rsidRDefault="00ED4DE3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ED4DE3">
              <w:rPr>
                <w:rFonts w:ascii="Calibri" w:eastAsia="Calibri" w:hAnsi="Calibri" w:cs="Calibri"/>
                <w:sz w:val="22"/>
                <w:szCs w:val="22"/>
              </w:rPr>
              <w:t>Descriptive statistics on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t xml:space="preserve">ly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sample of n=70 deemed sufficient as no statistical testing involved.</w:t>
            </w:r>
          </w:p>
          <w:p w14:paraId="40900142" w14:textId="77777777" w:rsidR="0031426A" w:rsidRPr="00ED4DE3" w:rsidRDefault="0031426A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373A10F" w14:textId="2CDAC71D" w:rsidR="0031426A" w:rsidRDefault="0031426A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Qualitative sample</w:t>
            </w:r>
            <w:r w:rsidR="00ED4DE3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74F771FA" w14:textId="77777777" w:rsidR="00ED4DE3" w:rsidRDefault="00ED4DE3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Up to 25 participants.</w:t>
            </w:r>
          </w:p>
          <w:p w14:paraId="1EA57E14" w14:textId="0A45C29E" w:rsidR="00ED4DE3" w:rsidRPr="00584B89" w:rsidRDefault="00ED4DE3" w:rsidP="37A6FD75">
            <w:pPr>
              <w:spacing w:after="120" w:line="240" w:lineRule="auto"/>
              <w:jc w:val="both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584B89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**</w:t>
            </w:r>
            <w:r w:rsidRPr="00584B89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Qualitative s</w:t>
            </w:r>
            <w:r w:rsidRPr="00584B89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ample size not relevant to this article – results reported separately**</w:t>
            </w:r>
          </w:p>
        </w:tc>
      </w:tr>
      <w:tr w:rsidR="0031426A" w14:paraId="51EEDFBB" w14:textId="4DE274FF" w:rsidTr="00584B89">
        <w:trPr>
          <w:trHeight w:val="300"/>
        </w:trPr>
        <w:tc>
          <w:tcPr>
            <w:tcW w:w="2552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FB06A66" w14:textId="77777777" w:rsidR="0031426A" w:rsidRDefault="0031426A"/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DB184A" w14:textId="5B73F489" w:rsidR="0031426A" w:rsidRDefault="0031426A" w:rsidP="00584B89">
            <w:pPr>
              <w:spacing w:before="120" w:after="120" w:line="240" w:lineRule="auto"/>
              <w:jc w:val="both"/>
            </w:pPr>
            <w:r w:rsidRPr="37A6FD75">
              <w:rPr>
                <w:rFonts w:ascii="Calibri" w:eastAsia="Calibri" w:hAnsi="Calibri" w:cs="Calibri"/>
                <w:sz w:val="22"/>
                <w:szCs w:val="22"/>
              </w:rPr>
              <w:t>Apply a micro-costing approach to estimate the intervention costs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D4DD7B" w14:textId="0A7903F7" w:rsidR="0031426A" w:rsidRDefault="0031426A" w:rsidP="00584B89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•   opioid medication costs per patient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staff and equipment costs to deliver intervention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(pharmacist, practice staff and training)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771C" w14:textId="4B0F03C1" w:rsidR="0031426A" w:rsidRDefault="0031426A" w:rsidP="0031426A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Quantitative sample</w:t>
            </w:r>
            <w:r w:rsidR="00ED4DE3">
              <w:rPr>
                <w:rFonts w:ascii="Calibri" w:eastAsia="Calibri" w:hAnsi="Calibri" w:cs="Calibri"/>
                <w:sz w:val="22"/>
                <w:szCs w:val="22"/>
              </w:rPr>
              <w:t>: n=70</w:t>
            </w:r>
          </w:p>
          <w:p w14:paraId="03AF292A" w14:textId="5F99C630" w:rsidR="0031426A" w:rsidRPr="37A6FD75" w:rsidRDefault="00ED4DE3" w:rsidP="00584B89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Descriptive micro-costing only – sample of n=70 deemed sufficient as no statistical testing involved.</w:t>
            </w:r>
          </w:p>
        </w:tc>
      </w:tr>
      <w:tr w:rsidR="0031426A" w14:paraId="050359AA" w14:textId="71CAF185" w:rsidTr="00584B89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40DDEF" w14:textId="295506C4" w:rsidR="0031426A" w:rsidRDefault="0031426A" w:rsidP="00584B89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 understand post-surgical opioid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br/>
              <w:t>prescribing experiences including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opioid use, long-term opioid use,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br/>
              <w:t>participant pain and quality of life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 the 3-month period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post-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urgery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when discharged with an opioid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p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rescription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C5EA15" w14:textId="6E1124F0" w:rsidR="0031426A" w:rsidRDefault="0031426A" w:rsidP="37A6FD75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To ascertain factors involved in post-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surgical opioid prescribing and use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and to relate this information for a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future trial</w:t>
            </w:r>
          </w:p>
          <w:p w14:paraId="6C24F773" w14:textId="35FEA842" w:rsidR="0031426A" w:rsidRDefault="0031426A" w:rsidP="37A6FD75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1AD10E" w14:textId="47B320F0" w:rsidR="0031426A" w:rsidRDefault="0031426A" w:rsidP="37A6FD75">
            <w:pPr>
              <w:spacing w:before="120" w:after="12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38D770" w14:textId="22C2F67D" w:rsidR="0031426A" w:rsidRDefault="0031426A" w:rsidP="00584B89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Lato" w:hAnsi="Lato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t>•   Medication opioid use data at baseline (day 0) and at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all follow-up appointments (≤91 days)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Opioid prescribing (type, dose, amount) at baseline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(day 0) for each surgical specialty and hospital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Pain scores at baseline (day 0) and final appointment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Measurement of risk factors in the participant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population that have been previously linked to long-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term opioid use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Baseline demographics (age, sex, BMI, ethnicity, social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deprivation scores, smoking and alcohol consumption)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Medical (comorbidities, healthcare use), prescription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(prior opioid, gabapentinoid and psychotropic use,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other medication use) and surgical (surgery type,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hospital, ward, opioid – type, strength, duration,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average pain score) histories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Quality-Of-Life questionnaire (EQ5D-5L) responses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at baseline and final appointment (≤91 days post-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surgery) to assess health status before and after the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intervention. Scores will be related to opioid-use and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pain scores at each data collection point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A66" w14:textId="77777777" w:rsidR="00ED4DE3" w:rsidRDefault="00ED4DE3" w:rsidP="00ED4DE3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Quantitative sample: n=70</w:t>
            </w:r>
          </w:p>
          <w:p w14:paraId="5CCCC04D" w14:textId="1B7213B2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 d</w:t>
            </w:r>
            <w:r w:rsidRPr="00ED4DE3">
              <w:rPr>
                <w:rFonts w:ascii="Calibri" w:eastAsia="Calibri" w:hAnsi="Calibri" w:cs="Calibri"/>
                <w:sz w:val="22"/>
                <w:szCs w:val="22"/>
              </w:rPr>
              <w:t>escriptive statistics on</w:t>
            </w:r>
            <w:r w:rsidRPr="00417C9A"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– sample of n=70 deemed sufficient.</w:t>
            </w:r>
          </w:p>
          <w:p w14:paraId="0FC8F44B" w14:textId="567FFBE5" w:rsidR="004431C0" w:rsidRPr="00ED4DE3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Where repeated measures used for statistical testing n=70 determined sufficient as per a priori sample justification</w:t>
            </w:r>
          </w:p>
          <w:p w14:paraId="11A05D2D" w14:textId="77777777" w:rsidR="0031426A" w:rsidRPr="37A6FD75" w:rsidRDefault="0031426A" w:rsidP="37A6FD75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1426A" w14:paraId="059014A3" w14:textId="50234384" w:rsidTr="00584B89">
        <w:trPr>
          <w:trHeight w:val="14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2B5A03" w14:textId="2C76D115" w:rsidR="0031426A" w:rsidRDefault="0031426A" w:rsidP="00584B89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 ascertain per protocol feasibility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 inform a future study or adoption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br/>
              <w:t>of the protocol in the existing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1426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healthcare system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297168" w14:textId="5752BF01" w:rsidR="0031426A" w:rsidRDefault="0031426A" w:rsidP="00584B89">
            <w:r w:rsidRPr="00584B89">
              <w:rPr>
                <w:rFonts w:ascii="Calibri" w:eastAsia="Calibri" w:hAnsi="Calibri" w:cs="Calibri"/>
                <w:sz w:val="22"/>
                <w:szCs w:val="22"/>
              </w:rPr>
              <w:t>Determination of the integrity,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robustness, and transferability of the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protocol for future trial or adoption by</w:t>
            </w:r>
            <w:r w:rsidRPr="00584B89">
              <w:rPr>
                <w:rFonts w:ascii="Calibri" w:eastAsia="Calibri" w:hAnsi="Calibri" w:cs="Calibri"/>
                <w:sz w:val="22"/>
                <w:szCs w:val="22"/>
              </w:rPr>
              <w:br/>
              <w:t>the NHS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DF8F8E" w14:textId="1C766BE5" w:rsidR="0031426A" w:rsidRDefault="0031426A" w:rsidP="004431C0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1426A">
              <w:rPr>
                <w:rFonts w:ascii="Calibri" w:eastAsia="Calibri" w:hAnsi="Calibri" w:cs="Calibri"/>
                <w:sz w:val="22"/>
                <w:szCs w:val="22"/>
              </w:rPr>
              <w:t>Measurements of: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Screening and recruiting participants as recorded in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the recruitment log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Perspectives on adaptability of the intervention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between primary care settings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Availability of pharmacists available to deliver the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intervention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Time taken from hospital discharge to receiving first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MUR.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Average time taken for each appointment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Average time taken to successfully deescalate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opioids in surgical patients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Number of participants that are successfully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deprescribed opioids within 3 months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Number of patients that require additional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appointments with the pharmacist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Number of participants that require additional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support post-90 days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•   Themes derived from participant and stakeholder</w:t>
            </w:r>
            <w:r w:rsidRPr="0031426A">
              <w:rPr>
                <w:rFonts w:ascii="Calibri" w:eastAsia="Calibri" w:hAnsi="Calibri" w:cs="Calibri"/>
                <w:sz w:val="22"/>
                <w:szCs w:val="22"/>
              </w:rPr>
              <w:br/>
              <w:t>interviews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C739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Quantitative sample: n=70</w:t>
            </w:r>
          </w:p>
          <w:p w14:paraId="22404E33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 d</w:t>
            </w:r>
            <w:r w:rsidRPr="00ED4DE3">
              <w:rPr>
                <w:rFonts w:ascii="Calibri" w:eastAsia="Calibri" w:hAnsi="Calibri" w:cs="Calibri"/>
                <w:sz w:val="22"/>
                <w:szCs w:val="22"/>
              </w:rPr>
              <w:t>escriptive statistics on</w:t>
            </w:r>
            <w:r w:rsidRPr="00417C9A">
              <w:rPr>
                <w:rFonts w:ascii="Calibri" w:eastAsia="Calibri" w:hAnsi="Calibri" w:cs="Calibri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sample of n=70 deemed sufficient.</w:t>
            </w:r>
          </w:p>
          <w:p w14:paraId="7EE09BD2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5319FB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E5DF47D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E6EB8CA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B1F6CD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A6425D4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EBABCA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94CFA7D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ADE054" w14:textId="64E7524B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Qualitative sample:</w:t>
            </w:r>
          </w:p>
          <w:p w14:paraId="3983C92A" w14:textId="77777777" w:rsidR="004431C0" w:rsidRDefault="004431C0" w:rsidP="004431C0">
            <w:pPr>
              <w:spacing w:after="120" w:line="24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Up to 25 participants.</w:t>
            </w:r>
          </w:p>
          <w:p w14:paraId="73E1F352" w14:textId="0FC91126" w:rsidR="0031426A" w:rsidRPr="37A6FD75" w:rsidRDefault="004431C0" w:rsidP="004431C0">
            <w:pPr>
              <w:spacing w:before="120" w:after="12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417C9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**Qualitative sample size not relevant to this article – results reported separately**</w:t>
            </w:r>
          </w:p>
        </w:tc>
      </w:tr>
    </w:tbl>
    <w:p w14:paraId="0DB53DAC" w14:textId="2832F561" w:rsidR="005D5D88" w:rsidRDefault="005D5D88" w:rsidP="37A6FD75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A4D25F0" w14:textId="667583D3" w:rsidR="005D5D88" w:rsidRDefault="005D5D88" w:rsidP="37A6FD75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5787A5" w14:textId="339C6FFC" w:rsidR="005D5D88" w:rsidRDefault="005D5D88"/>
    <w:sectPr w:rsidR="005D5D88">
      <w:headerReference w:type="default" r:id="rId11"/>
      <w:footerReference w:type="default" r:id="rId12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C351" w14:textId="77777777" w:rsidR="00BE23A2" w:rsidRDefault="00BE23A2" w:rsidP="00ED4DE3">
      <w:pPr>
        <w:spacing w:after="0" w:line="240" w:lineRule="auto"/>
      </w:pPr>
      <w:r>
        <w:separator/>
      </w:r>
    </w:p>
  </w:endnote>
  <w:endnote w:type="continuationSeparator" w:id="0">
    <w:p w14:paraId="226683FB" w14:textId="77777777" w:rsidR="00BE23A2" w:rsidRDefault="00BE23A2" w:rsidP="00ED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D3D8" w14:textId="77777777" w:rsidR="00ED4DE3" w:rsidRDefault="00ED4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C5797" w14:textId="77777777" w:rsidR="00BE23A2" w:rsidRDefault="00BE23A2" w:rsidP="00ED4DE3">
      <w:pPr>
        <w:spacing w:after="0" w:line="240" w:lineRule="auto"/>
      </w:pPr>
      <w:r>
        <w:separator/>
      </w:r>
    </w:p>
  </w:footnote>
  <w:footnote w:type="continuationSeparator" w:id="0">
    <w:p w14:paraId="3A909565" w14:textId="77777777" w:rsidR="00BE23A2" w:rsidRDefault="00BE23A2" w:rsidP="00ED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B641" w14:textId="77777777" w:rsidR="00ED4DE3" w:rsidRDefault="00ED4D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0D17F"/>
    <w:multiLevelType w:val="hybridMultilevel"/>
    <w:tmpl w:val="0434BF7C"/>
    <w:lvl w:ilvl="0" w:tplc="AC722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68E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9CC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E5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CB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4E6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C2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4E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A1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43E7A"/>
    <w:multiLevelType w:val="hybridMultilevel"/>
    <w:tmpl w:val="1EBA2102"/>
    <w:lvl w:ilvl="0" w:tplc="9B967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220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63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63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6E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504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E2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4A1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61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F0DFA"/>
    <w:multiLevelType w:val="hybridMultilevel"/>
    <w:tmpl w:val="9E2EB4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3D0E97"/>
    <w:multiLevelType w:val="hybridMultilevel"/>
    <w:tmpl w:val="5DEE0F52"/>
    <w:lvl w:ilvl="0" w:tplc="F9D29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EEC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501B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8C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80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18D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E8C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67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E1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61835"/>
    <w:multiLevelType w:val="hybridMultilevel"/>
    <w:tmpl w:val="8AECF614"/>
    <w:lvl w:ilvl="0" w:tplc="6C347EE4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BA07DB"/>
    <w:multiLevelType w:val="hybridMultilevel"/>
    <w:tmpl w:val="F134D6B6"/>
    <w:lvl w:ilvl="0" w:tplc="9D32F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01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E5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4A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6A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2B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AB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05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685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99849"/>
    <w:multiLevelType w:val="hybridMultilevel"/>
    <w:tmpl w:val="61A44DAC"/>
    <w:lvl w:ilvl="0" w:tplc="47BC6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AA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32D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26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84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88B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82A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128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83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66028"/>
    <w:multiLevelType w:val="hybridMultilevel"/>
    <w:tmpl w:val="C486E2C4"/>
    <w:lvl w:ilvl="0" w:tplc="09CAE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A6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4CA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CF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8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2B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09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EF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AA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945504">
    <w:abstractNumId w:val="3"/>
  </w:num>
  <w:num w:numId="2" w16cid:durableId="210309394">
    <w:abstractNumId w:val="0"/>
  </w:num>
  <w:num w:numId="3" w16cid:durableId="1622346184">
    <w:abstractNumId w:val="5"/>
  </w:num>
  <w:num w:numId="4" w16cid:durableId="1946304276">
    <w:abstractNumId w:val="1"/>
  </w:num>
  <w:num w:numId="5" w16cid:durableId="1587497746">
    <w:abstractNumId w:val="6"/>
  </w:num>
  <w:num w:numId="6" w16cid:durableId="76093888">
    <w:abstractNumId w:val="7"/>
  </w:num>
  <w:num w:numId="7" w16cid:durableId="1277444682">
    <w:abstractNumId w:val="2"/>
  </w:num>
  <w:num w:numId="8" w16cid:durableId="8372343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4B2425"/>
    <w:rsid w:val="00254821"/>
    <w:rsid w:val="0031426A"/>
    <w:rsid w:val="004431C0"/>
    <w:rsid w:val="00584B89"/>
    <w:rsid w:val="005B1109"/>
    <w:rsid w:val="005D5D88"/>
    <w:rsid w:val="00637B9D"/>
    <w:rsid w:val="0085C71E"/>
    <w:rsid w:val="00BE23A2"/>
    <w:rsid w:val="00E0720B"/>
    <w:rsid w:val="00ED4DE3"/>
    <w:rsid w:val="1CFEF89B"/>
    <w:rsid w:val="2A5E3825"/>
    <w:rsid w:val="37A6FD75"/>
    <w:rsid w:val="6D4B2425"/>
    <w:rsid w:val="79E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B2425"/>
  <w15:chartTrackingRefBased/>
  <w15:docId w15:val="{EAC50DBA-FD9B-42D6-BF31-2B37B7E9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7A6FD7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3142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142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2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4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DE3"/>
  </w:style>
  <w:style w:type="paragraph" w:styleId="Footer">
    <w:name w:val="footer"/>
    <w:basedOn w:val="Normal"/>
    <w:link w:val="FooterChar"/>
    <w:uiPriority w:val="99"/>
    <w:unhideWhenUsed/>
    <w:rsid w:val="00ED4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osf.io/yv2cj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26661-72d4-49a4-a5fc-b24b91983b93" xsi:nil="true"/>
    <lcf76f155ced4ddcb4097134ff3c332f xmlns="2852c396-04f8-43cb-b1aa-c8ee839a5bc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1C6FC611ACD4F98ED99FEC0F95587" ma:contentTypeVersion="14" ma:contentTypeDescription="Create a new document." ma:contentTypeScope="" ma:versionID="321d1f449e22739b91c584c71c0e86d0">
  <xsd:schema xmlns:xsd="http://www.w3.org/2001/XMLSchema" xmlns:xs="http://www.w3.org/2001/XMLSchema" xmlns:p="http://schemas.microsoft.com/office/2006/metadata/properties" xmlns:ns2="2852c396-04f8-43cb-b1aa-c8ee839a5bc3" xmlns:ns3="96a26661-72d4-49a4-a5fc-b24b91983b93" targetNamespace="http://schemas.microsoft.com/office/2006/metadata/properties" ma:root="true" ma:fieldsID="7fbfb6a3bc7c74e507d9f98450687396" ns2:_="" ns3:_="">
    <xsd:import namespace="2852c396-04f8-43cb-b1aa-c8ee839a5bc3"/>
    <xsd:import namespace="96a26661-72d4-49a4-a5fc-b24b91983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c396-04f8-43cb-b1aa-c8ee839a5b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26661-72d4-49a4-a5fc-b24b91983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ea22716-5d4e-44de-8860-ea03d76c0108}" ma:internalName="TaxCatchAll" ma:showField="CatchAllData" ma:web="96a26661-72d4-49a4-a5fc-b24b91983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04E19-26A9-4896-B592-4BD4309243E4}">
  <ds:schemaRefs>
    <ds:schemaRef ds:uri="http://schemas.microsoft.com/office/2006/metadata/properties"/>
    <ds:schemaRef ds:uri="http://schemas.microsoft.com/office/infopath/2007/PartnerControls"/>
    <ds:schemaRef ds:uri="96a26661-72d4-49a4-a5fc-b24b91983b93"/>
    <ds:schemaRef ds:uri="2852c396-04f8-43cb-b1aa-c8ee839a5bc3"/>
  </ds:schemaRefs>
</ds:datastoreItem>
</file>

<file path=customXml/itemProps2.xml><?xml version="1.0" encoding="utf-8"?>
<ds:datastoreItem xmlns:ds="http://schemas.openxmlformats.org/officeDocument/2006/customXml" ds:itemID="{24A3A7E1-03CD-4C6C-84FA-6759B5138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2c396-04f8-43cb-b1aa-c8ee839a5bc3"/>
    <ds:schemaRef ds:uri="96a26661-72d4-49a4-a5fc-b24b91983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593CF-7644-41A8-84FC-5AFE6773F5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Rees-Roberts</dc:creator>
  <cp:keywords/>
  <dc:description/>
  <cp:lastModifiedBy>Melanie Rees-Roberts</cp:lastModifiedBy>
  <cp:revision>3</cp:revision>
  <dcterms:created xsi:type="dcterms:W3CDTF">2026-06-04T09:52:00Z</dcterms:created>
  <dcterms:modified xsi:type="dcterms:W3CDTF">2026-06-04T09:53:00Z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0x01010045D1C6FC611ACD4F98ED99FEC0F95587</vt:lpwstr>
  </property>
</Properties>
</file>