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9B1C" w14:textId="7771BB99" w:rsidR="00B846AF" w:rsidRDefault="00B846AF" w:rsidP="002F106D">
      <w:pPr>
        <w:pStyle w:val="Heading1"/>
        <w:spacing w:before="120" w:after="120" w:line="360" w:lineRule="auto"/>
        <w:jc w:val="both"/>
        <w:rPr>
          <w:rFonts w:ascii="Times New Roman" w:hAnsi="Times New Roman" w:cs="Times New Roman"/>
          <w:b/>
          <w:bCs/>
          <w:color w:val="auto"/>
          <w:sz w:val="24"/>
          <w:szCs w:val="24"/>
        </w:rPr>
      </w:pPr>
      <w:r w:rsidRPr="002F106D">
        <w:rPr>
          <w:rFonts w:ascii="Times New Roman" w:hAnsi="Times New Roman" w:cs="Times New Roman"/>
          <w:b/>
          <w:bCs/>
          <w:color w:val="auto"/>
          <w:sz w:val="24"/>
          <w:szCs w:val="24"/>
        </w:rPr>
        <w:t>Supplementary files</w:t>
      </w:r>
    </w:p>
    <w:p w14:paraId="7BCA5E33" w14:textId="052339E4" w:rsidR="005F35E0" w:rsidRDefault="00207716" w:rsidP="005F35E0">
      <w:pPr>
        <w:jc w:val="center"/>
      </w:pPr>
      <w:r>
        <w:rPr>
          <w:noProof/>
        </w:rPr>
        <w:drawing>
          <wp:inline distT="0" distB="0" distL="0" distR="0" wp14:anchorId="329BC9D9" wp14:editId="031785C1">
            <wp:extent cx="6419850" cy="3952875"/>
            <wp:effectExtent l="0" t="0" r="0" b="9525"/>
            <wp:docPr id="1382953087" name="Picture 2"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53087" name="Picture 2" descr="A graph of different colored squar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0" cy="3952875"/>
                    </a:xfrm>
                    <a:prstGeom prst="rect">
                      <a:avLst/>
                    </a:prstGeom>
                    <a:noFill/>
                    <a:ln>
                      <a:noFill/>
                    </a:ln>
                  </pic:spPr>
                </pic:pic>
              </a:graphicData>
            </a:graphic>
          </wp:inline>
        </w:drawing>
      </w:r>
    </w:p>
    <w:p w14:paraId="27CEB11F" w14:textId="5CD9E65E" w:rsidR="006B5C6B" w:rsidRDefault="005F35E0" w:rsidP="006B5C6B">
      <w:pPr>
        <w:pStyle w:val="Heading2"/>
        <w:spacing w:line="360" w:lineRule="auto"/>
        <w:jc w:val="both"/>
        <w:rPr>
          <w:rFonts w:ascii="Times New Roman" w:hAnsi="Times New Roman" w:cs="Times New Roman"/>
          <w:color w:val="auto"/>
          <w:sz w:val="24"/>
          <w:szCs w:val="24"/>
        </w:rPr>
      </w:pPr>
      <w:r w:rsidRPr="00D0575E">
        <w:rPr>
          <w:rFonts w:ascii="Times New Roman" w:hAnsi="Times New Roman" w:cs="Times New Roman"/>
          <w:color w:val="auto"/>
          <w:sz w:val="24"/>
          <w:szCs w:val="24"/>
        </w:rPr>
        <w:t>Supplementary Figure S</w:t>
      </w:r>
      <w:r w:rsidRPr="001F371B">
        <w:rPr>
          <w:rFonts w:ascii="Times New Roman" w:hAnsi="Times New Roman" w:cs="Times New Roman"/>
          <w:color w:val="auto"/>
          <w:sz w:val="24"/>
          <w:szCs w:val="24"/>
        </w:rPr>
        <w:t>1</w:t>
      </w:r>
      <w:r w:rsidRPr="00D0575E">
        <w:rPr>
          <w:rFonts w:ascii="Times New Roman" w:hAnsi="Times New Roman" w:cs="Times New Roman"/>
          <w:color w:val="auto"/>
          <w:sz w:val="24"/>
          <w:szCs w:val="24"/>
        </w:rPr>
        <w:t xml:space="preserve"> | </w:t>
      </w:r>
      <w:r w:rsidR="00980179">
        <w:rPr>
          <w:rFonts w:ascii="Times New Roman" w:hAnsi="Times New Roman" w:cs="Times New Roman"/>
          <w:color w:val="auto"/>
          <w:sz w:val="24"/>
          <w:szCs w:val="24"/>
        </w:rPr>
        <w:t>Impacts</w:t>
      </w:r>
      <w:r w:rsidR="006B5C6B" w:rsidRPr="006B5C6B">
        <w:rPr>
          <w:rFonts w:ascii="Times New Roman" w:hAnsi="Times New Roman" w:cs="Times New Roman"/>
          <w:color w:val="auto"/>
          <w:sz w:val="24"/>
          <w:szCs w:val="24"/>
        </w:rPr>
        <w:t xml:space="preserve"> of Carbon Intensity</w:t>
      </w:r>
      <w:r w:rsidR="006E1E61">
        <w:rPr>
          <w:rFonts w:ascii="Times New Roman" w:hAnsi="Times New Roman" w:cs="Times New Roman"/>
          <w:color w:val="auto"/>
          <w:sz w:val="24"/>
          <w:szCs w:val="24"/>
        </w:rPr>
        <w:t xml:space="preserve"> (gCO</w:t>
      </w:r>
      <w:r w:rsidR="006E1E61" w:rsidRPr="006E1E61">
        <w:rPr>
          <w:rFonts w:ascii="Times New Roman" w:hAnsi="Times New Roman" w:cs="Times New Roman"/>
          <w:color w:val="auto"/>
          <w:sz w:val="24"/>
          <w:szCs w:val="24"/>
          <w:vertAlign w:val="subscript"/>
        </w:rPr>
        <w:t>2</w:t>
      </w:r>
      <w:r w:rsidR="006E1E61">
        <w:rPr>
          <w:rFonts w:ascii="Times New Roman" w:hAnsi="Times New Roman" w:cs="Times New Roman"/>
          <w:color w:val="auto"/>
          <w:sz w:val="24"/>
          <w:szCs w:val="24"/>
        </w:rPr>
        <w:t xml:space="preserve"> kWh</w:t>
      </w:r>
      <w:r w:rsidR="006E1E61" w:rsidRPr="006E1E61">
        <w:rPr>
          <w:rFonts w:ascii="Times New Roman" w:hAnsi="Times New Roman" w:cs="Times New Roman"/>
          <w:color w:val="auto"/>
          <w:sz w:val="24"/>
          <w:szCs w:val="24"/>
          <w:vertAlign w:val="superscript"/>
        </w:rPr>
        <w:t>-1</w:t>
      </w:r>
      <w:r w:rsidR="006E1E61">
        <w:rPr>
          <w:rFonts w:ascii="Times New Roman" w:hAnsi="Times New Roman" w:cs="Times New Roman"/>
          <w:color w:val="auto"/>
          <w:sz w:val="24"/>
          <w:szCs w:val="24"/>
        </w:rPr>
        <w:t>)</w:t>
      </w:r>
      <w:r w:rsidR="006B5C6B" w:rsidRPr="006B5C6B">
        <w:rPr>
          <w:rFonts w:ascii="Times New Roman" w:hAnsi="Times New Roman" w:cs="Times New Roman"/>
          <w:color w:val="auto"/>
          <w:sz w:val="24"/>
          <w:szCs w:val="24"/>
        </w:rPr>
        <w:t xml:space="preserve"> and Current Density</w:t>
      </w:r>
      <w:r w:rsidR="006E1E61">
        <w:rPr>
          <w:rFonts w:ascii="Times New Roman" w:hAnsi="Times New Roman" w:cs="Times New Roman"/>
          <w:color w:val="auto"/>
          <w:sz w:val="24"/>
          <w:szCs w:val="24"/>
        </w:rPr>
        <w:t xml:space="preserve"> (Am</w:t>
      </w:r>
      <w:r w:rsidR="006E1E61" w:rsidRPr="006E1E61">
        <w:rPr>
          <w:rFonts w:ascii="Times New Roman" w:hAnsi="Times New Roman" w:cs="Times New Roman"/>
          <w:color w:val="auto"/>
          <w:sz w:val="24"/>
          <w:szCs w:val="24"/>
          <w:vertAlign w:val="superscript"/>
        </w:rPr>
        <w:t>-2</w:t>
      </w:r>
      <w:r w:rsidR="006E1E61">
        <w:rPr>
          <w:rFonts w:ascii="Times New Roman" w:hAnsi="Times New Roman" w:cs="Times New Roman"/>
          <w:color w:val="auto"/>
          <w:sz w:val="24"/>
          <w:szCs w:val="24"/>
        </w:rPr>
        <w:t>)</w:t>
      </w:r>
      <w:r w:rsidR="006B5C6B" w:rsidRPr="006B5C6B">
        <w:rPr>
          <w:rFonts w:ascii="Times New Roman" w:hAnsi="Times New Roman" w:cs="Times New Roman"/>
          <w:color w:val="auto"/>
          <w:sz w:val="24"/>
          <w:szCs w:val="24"/>
        </w:rPr>
        <w:t xml:space="preserve"> on LCOC for Current vs. Next-Generation BPMED Configurations</w:t>
      </w:r>
    </w:p>
    <w:p w14:paraId="6767D7E5" w14:textId="4F69032F" w:rsidR="00B4234B" w:rsidRPr="00B4234B" w:rsidRDefault="002339DB" w:rsidP="002339DB">
      <w:pPr>
        <w:spacing w:line="360" w:lineRule="auto"/>
        <w:jc w:val="both"/>
        <w:rPr>
          <w:rFonts w:ascii="Times New Roman" w:hAnsi="Times New Roman" w:cs="Times New Roman"/>
        </w:rPr>
      </w:pPr>
      <w:r>
        <w:rPr>
          <w:rFonts w:ascii="Times New Roman" w:hAnsi="Times New Roman" w:cs="Times New Roman"/>
        </w:rPr>
        <w:t xml:space="preserve">In Fig S1, </w:t>
      </w:r>
      <w:r w:rsidR="00223F07">
        <w:rPr>
          <w:rFonts w:ascii="Times New Roman" w:hAnsi="Times New Roman" w:cs="Times New Roman"/>
        </w:rPr>
        <w:t>electrochemical</w:t>
      </w:r>
      <w:r w:rsidR="00B4234B" w:rsidRPr="00B4234B">
        <w:rPr>
          <w:rFonts w:ascii="Times New Roman" w:hAnsi="Times New Roman" w:cs="Times New Roman"/>
        </w:rPr>
        <w:t xml:space="preserve"> performance and electricity carbon intensity jointly exert a dominant influence on the near-term costs of tailings-based carbon mineralization. Under current BPMED configurations, reliance on carbon-intensive grids leads to high removal costs and limited net-negativity, whereas access to zero-carbon electricity reduces the levelized cost of carbon removal (LCOC) by more than 70%. These results highlight a critical temporal coupling: technological deployment must coincide with electricity decarbonization to ensure environmental integrity and cost competitiveness.</w:t>
      </w:r>
    </w:p>
    <w:p w14:paraId="15D24DD3" w14:textId="29B85355" w:rsidR="00B4234B" w:rsidRPr="00B4234B" w:rsidRDefault="00B4234B" w:rsidP="002339DB">
      <w:pPr>
        <w:spacing w:line="360" w:lineRule="auto"/>
        <w:jc w:val="both"/>
        <w:rPr>
          <w:rFonts w:ascii="Times New Roman" w:hAnsi="Times New Roman" w:cs="Times New Roman"/>
        </w:rPr>
      </w:pPr>
      <w:r w:rsidRPr="00B4234B">
        <w:rPr>
          <w:rFonts w:ascii="Times New Roman" w:hAnsi="Times New Roman" w:cs="Times New Roman"/>
        </w:rPr>
        <w:t xml:space="preserve">Next-generation BPMED membranes unlock further cost reductions by improving ion transport and reducing stack size, but only within an optimal performance window. Increasing current density enhances throughput but also elevates electrical losses, leading to significant cost escalation on fossil-dominated grids. When powered by clean electricity, however, advanced BPMED enables LCOC values below US$900 </w:t>
      </w:r>
      <w:proofErr w:type="spellStart"/>
      <w:r w:rsidRPr="00B4234B">
        <w:rPr>
          <w:rFonts w:ascii="Times New Roman" w:hAnsi="Times New Roman" w:cs="Times New Roman"/>
        </w:rPr>
        <w:t>tCO</w:t>
      </w:r>
      <w:proofErr w:type="spellEnd"/>
      <w:r w:rsidRPr="00B4234B">
        <w:rPr>
          <w:rFonts w:ascii="Times New Roman" w:hAnsi="Times New Roman" w:cs="Times New Roman"/>
        </w:rPr>
        <w:t>₂⁻¹</w:t>
      </w:r>
      <w:r w:rsidR="002339DB">
        <w:rPr>
          <w:rFonts w:ascii="Times New Roman" w:hAnsi="Times New Roman" w:cs="Times New Roman"/>
        </w:rPr>
        <w:t>,</w:t>
      </w:r>
      <w:r w:rsidRPr="00B4234B">
        <w:rPr>
          <w:rFonts w:ascii="Times New Roman" w:hAnsi="Times New Roman" w:cs="Times New Roman"/>
        </w:rPr>
        <w:t xml:space="preserve"> a tenfold improvement relative to first-of-a-kind conditions. Coordinated investment in electrochemical innovation and low-carbon power systems is therefore essential to transform BPMED from a cost bottleneck into a key accelerator of scalable, permanent carbon removal.</w:t>
      </w:r>
    </w:p>
    <w:p w14:paraId="61478FD5" w14:textId="77777777" w:rsidR="00B4234B" w:rsidRPr="00B4234B" w:rsidRDefault="00B4234B" w:rsidP="00B4234B"/>
    <w:p w14:paraId="5FD25A06" w14:textId="77777777" w:rsidR="001F3059" w:rsidRDefault="003E66E6" w:rsidP="00D0575E">
      <w:pPr>
        <w:pStyle w:val="Heading2"/>
        <w:spacing w:line="360" w:lineRule="auto"/>
        <w:jc w:val="both"/>
        <w:rPr>
          <w:rFonts w:ascii="Times New Roman" w:hAnsi="Times New Roman" w:cs="Times New Roman"/>
          <w:color w:val="auto"/>
          <w:sz w:val="24"/>
          <w:szCs w:val="24"/>
        </w:rPr>
      </w:pPr>
      <w:r w:rsidRPr="00B846AF">
        <w:rPr>
          <w:rFonts w:ascii="Times New Roman" w:hAnsi="Times New Roman" w:cs="Times New Roman"/>
          <w:noProof/>
        </w:rPr>
        <w:lastRenderedPageBreak/>
        <w:drawing>
          <wp:inline distT="0" distB="0" distL="0" distR="0" wp14:anchorId="47B09C0C" wp14:editId="7DB582DD">
            <wp:extent cx="6480000" cy="2237055"/>
            <wp:effectExtent l="0" t="0" r="0" b="0"/>
            <wp:docPr id="1667738754" name="Picture 5"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38754" name="Picture 5" descr="A graph of different colored lin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0000" cy="2237055"/>
                    </a:xfrm>
                    <a:prstGeom prst="rect">
                      <a:avLst/>
                    </a:prstGeom>
                  </pic:spPr>
                </pic:pic>
              </a:graphicData>
            </a:graphic>
          </wp:inline>
        </w:drawing>
      </w:r>
      <w:r w:rsidRPr="00D0575E">
        <w:rPr>
          <w:rFonts w:ascii="Times New Roman" w:hAnsi="Times New Roman" w:cs="Times New Roman"/>
          <w:color w:val="auto"/>
          <w:sz w:val="24"/>
          <w:szCs w:val="24"/>
        </w:rPr>
        <w:t>Supplementary Figure S</w:t>
      </w:r>
      <w:r w:rsidR="007F5658">
        <w:rPr>
          <w:rFonts w:ascii="Times New Roman" w:hAnsi="Times New Roman" w:cs="Times New Roman"/>
          <w:color w:val="auto"/>
          <w:sz w:val="24"/>
          <w:szCs w:val="24"/>
        </w:rPr>
        <w:t>2</w:t>
      </w:r>
      <w:r w:rsidRPr="00D0575E">
        <w:rPr>
          <w:rFonts w:ascii="Times New Roman" w:hAnsi="Times New Roman" w:cs="Times New Roman"/>
          <w:color w:val="auto"/>
          <w:sz w:val="24"/>
          <w:szCs w:val="24"/>
        </w:rPr>
        <w:t xml:space="preserve"> | Optimization of process design parameters: acid molarity in heap leaching, current density in BPMED, and liquid–gas ratio in the air contactor. Red markers indicate nominal base-case values.</w:t>
      </w:r>
    </w:p>
    <w:p w14:paraId="1135F4C3" w14:textId="3FB05B5D" w:rsidR="0018310A" w:rsidRPr="0018310A" w:rsidRDefault="0018310A" w:rsidP="0018310A">
      <w:pPr>
        <w:spacing w:line="360" w:lineRule="auto"/>
        <w:jc w:val="both"/>
        <w:rPr>
          <w:rFonts w:ascii="Times New Roman" w:hAnsi="Times New Roman" w:cs="Times New Roman"/>
        </w:rPr>
      </w:pPr>
      <w:r w:rsidRPr="0018310A">
        <w:rPr>
          <w:rFonts w:ascii="Times New Roman" w:hAnsi="Times New Roman" w:cs="Times New Roman"/>
        </w:rPr>
        <w:t>Supplementary Figure S2 illustrates the joint techno-economic response of the system to variation in three key operational parameters: acid molarity (panel a), BPMED current density (panel b), and liquid-to-gas (L/G) ratio in the air contactor (panel c). In all cases, both the levelized cost of carbon removal (LCOC) and the levelized cost of nickel (LCON) display U-shaped trends, reflecting the competing physical and economic drivers embedded in the process design. Lower-than-optimal values constrain either dissolution kinetics, electrochemical throughput, or CO₂ uptake, resulting in insufficient Mg extraction and reduced nickel recovery efficiency. Conversely, aggressive operational intensification amplifies solvent regeneration and electrical losses, raising cost and emissions as the system departs from net-negative operation.</w:t>
      </w:r>
    </w:p>
    <w:p w14:paraId="5DFB9509" w14:textId="77777777" w:rsidR="0018310A" w:rsidRPr="0018310A" w:rsidRDefault="0018310A" w:rsidP="0018310A">
      <w:pPr>
        <w:spacing w:line="360" w:lineRule="auto"/>
        <w:jc w:val="both"/>
        <w:rPr>
          <w:rFonts w:ascii="Times New Roman" w:hAnsi="Times New Roman" w:cs="Times New Roman"/>
        </w:rPr>
      </w:pPr>
      <w:r w:rsidRPr="0018310A">
        <w:rPr>
          <w:rFonts w:ascii="Times New Roman" w:hAnsi="Times New Roman" w:cs="Times New Roman"/>
        </w:rPr>
        <w:t>The techno-economic optima occur consistently in a narrow region around the selected base-case conditions (red markers): ~0.8 mol L⁻¹ acid molarity, ~600 A m⁻² current density, and 2–3% L/G ratio. These conditions balance extraction performance with manageable BPMED regeneration energy demand and CO₂ capture efficiency. Small deviations from these ranges lead to simultaneous increases in both LCOC and LCON, demonstrating the importance of coupled control rather than single-variable optimization. These results collectively reinforce the need for precise operating control, monitoring of solvent and energy balances, and adaptive process tuning to preserve cost-effective net-negative performance across deployment scales.</w:t>
      </w:r>
    </w:p>
    <w:p w14:paraId="660E250F" w14:textId="17915CF4" w:rsidR="003E66E6" w:rsidRPr="00B846AF" w:rsidRDefault="003E66E6" w:rsidP="001F3059">
      <w:pPr>
        <w:spacing w:line="360" w:lineRule="auto"/>
        <w:jc w:val="both"/>
        <w:rPr>
          <w:rFonts w:ascii="Times New Roman" w:hAnsi="Times New Roman" w:cs="Times New Roman"/>
        </w:rPr>
      </w:pPr>
      <w:r w:rsidRPr="00B846AF">
        <w:rPr>
          <w:rFonts w:ascii="Times New Roman" w:hAnsi="Times New Roman" w:cs="Times New Roman"/>
        </w:rPr>
        <w:br w:type="page"/>
      </w:r>
    </w:p>
    <w:p w14:paraId="143694F1" w14:textId="6F22DD81" w:rsidR="0016573E" w:rsidRDefault="0016573E" w:rsidP="0016573E">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27988AD0" wp14:editId="2D19F7C4">
            <wp:extent cx="6479540" cy="4073525"/>
            <wp:effectExtent l="0" t="0" r="0" b="3175"/>
            <wp:docPr id="1608458104" name="Picture 6"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58104" name="Picture 6" descr="A graph of a graph&#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9540" cy="4073525"/>
                    </a:xfrm>
                    <a:prstGeom prst="rect">
                      <a:avLst/>
                    </a:prstGeom>
                  </pic:spPr>
                </pic:pic>
              </a:graphicData>
            </a:graphic>
          </wp:inline>
        </w:drawing>
      </w:r>
    </w:p>
    <w:p w14:paraId="7BF6506F" w14:textId="78F61954" w:rsidR="00380F38" w:rsidRDefault="00380F38" w:rsidP="00380F38">
      <w:pPr>
        <w:pStyle w:val="Heading2"/>
        <w:spacing w:line="360" w:lineRule="auto"/>
        <w:jc w:val="both"/>
        <w:rPr>
          <w:rFonts w:ascii="Times New Roman" w:eastAsiaTheme="minorEastAsia" w:hAnsi="Times New Roman" w:cs="Times New Roman"/>
          <w:color w:val="auto"/>
          <w:sz w:val="24"/>
          <w:szCs w:val="24"/>
        </w:rPr>
      </w:pPr>
      <w:r w:rsidRPr="002D727A">
        <w:rPr>
          <w:rFonts w:ascii="Times New Roman" w:hAnsi="Times New Roman" w:cs="Times New Roman"/>
          <w:color w:val="auto"/>
          <w:sz w:val="24"/>
          <w:szCs w:val="24"/>
        </w:rPr>
        <w:t>Supplementary Figure S</w:t>
      </w:r>
      <w:r>
        <w:rPr>
          <w:rFonts w:ascii="Times New Roman" w:hAnsi="Times New Roman" w:cs="Times New Roman"/>
          <w:color w:val="auto"/>
          <w:sz w:val="24"/>
          <w:szCs w:val="24"/>
        </w:rPr>
        <w:t xml:space="preserve">3 </w:t>
      </w:r>
      <w:r w:rsidRPr="002D727A">
        <w:rPr>
          <w:rFonts w:ascii="Times New Roman" w:hAnsi="Times New Roman" w:cs="Times New Roman"/>
          <w:color w:val="auto"/>
          <w:sz w:val="24"/>
          <w:szCs w:val="24"/>
        </w:rPr>
        <w:t>|</w:t>
      </w:r>
      <w:r>
        <w:rPr>
          <w:rFonts w:ascii="Times New Roman" w:hAnsi="Times New Roman" w:cs="Times New Roman"/>
          <w:color w:val="auto"/>
          <w:sz w:val="24"/>
          <w:szCs w:val="24"/>
        </w:rPr>
        <w:t xml:space="preserve"> A comparison between Mg Leached, as a percentage of the initial rock, for both the model results (represented by circles) and experimental results (represented by crosses). The normalised root </w:t>
      </w:r>
      <w:proofErr w:type="gramStart"/>
      <w:r>
        <w:rPr>
          <w:rFonts w:ascii="Times New Roman" w:hAnsi="Times New Roman" w:cs="Times New Roman"/>
          <w:color w:val="auto"/>
          <w:sz w:val="24"/>
          <w:szCs w:val="24"/>
        </w:rPr>
        <w:t>mean</w:t>
      </w:r>
      <w:proofErr w:type="gramEnd"/>
      <w:r>
        <w:rPr>
          <w:rFonts w:ascii="Times New Roman" w:hAnsi="Times New Roman" w:cs="Times New Roman"/>
          <w:color w:val="auto"/>
          <w:sz w:val="24"/>
          <w:szCs w:val="24"/>
        </w:rPr>
        <w:t xml:space="preserve"> square error (when normalised to the mean) when comparing these two studies was 6.04 wt.%.  </w:t>
      </w:r>
    </w:p>
    <w:p w14:paraId="3378BDB1" w14:textId="77777777" w:rsidR="00380F38" w:rsidRPr="005A3CFD" w:rsidRDefault="00380F38" w:rsidP="00380F38">
      <w:pPr>
        <w:spacing w:line="360" w:lineRule="auto"/>
        <w:rPr>
          <w:rFonts w:ascii="Times New Roman" w:hAnsi="Times New Roman" w:cs="Times New Roman"/>
        </w:rPr>
      </w:pPr>
      <w:r w:rsidRPr="00C62C81">
        <w:rPr>
          <w:rFonts w:ascii="Times New Roman" w:hAnsi="Times New Roman" w:cs="Times New Roman"/>
        </w:rPr>
        <w:t>The initial rock composition of the experimental and modelled solutions differed by 1%, as the initial rock composition for the modelled solution was calculated from mineralogical model input (e.g. mineral proportions and mineral chemistry) while the total Mg from chemical analysis was used as initial rock composition in the original. More details describing the method and</w:t>
      </w:r>
      <w:r>
        <w:rPr>
          <w:rFonts w:ascii="Times New Roman" w:hAnsi="Times New Roman" w:cs="Times New Roman"/>
        </w:rPr>
        <w:t xml:space="preserve"> a</w:t>
      </w:r>
      <w:r w:rsidRPr="00C62C81">
        <w:rPr>
          <w:rFonts w:ascii="Times New Roman" w:hAnsi="Times New Roman" w:cs="Times New Roman"/>
        </w:rPr>
        <w:t xml:space="preserve"> comparison </w:t>
      </w:r>
      <w:r>
        <w:rPr>
          <w:rFonts w:ascii="Times New Roman" w:hAnsi="Times New Roman" w:cs="Times New Roman"/>
        </w:rPr>
        <w:t>c</w:t>
      </w:r>
      <w:r w:rsidRPr="00C62C81">
        <w:rPr>
          <w:rFonts w:ascii="Times New Roman" w:hAnsi="Times New Roman" w:cs="Times New Roman"/>
        </w:rPr>
        <w:t>an be found in Supporting Information S1.</w:t>
      </w:r>
    </w:p>
    <w:p w14:paraId="3A120372" w14:textId="77777777" w:rsidR="00380F38" w:rsidRDefault="00380F38" w:rsidP="00380F38">
      <w:pPr>
        <w:rPr>
          <w:rFonts w:ascii="Times New Roman" w:hAnsi="Times New Roman" w:cs="Times New Roman"/>
        </w:rPr>
      </w:pPr>
    </w:p>
    <w:p w14:paraId="601B0594" w14:textId="77777777" w:rsidR="00380F38" w:rsidRDefault="00380F38" w:rsidP="00380F38">
      <w:pPr>
        <w:rPr>
          <w:rFonts w:ascii="Times New Roman" w:eastAsiaTheme="majorEastAsia" w:hAnsi="Times New Roman" w:cs="Times New Roman"/>
        </w:rPr>
      </w:pPr>
      <w:r>
        <w:rPr>
          <w:rFonts w:ascii="Times New Roman" w:hAnsi="Times New Roman" w:cs="Times New Roman"/>
        </w:rPr>
        <w:br w:type="page"/>
      </w:r>
    </w:p>
    <w:p w14:paraId="54D507EA" w14:textId="74B30352" w:rsidR="0016573E" w:rsidRDefault="0016573E" w:rsidP="0016573E">
      <w:pPr>
        <w:spacing w:line="360" w:lineRule="auto"/>
        <w:jc w:val="both"/>
        <w:rPr>
          <w:rFonts w:ascii="Times New Roman" w:hAnsi="Times New Roman" w:cs="Times New Roman"/>
        </w:rPr>
      </w:pPr>
      <w:r w:rsidRPr="00206555">
        <w:rPr>
          <w:noProof/>
        </w:rPr>
        <w:lastRenderedPageBreak/>
        <w:drawing>
          <wp:inline distT="0" distB="0" distL="0" distR="0" wp14:anchorId="129355D5" wp14:editId="6AE0D8A0">
            <wp:extent cx="6479540" cy="3887470"/>
            <wp:effectExtent l="0" t="0" r="0" b="0"/>
            <wp:docPr id="457905028" name="Picture 3"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05028" name="Picture 3" descr="A graph with a li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9540" cy="3887470"/>
                    </a:xfrm>
                    <a:prstGeom prst="rect">
                      <a:avLst/>
                    </a:prstGeom>
                    <a:noFill/>
                    <a:ln>
                      <a:noFill/>
                    </a:ln>
                  </pic:spPr>
                </pic:pic>
              </a:graphicData>
            </a:graphic>
          </wp:inline>
        </w:drawing>
      </w:r>
    </w:p>
    <w:p w14:paraId="7723AE36" w14:textId="32796F85" w:rsidR="00547BA0" w:rsidRPr="00447239" w:rsidRDefault="006A6337" w:rsidP="00447239">
      <w:pPr>
        <w:pStyle w:val="Heading2"/>
        <w:spacing w:line="360" w:lineRule="auto"/>
        <w:jc w:val="both"/>
        <w:rPr>
          <w:rFonts w:ascii="Times New Roman" w:hAnsi="Times New Roman" w:cs="Times New Roman"/>
          <w:color w:val="auto"/>
          <w:sz w:val="24"/>
          <w:szCs w:val="24"/>
        </w:rPr>
      </w:pPr>
      <w:r w:rsidRPr="00C65492">
        <w:rPr>
          <w:rFonts w:ascii="Times New Roman" w:hAnsi="Times New Roman" w:cs="Times New Roman"/>
          <w:color w:val="auto"/>
          <w:sz w:val="24"/>
          <w:szCs w:val="24"/>
        </w:rPr>
        <w:t>Supplementary Figure S</w:t>
      </w:r>
      <w:r w:rsidR="00E16145">
        <w:rPr>
          <w:rFonts w:ascii="Times New Roman" w:hAnsi="Times New Roman" w:cs="Times New Roman"/>
          <w:color w:val="auto"/>
          <w:sz w:val="24"/>
          <w:szCs w:val="24"/>
        </w:rPr>
        <w:t>4</w:t>
      </w:r>
      <w:r w:rsidRPr="00B846AF">
        <w:rPr>
          <w:rFonts w:ascii="Times New Roman" w:hAnsi="Times New Roman" w:cs="Times New Roman"/>
          <w:color w:val="auto"/>
          <w:sz w:val="24"/>
          <w:szCs w:val="24"/>
        </w:rPr>
        <w:t xml:space="preserve"> | </w:t>
      </w:r>
      <w:r w:rsidR="007B3E8D">
        <w:rPr>
          <w:rFonts w:ascii="Times New Roman" w:hAnsi="Times New Roman" w:cs="Times New Roman"/>
          <w:color w:val="auto"/>
          <w:sz w:val="24"/>
          <w:szCs w:val="24"/>
        </w:rPr>
        <w:t>G</w:t>
      </w:r>
      <w:r w:rsidR="002907C9">
        <w:rPr>
          <w:rFonts w:ascii="Times New Roman" w:hAnsi="Times New Roman" w:cs="Times New Roman"/>
          <w:color w:val="auto"/>
          <w:sz w:val="24"/>
          <w:szCs w:val="24"/>
        </w:rPr>
        <w:t xml:space="preserve">raph comparing model simulations using 1 M </w:t>
      </w:r>
      <w:r w:rsidR="002907C9" w:rsidRPr="00A5485A">
        <w:rPr>
          <w:rFonts w:ascii="Times New Roman" w:hAnsi="Times New Roman" w:cs="Times New Roman"/>
          <w:color w:val="auto"/>
          <w:sz w:val="24"/>
          <w:szCs w:val="24"/>
        </w:rPr>
        <w:t xml:space="preserve">H₂SO₄ + 1 M </w:t>
      </w:r>
      <w:proofErr w:type="spellStart"/>
      <w:r w:rsidR="002907C9" w:rsidRPr="00A5485A">
        <w:rPr>
          <w:rFonts w:ascii="Times New Roman" w:hAnsi="Times New Roman" w:cs="Times New Roman"/>
          <w:color w:val="auto"/>
          <w:sz w:val="24"/>
          <w:szCs w:val="24"/>
        </w:rPr>
        <w:t>Na₂SO</w:t>
      </w:r>
      <w:proofErr w:type="spellEnd"/>
      <w:r w:rsidR="002907C9" w:rsidRPr="00A5485A">
        <w:rPr>
          <w:rFonts w:ascii="Times New Roman" w:hAnsi="Times New Roman" w:cs="Times New Roman"/>
          <w:color w:val="auto"/>
          <w:sz w:val="24"/>
          <w:szCs w:val="24"/>
        </w:rPr>
        <w:t>₄</w:t>
      </w:r>
      <w:r w:rsidR="002907C9">
        <w:rPr>
          <w:rFonts w:ascii="Times New Roman" w:hAnsi="Times New Roman" w:cs="Times New Roman"/>
          <w:color w:val="auto"/>
          <w:sz w:val="24"/>
          <w:szCs w:val="24"/>
        </w:rPr>
        <w:t xml:space="preserve"> (used in experiments a</w:t>
      </w:r>
      <w:r w:rsidR="00587E29">
        <w:rPr>
          <w:rFonts w:ascii="Times New Roman" w:hAnsi="Times New Roman" w:cs="Times New Roman"/>
          <w:color w:val="auto"/>
          <w:sz w:val="24"/>
          <w:szCs w:val="24"/>
        </w:rPr>
        <w:t>n</w:t>
      </w:r>
      <w:r w:rsidR="002907C9">
        <w:rPr>
          <w:rFonts w:ascii="Times New Roman" w:hAnsi="Times New Roman" w:cs="Times New Roman"/>
          <w:color w:val="auto"/>
          <w:sz w:val="24"/>
          <w:szCs w:val="24"/>
        </w:rPr>
        <w:t xml:space="preserve">d initial model simulations) with </w:t>
      </w:r>
      <w:r w:rsidR="002907C9" w:rsidRPr="00A5485A">
        <w:rPr>
          <w:rFonts w:ascii="Times New Roman" w:hAnsi="Times New Roman" w:cs="Times New Roman"/>
          <w:color w:val="auto"/>
          <w:sz w:val="24"/>
          <w:szCs w:val="24"/>
        </w:rPr>
        <w:t>0.</w:t>
      </w:r>
      <w:r w:rsidR="0069005E">
        <w:rPr>
          <w:rFonts w:ascii="Times New Roman" w:hAnsi="Times New Roman" w:cs="Times New Roman"/>
          <w:color w:val="auto"/>
          <w:sz w:val="24"/>
          <w:szCs w:val="24"/>
        </w:rPr>
        <w:t>2</w:t>
      </w:r>
      <w:r w:rsidR="002907C9" w:rsidRPr="00A5485A">
        <w:rPr>
          <w:rFonts w:ascii="Times New Roman" w:hAnsi="Times New Roman" w:cs="Times New Roman"/>
          <w:color w:val="auto"/>
          <w:sz w:val="24"/>
          <w:szCs w:val="24"/>
        </w:rPr>
        <w:t xml:space="preserve"> M HCl</w:t>
      </w:r>
      <w:r w:rsidR="002907C9">
        <w:rPr>
          <w:rFonts w:ascii="Times New Roman" w:hAnsi="Times New Roman" w:cs="Times New Roman"/>
          <w:color w:val="auto"/>
          <w:sz w:val="24"/>
          <w:szCs w:val="24"/>
        </w:rPr>
        <w:t xml:space="preserve"> (used for TEA analysis). A</w:t>
      </w:r>
      <w:r w:rsidR="007B3E8D">
        <w:rPr>
          <w:rFonts w:ascii="Times New Roman" w:hAnsi="Times New Roman" w:cs="Times New Roman"/>
          <w:color w:val="auto"/>
          <w:sz w:val="24"/>
          <w:szCs w:val="24"/>
        </w:rPr>
        <w:t>fter</w:t>
      </w:r>
      <w:r w:rsidR="002907C9">
        <w:rPr>
          <w:rFonts w:ascii="Times New Roman" w:hAnsi="Times New Roman" w:cs="Times New Roman"/>
          <w:color w:val="auto"/>
          <w:sz w:val="24"/>
          <w:szCs w:val="24"/>
        </w:rPr>
        <w:t xml:space="preserve"> 365.25 </w:t>
      </w:r>
      <w:r w:rsidR="00EC5DDC">
        <w:rPr>
          <w:rFonts w:ascii="Times New Roman" w:hAnsi="Times New Roman" w:cs="Times New Roman"/>
          <w:color w:val="auto"/>
          <w:sz w:val="24"/>
          <w:szCs w:val="24"/>
        </w:rPr>
        <w:t>days</w:t>
      </w:r>
      <w:r w:rsidR="007B3E8D">
        <w:rPr>
          <w:rFonts w:ascii="Times New Roman" w:hAnsi="Times New Roman" w:cs="Times New Roman"/>
          <w:color w:val="auto"/>
          <w:sz w:val="24"/>
          <w:szCs w:val="24"/>
        </w:rPr>
        <w:t xml:space="preserve"> of leaching</w:t>
      </w:r>
      <w:r w:rsidR="00EC5DDC">
        <w:rPr>
          <w:rFonts w:ascii="Times New Roman" w:hAnsi="Times New Roman" w:cs="Times New Roman"/>
          <w:color w:val="auto"/>
          <w:sz w:val="24"/>
          <w:szCs w:val="24"/>
        </w:rPr>
        <w:t xml:space="preserve">, the </w:t>
      </w:r>
      <w:r w:rsidR="007B3E8D">
        <w:rPr>
          <w:rFonts w:ascii="Times New Roman" w:hAnsi="Times New Roman" w:cs="Times New Roman"/>
          <w:color w:val="auto"/>
          <w:sz w:val="24"/>
          <w:szCs w:val="24"/>
        </w:rPr>
        <w:t xml:space="preserve">percentage </w:t>
      </w:r>
      <w:r w:rsidR="00EC5DDC">
        <w:rPr>
          <w:rFonts w:ascii="Times New Roman" w:hAnsi="Times New Roman" w:cs="Times New Roman"/>
          <w:color w:val="auto"/>
          <w:sz w:val="24"/>
          <w:szCs w:val="24"/>
        </w:rPr>
        <w:t>difference</w:t>
      </w:r>
      <w:r w:rsidR="007B3E8D">
        <w:rPr>
          <w:rFonts w:ascii="Times New Roman" w:hAnsi="Times New Roman" w:cs="Times New Roman"/>
          <w:color w:val="auto"/>
          <w:sz w:val="24"/>
          <w:szCs w:val="24"/>
        </w:rPr>
        <w:t xml:space="preserve"> between the two simulations</w:t>
      </w:r>
      <w:r w:rsidR="00206555">
        <w:rPr>
          <w:rFonts w:ascii="Times New Roman" w:hAnsi="Times New Roman" w:cs="Times New Roman"/>
          <w:color w:val="auto"/>
          <w:sz w:val="24"/>
          <w:szCs w:val="24"/>
        </w:rPr>
        <w:t>, with the two lixiviants,</w:t>
      </w:r>
      <w:r w:rsidR="007B3E8D">
        <w:rPr>
          <w:rFonts w:ascii="Times New Roman" w:hAnsi="Times New Roman" w:cs="Times New Roman"/>
          <w:color w:val="auto"/>
          <w:sz w:val="24"/>
          <w:szCs w:val="24"/>
        </w:rPr>
        <w:t xml:space="preserve"> is 1.4%.</w:t>
      </w:r>
    </w:p>
    <w:p w14:paraId="4785855D" w14:textId="77777777" w:rsidR="00547BA0" w:rsidRDefault="00547BA0" w:rsidP="00547BA0"/>
    <w:p w14:paraId="0DE7644E" w14:textId="638109EA" w:rsidR="0032579A" w:rsidRDefault="0032579A" w:rsidP="001210A3">
      <w:pPr>
        <w:rPr>
          <w:rFonts w:ascii="Times New Roman" w:hAnsi="Times New Roman" w:cs="Times New Roman"/>
        </w:rPr>
      </w:pPr>
      <w:r>
        <w:rPr>
          <w:rFonts w:ascii="Times New Roman" w:hAnsi="Times New Roman" w:cs="Times New Roman"/>
          <w:noProof/>
        </w:rPr>
        <w:lastRenderedPageBreak/>
        <w:drawing>
          <wp:inline distT="0" distB="0" distL="0" distR="0" wp14:anchorId="7255CC7E" wp14:editId="4C4D38BF">
            <wp:extent cx="6242685" cy="4681855"/>
            <wp:effectExtent l="0" t="0" r="5715" b="4445"/>
            <wp:docPr id="339169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2685" cy="4681855"/>
                    </a:xfrm>
                    <a:prstGeom prst="rect">
                      <a:avLst/>
                    </a:prstGeom>
                    <a:noFill/>
                  </pic:spPr>
                </pic:pic>
              </a:graphicData>
            </a:graphic>
          </wp:inline>
        </w:drawing>
      </w:r>
    </w:p>
    <w:p w14:paraId="5ACBABAE" w14:textId="2C31B818" w:rsidR="00EF5C44" w:rsidRPr="00A07EB2" w:rsidRDefault="00EF5C44" w:rsidP="00EF5C44">
      <w:pPr>
        <w:pStyle w:val="Heading2"/>
        <w:spacing w:line="360" w:lineRule="auto"/>
        <w:jc w:val="both"/>
        <w:rPr>
          <w:rFonts w:ascii="Times New Roman" w:hAnsi="Times New Roman" w:cs="Times New Roman"/>
          <w:color w:val="auto"/>
          <w:sz w:val="24"/>
          <w:szCs w:val="24"/>
        </w:rPr>
      </w:pPr>
      <w:r w:rsidRPr="00C65492">
        <w:rPr>
          <w:rFonts w:ascii="Times New Roman" w:hAnsi="Times New Roman" w:cs="Times New Roman"/>
          <w:color w:val="auto"/>
          <w:sz w:val="24"/>
          <w:szCs w:val="24"/>
        </w:rPr>
        <w:t>Supplementary Figure S</w:t>
      </w:r>
      <w:r w:rsidR="00C901C4">
        <w:rPr>
          <w:rFonts w:ascii="Times New Roman" w:hAnsi="Times New Roman" w:cs="Times New Roman"/>
          <w:color w:val="auto"/>
          <w:sz w:val="24"/>
          <w:szCs w:val="24"/>
        </w:rPr>
        <w:t>5</w:t>
      </w:r>
      <w:r w:rsidRPr="00B846AF">
        <w:rPr>
          <w:rFonts w:ascii="Times New Roman" w:hAnsi="Times New Roman" w:cs="Times New Roman"/>
          <w:color w:val="auto"/>
          <w:sz w:val="24"/>
          <w:szCs w:val="24"/>
        </w:rPr>
        <w:t xml:space="preserve"> | </w:t>
      </w:r>
      <w:r w:rsidR="002907C9">
        <w:rPr>
          <w:rFonts w:ascii="Times New Roman" w:hAnsi="Times New Roman" w:cs="Times New Roman"/>
          <w:color w:val="auto"/>
          <w:sz w:val="24"/>
          <w:szCs w:val="24"/>
        </w:rPr>
        <w:t>Comparison between the M</w:t>
      </w:r>
      <w:r w:rsidR="002907C9" w:rsidRPr="00A07EB2">
        <w:rPr>
          <w:rFonts w:ascii="Times New Roman" w:hAnsi="Times New Roman" w:cs="Times New Roman"/>
          <w:color w:val="auto"/>
          <w:sz w:val="24"/>
          <w:szCs w:val="24"/>
        </w:rPr>
        <w:t xml:space="preserve">odelled Mg leached (from reactive transport modelling) against Predicted Mg leached (from the surrogacy model) for each simulation ran using the reactive transport model described in </w:t>
      </w:r>
      <w:r w:rsidR="002907C9">
        <w:rPr>
          <w:rFonts w:ascii="Times New Roman" w:hAnsi="Times New Roman" w:cs="Times New Roman"/>
          <w:color w:val="auto"/>
          <w:sz w:val="24"/>
          <w:szCs w:val="24"/>
        </w:rPr>
        <w:t>Methods section</w:t>
      </w:r>
      <w:r w:rsidR="002907C9" w:rsidRPr="00A07EB2">
        <w:rPr>
          <w:rFonts w:ascii="Times New Roman" w:hAnsi="Times New Roman" w:cs="Times New Roman"/>
          <w:color w:val="auto"/>
          <w:sz w:val="24"/>
          <w:szCs w:val="24"/>
        </w:rPr>
        <w:t xml:space="preserve"> and Supporting </w:t>
      </w:r>
      <w:r w:rsidR="002907C9">
        <w:rPr>
          <w:rFonts w:ascii="Times New Roman" w:hAnsi="Times New Roman" w:cs="Times New Roman"/>
          <w:color w:val="auto"/>
          <w:sz w:val="24"/>
          <w:szCs w:val="24"/>
        </w:rPr>
        <w:t>file S1</w:t>
      </w:r>
      <w:r w:rsidR="002907C9" w:rsidRPr="00A07EB2">
        <w:rPr>
          <w:rFonts w:ascii="Times New Roman" w:hAnsi="Times New Roman" w:cs="Times New Roman"/>
          <w:color w:val="auto"/>
          <w:sz w:val="24"/>
          <w:szCs w:val="24"/>
        </w:rPr>
        <w:t>.</w:t>
      </w:r>
      <w:r w:rsidR="00F2639F">
        <w:rPr>
          <w:rFonts w:ascii="Times New Roman" w:hAnsi="Times New Roman" w:cs="Times New Roman"/>
          <w:color w:val="auto"/>
          <w:sz w:val="24"/>
          <w:szCs w:val="24"/>
        </w:rPr>
        <w:t xml:space="preserve"> </w:t>
      </w:r>
      <w:r w:rsidR="002907C9">
        <w:rPr>
          <w:rFonts w:ascii="Times New Roman" w:hAnsi="Times New Roman" w:cs="Times New Roman"/>
          <w:color w:val="auto"/>
          <w:sz w:val="24"/>
          <w:szCs w:val="24"/>
        </w:rPr>
        <w:t>Fits are reasonable, with an r</w:t>
      </w:r>
      <w:r w:rsidR="002907C9">
        <w:rPr>
          <w:rFonts w:ascii="Times New Roman" w:hAnsi="Times New Roman" w:cs="Times New Roman"/>
          <w:color w:val="auto"/>
          <w:sz w:val="24"/>
          <w:szCs w:val="24"/>
          <w:vertAlign w:val="superscript"/>
        </w:rPr>
        <w:t>2</w:t>
      </w:r>
      <w:r w:rsidR="002907C9">
        <w:rPr>
          <w:rFonts w:ascii="Times New Roman" w:hAnsi="Times New Roman" w:cs="Times New Roman"/>
          <w:color w:val="auto"/>
          <w:sz w:val="24"/>
          <w:szCs w:val="24"/>
        </w:rPr>
        <w:t xml:space="preserve"> of 0.9</w:t>
      </w:r>
      <w:r w:rsidR="00F2639F">
        <w:rPr>
          <w:rFonts w:ascii="Times New Roman" w:hAnsi="Times New Roman" w:cs="Times New Roman"/>
          <w:color w:val="auto"/>
          <w:sz w:val="24"/>
          <w:szCs w:val="24"/>
        </w:rPr>
        <w:t>6</w:t>
      </w:r>
      <w:r w:rsidR="002907C9">
        <w:rPr>
          <w:rFonts w:ascii="Times New Roman" w:hAnsi="Times New Roman" w:cs="Times New Roman"/>
          <w:color w:val="auto"/>
          <w:sz w:val="24"/>
          <w:szCs w:val="24"/>
        </w:rPr>
        <w:t xml:space="preserve">. </w:t>
      </w:r>
      <w:r w:rsidRPr="00A07EB2">
        <w:rPr>
          <w:rFonts w:ascii="Times New Roman" w:hAnsi="Times New Roman" w:cs="Times New Roman"/>
          <w:color w:val="auto"/>
          <w:sz w:val="24"/>
          <w:szCs w:val="24"/>
        </w:rPr>
        <w:t>Flow rate is grouped into low (</w:t>
      </w:r>
      <w:r w:rsidR="00F2639F">
        <w:rPr>
          <w:rFonts w:ascii="Times New Roman" w:hAnsi="Times New Roman" w:cs="Times New Roman"/>
          <w:color w:val="auto"/>
          <w:sz w:val="24"/>
          <w:szCs w:val="24"/>
        </w:rPr>
        <w:t>1.09e</w:t>
      </w:r>
      <w:r w:rsidR="00F2639F">
        <w:rPr>
          <w:rFonts w:ascii="Times New Roman" w:hAnsi="Times New Roman" w:cs="Times New Roman"/>
          <w:color w:val="auto"/>
          <w:sz w:val="24"/>
          <w:szCs w:val="24"/>
          <w:vertAlign w:val="superscript"/>
        </w:rPr>
        <w:t>-7</w:t>
      </w:r>
      <w:r w:rsidR="00F2639F">
        <w:rPr>
          <w:rFonts w:ascii="Times New Roman" w:hAnsi="Times New Roman" w:cs="Times New Roman"/>
          <w:color w:val="auto"/>
          <w:sz w:val="24"/>
          <w:szCs w:val="24"/>
        </w:rPr>
        <w:t xml:space="preserve"> – 3.07e</w:t>
      </w:r>
      <w:r w:rsidR="00F2639F">
        <w:rPr>
          <w:rFonts w:ascii="Times New Roman" w:hAnsi="Times New Roman" w:cs="Times New Roman"/>
          <w:color w:val="auto"/>
          <w:sz w:val="24"/>
          <w:szCs w:val="24"/>
          <w:vertAlign w:val="superscript"/>
        </w:rPr>
        <w:t>-7</w:t>
      </w:r>
      <w:r w:rsidR="00F2639F">
        <w:rPr>
          <w:rFonts w:ascii="Times New Roman" w:hAnsi="Times New Roman" w:cs="Times New Roman"/>
          <w:color w:val="auto"/>
          <w:sz w:val="24"/>
          <w:szCs w:val="24"/>
        </w:rPr>
        <w:t>)</w:t>
      </w:r>
      <w:r w:rsidRPr="00A07EB2">
        <w:rPr>
          <w:rFonts w:ascii="Times New Roman" w:hAnsi="Times New Roman" w:cs="Times New Roman"/>
          <w:color w:val="auto"/>
          <w:sz w:val="24"/>
          <w:szCs w:val="24"/>
        </w:rPr>
        <w:t>), medium (</w:t>
      </w:r>
      <w:r w:rsidR="00F2639F">
        <w:rPr>
          <w:rFonts w:ascii="Times New Roman" w:hAnsi="Times New Roman" w:cs="Times New Roman"/>
          <w:color w:val="auto"/>
          <w:sz w:val="24"/>
          <w:szCs w:val="24"/>
        </w:rPr>
        <w:t>3.07e</w:t>
      </w:r>
      <w:r w:rsidR="00F2639F">
        <w:rPr>
          <w:rFonts w:ascii="Times New Roman" w:hAnsi="Times New Roman" w:cs="Times New Roman"/>
          <w:color w:val="auto"/>
          <w:sz w:val="24"/>
          <w:szCs w:val="24"/>
          <w:vertAlign w:val="superscript"/>
        </w:rPr>
        <w:t xml:space="preserve">-7 </w:t>
      </w:r>
      <w:r w:rsidR="00F2639F">
        <w:rPr>
          <w:rFonts w:ascii="Times New Roman" w:hAnsi="Times New Roman" w:cs="Times New Roman"/>
          <w:color w:val="auto"/>
          <w:sz w:val="24"/>
          <w:szCs w:val="24"/>
        </w:rPr>
        <w:t>– 5.03e</w:t>
      </w:r>
      <w:r w:rsidR="00F2639F">
        <w:rPr>
          <w:rFonts w:ascii="Times New Roman" w:hAnsi="Times New Roman" w:cs="Times New Roman"/>
          <w:color w:val="auto"/>
          <w:sz w:val="24"/>
          <w:szCs w:val="24"/>
          <w:vertAlign w:val="superscript"/>
        </w:rPr>
        <w:t>-7</w:t>
      </w:r>
      <w:r w:rsidRPr="00A07EB2">
        <w:rPr>
          <w:rFonts w:ascii="Times New Roman" w:hAnsi="Times New Roman" w:cs="Times New Roman"/>
          <w:color w:val="auto"/>
          <w:sz w:val="24"/>
          <w:szCs w:val="24"/>
        </w:rPr>
        <w:t>) and fast (</w:t>
      </w:r>
      <w:r w:rsidR="00F2639F">
        <w:rPr>
          <w:rFonts w:ascii="Times New Roman" w:hAnsi="Times New Roman" w:cs="Times New Roman"/>
          <w:color w:val="auto"/>
          <w:sz w:val="24"/>
          <w:szCs w:val="24"/>
        </w:rPr>
        <w:t>5.03e</w:t>
      </w:r>
      <w:r w:rsidR="00F2639F">
        <w:rPr>
          <w:rFonts w:ascii="Times New Roman" w:hAnsi="Times New Roman" w:cs="Times New Roman"/>
          <w:color w:val="auto"/>
          <w:sz w:val="24"/>
          <w:szCs w:val="24"/>
          <w:vertAlign w:val="superscript"/>
        </w:rPr>
        <w:t xml:space="preserve">-7 </w:t>
      </w:r>
      <w:r w:rsidR="00F2639F">
        <w:rPr>
          <w:rFonts w:ascii="Times New Roman" w:hAnsi="Times New Roman" w:cs="Times New Roman"/>
          <w:color w:val="auto"/>
          <w:sz w:val="24"/>
          <w:szCs w:val="24"/>
        </w:rPr>
        <w:t>-</w:t>
      </w:r>
      <w:r w:rsidR="00F2639F">
        <w:rPr>
          <w:rFonts w:ascii="Times New Roman" w:hAnsi="Times New Roman" w:cs="Times New Roman"/>
          <w:color w:val="auto"/>
          <w:sz w:val="24"/>
          <w:szCs w:val="24"/>
          <w:vertAlign w:val="superscript"/>
        </w:rPr>
        <w:t xml:space="preserve"> </w:t>
      </w:r>
      <w:r w:rsidR="00F2639F">
        <w:rPr>
          <w:rFonts w:ascii="Times New Roman" w:hAnsi="Times New Roman" w:cs="Times New Roman"/>
          <w:color w:val="auto"/>
          <w:sz w:val="24"/>
          <w:szCs w:val="24"/>
        </w:rPr>
        <w:t>7.00e</w:t>
      </w:r>
      <w:r w:rsidR="00F2639F">
        <w:rPr>
          <w:rFonts w:ascii="Times New Roman" w:hAnsi="Times New Roman" w:cs="Times New Roman"/>
          <w:color w:val="auto"/>
          <w:sz w:val="24"/>
          <w:szCs w:val="24"/>
          <w:vertAlign w:val="superscript"/>
        </w:rPr>
        <w:t>-7</w:t>
      </w:r>
      <w:r w:rsidRPr="00A07EB2">
        <w:rPr>
          <w:rFonts w:ascii="Times New Roman" w:hAnsi="Times New Roman" w:cs="Times New Roman"/>
          <w:color w:val="auto"/>
          <w:sz w:val="24"/>
          <w:szCs w:val="24"/>
        </w:rPr>
        <w:t xml:space="preserve">), to make the graph clearer. </w:t>
      </w:r>
    </w:p>
    <w:p w14:paraId="528617BD" w14:textId="77777777" w:rsidR="00EF5C44" w:rsidRDefault="00EF5C44" w:rsidP="00EF5C44">
      <w:pPr>
        <w:rPr>
          <w:rFonts w:ascii="Times New Roman" w:eastAsiaTheme="majorEastAsia" w:hAnsi="Times New Roman" w:cs="Times New Roman"/>
        </w:rPr>
      </w:pPr>
      <w:r>
        <w:rPr>
          <w:rFonts w:ascii="Times New Roman" w:hAnsi="Times New Roman" w:cs="Times New Roman"/>
        </w:rPr>
        <w:br w:type="page"/>
      </w:r>
    </w:p>
    <w:p w14:paraId="7E18FE6D" w14:textId="1FE5895F" w:rsidR="00547BA0" w:rsidRPr="00547BA0" w:rsidRDefault="00547BA0" w:rsidP="00547BA0">
      <w:r w:rsidRPr="00B846AF">
        <w:rPr>
          <w:rFonts w:ascii="Times New Roman" w:hAnsi="Times New Roman" w:cs="Times New Roman"/>
          <w:noProof/>
        </w:rPr>
        <w:lastRenderedPageBreak/>
        <w:drawing>
          <wp:inline distT="0" distB="0" distL="0" distR="0" wp14:anchorId="43D3B909" wp14:editId="6A0A4A2C">
            <wp:extent cx="6479540" cy="4459605"/>
            <wp:effectExtent l="0" t="0" r="0" b="0"/>
            <wp:docPr id="971358916"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58916" name="Picture 1" descr="A graph with numbers and a line&#10;&#10;AI-generated content may be incorrect."/>
                    <pic:cNvPicPr/>
                  </pic:nvPicPr>
                  <pic:blipFill>
                    <a:blip r:embed="rId13"/>
                    <a:stretch>
                      <a:fillRect/>
                    </a:stretch>
                  </pic:blipFill>
                  <pic:spPr>
                    <a:xfrm>
                      <a:off x="0" y="0"/>
                      <a:ext cx="6479540" cy="4459605"/>
                    </a:xfrm>
                    <a:prstGeom prst="rect">
                      <a:avLst/>
                    </a:prstGeom>
                  </pic:spPr>
                </pic:pic>
              </a:graphicData>
            </a:graphic>
          </wp:inline>
        </w:drawing>
      </w:r>
    </w:p>
    <w:p w14:paraId="243EA7EA" w14:textId="0CFA5D42" w:rsidR="00B846AF" w:rsidRPr="002D727A" w:rsidRDefault="00B846AF" w:rsidP="002D727A">
      <w:pPr>
        <w:pStyle w:val="Heading2"/>
        <w:spacing w:line="360" w:lineRule="auto"/>
        <w:jc w:val="both"/>
        <w:rPr>
          <w:rFonts w:ascii="Times New Roman" w:hAnsi="Times New Roman" w:cs="Times New Roman"/>
          <w:color w:val="auto"/>
          <w:sz w:val="24"/>
          <w:szCs w:val="24"/>
        </w:rPr>
      </w:pPr>
      <w:r w:rsidRPr="002D727A">
        <w:rPr>
          <w:rFonts w:ascii="Times New Roman" w:hAnsi="Times New Roman" w:cs="Times New Roman"/>
          <w:color w:val="auto"/>
          <w:sz w:val="24"/>
          <w:szCs w:val="24"/>
        </w:rPr>
        <w:t>Supplementary Figure S</w:t>
      </w:r>
      <w:r w:rsidR="00C901C4">
        <w:rPr>
          <w:rFonts w:ascii="Times New Roman" w:hAnsi="Times New Roman" w:cs="Times New Roman"/>
          <w:color w:val="auto"/>
          <w:sz w:val="24"/>
          <w:szCs w:val="24"/>
        </w:rPr>
        <w:t>6</w:t>
      </w:r>
      <w:r w:rsidRPr="002D727A">
        <w:rPr>
          <w:rFonts w:ascii="Times New Roman" w:hAnsi="Times New Roman" w:cs="Times New Roman"/>
          <w:color w:val="auto"/>
          <w:sz w:val="24"/>
          <w:szCs w:val="24"/>
        </w:rPr>
        <w:t xml:space="preserve"> | Projected global deployment capacity based on ex-situ mineralization project and fitted into Gompertz function (known data points are ex-situ mineralization purchase data from </w:t>
      </w:r>
      <w:proofErr w:type="spellStart"/>
      <w:r w:rsidRPr="002D727A">
        <w:rPr>
          <w:rFonts w:ascii="Times New Roman" w:hAnsi="Times New Roman" w:cs="Times New Roman"/>
          <w:color w:val="auto"/>
          <w:sz w:val="24"/>
          <w:szCs w:val="24"/>
        </w:rPr>
        <w:t>CDR.fyi</w:t>
      </w:r>
      <w:proofErr w:type="spellEnd"/>
      <w:r w:rsidRPr="002D727A">
        <w:rPr>
          <w:rFonts w:ascii="Times New Roman" w:hAnsi="Times New Roman" w:cs="Times New Roman"/>
          <w:color w:val="auto"/>
          <w:sz w:val="24"/>
          <w:szCs w:val="24"/>
        </w:rPr>
        <w:t xml:space="preserve"> accessed by December 2024)</w:t>
      </w:r>
      <w:r w:rsidRPr="002D727A">
        <w:rPr>
          <w:rFonts w:ascii="Times New Roman" w:hAnsi="Times New Roman" w:cs="Times New Roman"/>
          <w:color w:val="auto"/>
          <w:sz w:val="24"/>
          <w:szCs w:val="24"/>
        </w:rPr>
        <w:fldChar w:fldCharType="begin"/>
      </w:r>
      <w:r w:rsidR="007C2590" w:rsidRPr="002D727A">
        <w:rPr>
          <w:rFonts w:ascii="Times New Roman" w:hAnsi="Times New Roman" w:cs="Times New Roman"/>
          <w:color w:val="auto"/>
          <w:sz w:val="24"/>
          <w:szCs w:val="24"/>
        </w:rPr>
        <w:instrText xml:space="preserve"> ADDIN ZOTERO_ITEM CSL_CITATION {"citationID":"wzU2uoLT","properties":{"formattedCitation":"\\super 1\\nosupersub{}","plainCitation":"1","noteIndex":0},"citationItems":[{"id":919,"uris":["http://zotero.org/users/12559992/items/SA5WKNKL"],"itemData":{"id":919,"type":"webpage","abstract":"CDR.fyi is the reporting platform for the durable carbon removal market.","language":"en","title":"CDR.fyi_Leaderboards","URL":"https://www.cdr.fyi/leaderboards","author":[{"family":"CDRfyi","given":""}],"accessed":{"date-parts":[["2025",7,21]]},"issued":{"date-parts":[["2025"]]}}}],"schema":"https://github.com/citation-style-language/schema/raw/master/csl-citation.json"} </w:instrText>
      </w:r>
      <w:r w:rsidRPr="002D727A">
        <w:rPr>
          <w:rFonts w:ascii="Times New Roman" w:hAnsi="Times New Roman" w:cs="Times New Roman"/>
          <w:color w:val="auto"/>
          <w:sz w:val="24"/>
          <w:szCs w:val="24"/>
        </w:rPr>
        <w:fldChar w:fldCharType="separate"/>
      </w:r>
      <w:r w:rsidR="007C2590" w:rsidRPr="002D727A">
        <w:rPr>
          <w:rFonts w:ascii="Times New Roman" w:hAnsi="Times New Roman" w:cs="Times New Roman"/>
          <w:color w:val="auto"/>
          <w:kern w:val="0"/>
          <w:sz w:val="24"/>
          <w:szCs w:val="24"/>
          <w:vertAlign w:val="superscript"/>
        </w:rPr>
        <w:t>1</w:t>
      </w:r>
      <w:r w:rsidRPr="002D727A">
        <w:rPr>
          <w:rFonts w:ascii="Times New Roman" w:hAnsi="Times New Roman" w:cs="Times New Roman"/>
          <w:color w:val="auto"/>
          <w:sz w:val="24"/>
          <w:szCs w:val="24"/>
        </w:rPr>
        <w:fldChar w:fldCharType="end"/>
      </w:r>
      <w:r w:rsidRPr="002D727A">
        <w:rPr>
          <w:rFonts w:ascii="Times New Roman" w:hAnsi="Times New Roman" w:cs="Times New Roman"/>
          <w:color w:val="auto"/>
          <w:sz w:val="24"/>
          <w:szCs w:val="24"/>
        </w:rPr>
        <w:t>.</w:t>
      </w:r>
    </w:p>
    <w:p w14:paraId="12BC7A20" w14:textId="05BA8725" w:rsidR="00B846AF" w:rsidRPr="002D727A" w:rsidRDefault="00B846AF" w:rsidP="00B846AF">
      <w:pPr>
        <w:spacing w:line="360" w:lineRule="auto"/>
        <w:jc w:val="both"/>
        <w:rPr>
          <w:rFonts w:ascii="Times New Roman" w:hAnsi="Times New Roman" w:cs="Times New Roman"/>
        </w:rPr>
      </w:pPr>
      <w:r w:rsidRPr="002D727A">
        <w:rPr>
          <w:rFonts w:ascii="Times New Roman" w:hAnsi="Times New Roman" w:cs="Times New Roman"/>
        </w:rPr>
        <w:t xml:space="preserve">In the figure,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oMath>
      <w:r w:rsidRPr="002D727A">
        <w:rPr>
          <w:rFonts w:ascii="Times New Roman" w:hAnsi="Times New Roman" w:cs="Times New Roman"/>
        </w:rPr>
        <w:t xml:space="preserve"> represents the initial equivalent carbon mineralization capacity in 2021, based on an assumed carbonation ratio of 1 tonne CO₂ per 4 tonnes of tailings. The parameter </w:t>
      </w:r>
      <m:oMath>
        <m:r>
          <w:rPr>
            <w:rFonts w:ascii="Cambria Math" w:hAnsi="Cambria Math" w:cs="Times New Roman"/>
          </w:rPr>
          <m:t>L=400 Gt (gigatonnes tailings)</m:t>
        </m:r>
      </m:oMath>
      <w:r w:rsidRPr="002D727A">
        <w:rPr>
          <w:rFonts w:ascii="Times New Roman" w:hAnsi="Times New Roman" w:cs="Times New Roman"/>
        </w:rPr>
        <w:t xml:space="preserve"> corresponds to the projected maximum cumulative carbon mineralization capacity by year 2100 - equivalent to the total tailings treatment potential - assuming an average of 1 Gt CO₂/year from 2025 to 2060, and 1.6 Gt CO₂/year from 2060 to 2100 </w:t>
      </w:r>
      <w:r w:rsidRPr="002D727A">
        <w:rPr>
          <w:rFonts w:ascii="Times New Roman" w:hAnsi="Times New Roman" w:cs="Times New Roman"/>
        </w:rPr>
        <w:fldChar w:fldCharType="begin"/>
      </w:r>
      <w:r w:rsidR="007C2590" w:rsidRPr="002D727A">
        <w:rPr>
          <w:rFonts w:ascii="Times New Roman" w:hAnsi="Times New Roman" w:cs="Times New Roman"/>
        </w:rPr>
        <w:instrText xml:space="preserve"> ADDIN ZOTERO_ITEM CSL_CITATION {"citationID":"pyordDuU","properties":{"formattedCitation":"\\super 2\\uc0\\u8211{}4\\nosupersub{}","plainCitation":"2–4","noteIndex":0},"citationItems":[{"id":204,"uris":["http://zotero.org/users/12559992/items/5CA9HH4M"],"itemData":{"id":204,"type":"article-journal","abstract":"Abstract\n            \n              7 billion tonnes of alkaline materials are produced globally each year as a product or by-product of industrial activity. The aqueous dissolution of these materials creates high pH solutions that dissolves CO\n              2\n              to store carbon in the form of solid carbonate minerals or dissolved bicarbonate ions. Here we show that these materials have a carbon dioxide storage potential of 2.9–8.5 billion tonnes per year by 2100, and may contribute a substantial proportion of the negative emissions required to limit global temperature change to &lt;2 °C.","container-title":"Nature Communications","DOI":"10.1038/s41467-019-09475-5","ISSN":"2041-1723","issue":"1","journalAbbreviation":"Nat Commun","language":"en","page":"1401","source":"DOI.org (Crossref)","title":"The negative emission potential of alkaline materials","volume":"10","author":[{"family":"Renforth","given":"Phil"}],"issued":{"date-parts":[["2019",3,28]]}}},{"id":759,"uris":["http://zotero.org/users/12559992/items/X5BU3NCK"],"itemData":{"id":759,"type":"article-journal","title":"Mineral Carbonation using Mine Tailings – A Strategic Overview of Potential and Opportunities, 2022-10, July 2022","URL":"https://ieaghg.org/publications/mineral-carbonation-usig-mine-tailings-a-strategic-overview-of-potential-and-opportunities/","author":[{"family":"IEAGHG","given":""}],"accessed":{"date-parts":[["2025",7,17]]},"issued":{"date-parts":[["2022"]]}}},{"id":917,"uris":["http://zotero.org/users/12559992/items/24QU56RY"],"itemData":{"id":917,"type":"article-journal","abstract":"Carbon Dioxide removal from air (CDR) combined with permanent solid storage can be accomplished via carbon mineralization in ultramafic rocks in at least four ways: 1. Surficial CDR: CO2-bearing air and surface waters are reacted with crushed and or ground mine tailings, alkaline industrial wastes, or sedimentary formations rich in reactive rock fragments, all with a high proportion of reactive surface area. This can be implemented at a low cost, but most proposed methods have a very large area footprint at the gigatonne scale. The area requirement can be greatly reduced by calcining (heating to produce pure CO2 for permanent storage or use) followed by recycling of MgO, CaO, Na2O, … Such looping methods have predicted costs that are as low or lower than for direct air capture with synthetic sorbents or solvents (DACSS), and a similar area footprint. 2. In situ CDR: CO2-bearing surface waters are circulated through rock formations at depth. These methods potentially have a cost similar to that of surficial carbon mineralization, and a giant storage capacity with reduced surface area requirements, but they involve uncertain feedbacks between permeability, reactive surface area, and reaction rate, providing a fascinating topic for fundamental research. Furthermore, the size, injectivity, permeability, geomechanics, and microstructure of key subsurface reservoirs for in situ CDR remain almost entirely unexplored. 3&amp;4. Combined partial enrichment of CO2 using direct air capture with synthetic sorbents (DACSS) plus surficial carbon mineralization (3) or in situ carbon mineralization (4). Energy requirements and total costs for partial enrichment of CO2 are substantially lower than for enrichment to high purity. CO2 enriched air can be sparged through mine tailings at the surface, and/or through water to increase dissolved carbon concentrations prior to circulation through rock reactants. Such combined or hybrid approaches have not been investigated thoroughly, and offer many avenues for optimization.","container-title":"Chemical Geology","DOI":"10.1016/j.chemgeo.2020.119628","ISSN":"0009-2541","journalAbbreviation":"Chemical Geology","page":"119628","source":"ScienceDirect","title":"Engineered carbon mineralization in ultramafic rocks for CO2 removal from air: Review and new insights","title-short":"Engineered carbon mineralization in ultramafic rocks for CO2 removal from air","volume":"550","author":[{"family":"Kelemen","given":"Peter B."},{"family":"McQueen","given":"Noah"},{"family":"Wilcox","given":"Jennifer"},{"family":"Renforth","given":"Phil"},{"family":"Dipple","given":"Greg"},{"family":"Vankeuren","given":"Amelia Paukert"}],"issued":{"date-parts":[["2020",9,20]]}}}],"schema":"https://github.com/citation-style-language/schema/raw/master/csl-citation.json"} </w:instrText>
      </w:r>
      <w:r w:rsidRPr="002D727A">
        <w:rPr>
          <w:rFonts w:ascii="Times New Roman" w:hAnsi="Times New Roman" w:cs="Times New Roman"/>
        </w:rPr>
        <w:fldChar w:fldCharType="separate"/>
      </w:r>
      <w:r w:rsidR="007C2590" w:rsidRPr="002D727A">
        <w:rPr>
          <w:rFonts w:ascii="Times New Roman" w:hAnsi="Times New Roman" w:cs="Times New Roman"/>
          <w:kern w:val="0"/>
          <w:vertAlign w:val="superscript"/>
        </w:rPr>
        <w:t>2–4</w:t>
      </w:r>
      <w:r w:rsidRPr="002D727A">
        <w:rPr>
          <w:rFonts w:ascii="Times New Roman" w:hAnsi="Times New Roman" w:cs="Times New Roman"/>
        </w:rPr>
        <w:fldChar w:fldCharType="end"/>
      </w:r>
      <w:r w:rsidRPr="002D727A">
        <w:rPr>
          <w:rFonts w:ascii="Times New Roman" w:hAnsi="Times New Roman" w:cs="Times New Roman"/>
        </w:rPr>
        <w:t>.</w:t>
      </w:r>
    </w:p>
    <w:p w14:paraId="63A5E75A" w14:textId="77777777" w:rsidR="00B846AF" w:rsidRPr="00B846AF" w:rsidRDefault="00B846AF" w:rsidP="00B846AF">
      <w:pPr>
        <w:spacing w:line="360" w:lineRule="auto"/>
        <w:rPr>
          <w:rFonts w:ascii="Times New Roman" w:eastAsiaTheme="majorEastAsia" w:hAnsi="Times New Roman" w:cs="Times New Roman"/>
          <w:highlight w:val="yellow"/>
        </w:rPr>
      </w:pPr>
      <w:r w:rsidRPr="00B846AF">
        <w:rPr>
          <w:rFonts w:ascii="Times New Roman" w:hAnsi="Times New Roman" w:cs="Times New Roman"/>
          <w:highlight w:val="yellow"/>
        </w:rPr>
        <w:br w:type="page"/>
      </w:r>
    </w:p>
    <w:p w14:paraId="774040BE" w14:textId="1AD5038E" w:rsidR="000C6CAC" w:rsidRPr="000C6CAC" w:rsidRDefault="000C6CAC" w:rsidP="000C6CAC">
      <w:pPr>
        <w:rPr>
          <w:rFonts w:ascii="Times New Roman" w:hAnsi="Times New Roman" w:cs="Times New Roman"/>
        </w:rPr>
      </w:pPr>
    </w:p>
    <w:p w14:paraId="02B51756" w14:textId="01822AC5" w:rsidR="00B846AF" w:rsidRPr="00B846AF" w:rsidRDefault="00B846AF" w:rsidP="00B846AF">
      <w:pPr>
        <w:pStyle w:val="Heading2"/>
        <w:spacing w:line="360" w:lineRule="auto"/>
        <w:jc w:val="both"/>
        <w:rPr>
          <w:rFonts w:ascii="Times New Roman" w:hAnsi="Times New Roman" w:cs="Times New Roman"/>
          <w:color w:val="auto"/>
          <w:sz w:val="24"/>
          <w:szCs w:val="24"/>
        </w:rPr>
      </w:pPr>
      <w:r w:rsidRPr="00B846AF">
        <w:rPr>
          <w:rFonts w:ascii="Times New Roman" w:hAnsi="Times New Roman" w:cs="Times New Roman"/>
          <w:color w:val="auto"/>
          <w:sz w:val="24"/>
          <w:szCs w:val="24"/>
        </w:rPr>
        <w:t>Supplementary Table S1 | Mass balance data of the integrated process as shown on Fig.1</w:t>
      </w:r>
      <w:r w:rsidR="007220FF">
        <w:rPr>
          <w:rFonts w:ascii="Times New Roman" w:hAnsi="Times New Roman" w:cs="Times New Roman"/>
          <w:color w:val="auto"/>
          <w:sz w:val="24"/>
          <w:szCs w:val="24"/>
        </w:rPr>
        <w:t xml:space="preserve"> in the main manuscript</w:t>
      </w:r>
      <w:r w:rsidRPr="00B846AF">
        <w:rPr>
          <w:rFonts w:ascii="Times New Roman" w:hAnsi="Times New Roman" w:cs="Times New Roman"/>
          <w:color w:val="auto"/>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258"/>
        <w:gridCol w:w="2404"/>
      </w:tblGrid>
      <w:tr w:rsidR="00B846AF" w:rsidRPr="00B846AF" w14:paraId="3871A536" w14:textId="77777777" w:rsidTr="0040567E">
        <w:trPr>
          <w:trHeight w:val="288"/>
          <w:jc w:val="center"/>
        </w:trPr>
        <w:tc>
          <w:tcPr>
            <w:tcW w:w="1838" w:type="dxa"/>
            <w:tcBorders>
              <w:top w:val="single" w:sz="4" w:space="0" w:color="auto"/>
            </w:tcBorders>
            <w:noWrap/>
            <w:hideMark/>
          </w:tcPr>
          <w:p w14:paraId="784CF4F0" w14:textId="77777777" w:rsidR="00B846AF" w:rsidRPr="00B846AF" w:rsidRDefault="00B846AF" w:rsidP="00B846AF">
            <w:pPr>
              <w:spacing w:line="360" w:lineRule="auto"/>
              <w:rPr>
                <w:rFonts w:ascii="Times New Roman" w:hAnsi="Times New Roman" w:cs="Times New Roman"/>
                <w:b/>
                <w:bCs/>
                <w:sz w:val="24"/>
                <w:szCs w:val="24"/>
              </w:rPr>
            </w:pPr>
            <w:r w:rsidRPr="00B846AF">
              <w:rPr>
                <w:rFonts w:ascii="Times New Roman" w:hAnsi="Times New Roman" w:cs="Times New Roman"/>
                <w:b/>
                <w:bCs/>
                <w:sz w:val="24"/>
                <w:szCs w:val="24"/>
              </w:rPr>
              <w:t>Line no. (Fig.1)</w:t>
            </w:r>
          </w:p>
        </w:tc>
        <w:tc>
          <w:tcPr>
            <w:tcW w:w="4258" w:type="dxa"/>
            <w:tcBorders>
              <w:top w:val="single" w:sz="4" w:space="0" w:color="auto"/>
            </w:tcBorders>
            <w:noWrap/>
            <w:hideMark/>
          </w:tcPr>
          <w:p w14:paraId="3B5D8BF5" w14:textId="77777777" w:rsidR="00B846AF" w:rsidRPr="00B846AF" w:rsidRDefault="00B846AF" w:rsidP="00B846AF">
            <w:pPr>
              <w:spacing w:line="360" w:lineRule="auto"/>
              <w:rPr>
                <w:rFonts w:ascii="Times New Roman" w:hAnsi="Times New Roman" w:cs="Times New Roman"/>
                <w:b/>
                <w:bCs/>
                <w:sz w:val="24"/>
                <w:szCs w:val="24"/>
              </w:rPr>
            </w:pPr>
            <w:r w:rsidRPr="00B846AF">
              <w:rPr>
                <w:rFonts w:ascii="Times New Roman" w:hAnsi="Times New Roman" w:cs="Times New Roman"/>
                <w:b/>
                <w:bCs/>
                <w:sz w:val="24"/>
                <w:szCs w:val="24"/>
              </w:rPr>
              <w:t>Description</w:t>
            </w:r>
          </w:p>
        </w:tc>
        <w:tc>
          <w:tcPr>
            <w:tcW w:w="2404" w:type="dxa"/>
            <w:tcBorders>
              <w:top w:val="single" w:sz="4" w:space="0" w:color="auto"/>
            </w:tcBorders>
            <w:noWrap/>
            <w:hideMark/>
          </w:tcPr>
          <w:p w14:paraId="0ECF0EA6" w14:textId="77777777" w:rsidR="00B846AF" w:rsidRPr="00B846AF" w:rsidRDefault="00B846AF" w:rsidP="00B846AF">
            <w:pPr>
              <w:spacing w:line="360" w:lineRule="auto"/>
              <w:rPr>
                <w:rFonts w:ascii="Times New Roman" w:hAnsi="Times New Roman" w:cs="Times New Roman"/>
                <w:b/>
                <w:bCs/>
                <w:sz w:val="24"/>
                <w:szCs w:val="24"/>
              </w:rPr>
            </w:pPr>
            <w:r w:rsidRPr="00B846AF">
              <w:rPr>
                <w:rFonts w:ascii="Times New Roman" w:hAnsi="Times New Roman" w:cs="Times New Roman"/>
                <w:b/>
                <w:bCs/>
                <w:sz w:val="24"/>
                <w:szCs w:val="24"/>
              </w:rPr>
              <w:t>Value in t d⁻¹</w:t>
            </w:r>
          </w:p>
        </w:tc>
      </w:tr>
      <w:tr w:rsidR="00B846AF" w:rsidRPr="00B846AF" w14:paraId="391C1179" w14:textId="77777777" w:rsidTr="0040567E">
        <w:trPr>
          <w:trHeight w:val="288"/>
          <w:jc w:val="center"/>
        </w:trPr>
        <w:tc>
          <w:tcPr>
            <w:tcW w:w="1838" w:type="dxa"/>
            <w:tcBorders>
              <w:bottom w:val="single" w:sz="4" w:space="0" w:color="BFBFBF" w:themeColor="background1" w:themeShade="BF"/>
            </w:tcBorders>
            <w:noWrap/>
            <w:hideMark/>
          </w:tcPr>
          <w:p w14:paraId="7ADBD737"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w:t>
            </w:r>
          </w:p>
        </w:tc>
        <w:tc>
          <w:tcPr>
            <w:tcW w:w="4258" w:type="dxa"/>
            <w:tcBorders>
              <w:bottom w:val="single" w:sz="4" w:space="0" w:color="BFBFBF" w:themeColor="background1" w:themeShade="BF"/>
            </w:tcBorders>
            <w:noWrap/>
            <w:hideMark/>
          </w:tcPr>
          <w:p w14:paraId="5EDC4793"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Tailings treatment capacity</w:t>
            </w:r>
          </w:p>
        </w:tc>
        <w:tc>
          <w:tcPr>
            <w:tcW w:w="2404" w:type="dxa"/>
            <w:tcBorders>
              <w:bottom w:val="single" w:sz="4" w:space="0" w:color="BFBFBF" w:themeColor="background1" w:themeShade="BF"/>
            </w:tcBorders>
            <w:noWrap/>
            <w:hideMark/>
          </w:tcPr>
          <w:p w14:paraId="43B2B023"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100</w:t>
            </w:r>
          </w:p>
        </w:tc>
      </w:tr>
      <w:tr w:rsidR="00B846AF" w:rsidRPr="00B846AF" w14:paraId="452C898A"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04D711DF"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w:t>
            </w:r>
          </w:p>
        </w:tc>
        <w:tc>
          <w:tcPr>
            <w:tcW w:w="4258" w:type="dxa"/>
            <w:tcBorders>
              <w:top w:val="single" w:sz="4" w:space="0" w:color="BFBFBF" w:themeColor="background1" w:themeShade="BF"/>
              <w:bottom w:val="single" w:sz="4" w:space="0" w:color="BFBFBF" w:themeColor="background1" w:themeShade="BF"/>
            </w:tcBorders>
            <w:noWrap/>
            <w:hideMark/>
          </w:tcPr>
          <w:p w14:paraId="49D5535B" w14:textId="77777777" w:rsidR="00B846AF" w:rsidRPr="00560BD4" w:rsidRDefault="00B846AF" w:rsidP="00B846AF">
            <w:pPr>
              <w:spacing w:line="360" w:lineRule="auto"/>
              <w:rPr>
                <w:rFonts w:ascii="Times New Roman" w:hAnsi="Times New Roman" w:cs="Times New Roman"/>
                <w:sz w:val="24"/>
                <w:szCs w:val="24"/>
                <w:lang w:val="de-DE"/>
              </w:rPr>
            </w:pPr>
            <w:r w:rsidRPr="00560BD4">
              <w:rPr>
                <w:rFonts w:ascii="Times New Roman" w:hAnsi="Times New Roman" w:cs="Times New Roman"/>
                <w:sz w:val="24"/>
                <w:szCs w:val="24"/>
                <w:lang w:val="de-DE"/>
              </w:rPr>
              <w:t xml:space="preserve">Ferrihydrite (solid) </w:t>
            </w:r>
            <m:oMath>
              <m:sSub>
                <m:sSubPr>
                  <m:ctrlPr>
                    <w:rPr>
                      <w:rFonts w:ascii="Cambria Math" w:hAnsi="Cambria Math" w:cs="Times New Roman"/>
                      <w:i/>
                      <w:sz w:val="24"/>
                      <w:szCs w:val="24"/>
                    </w:rPr>
                  </m:ctrlPr>
                </m:sSubPr>
                <m:e>
                  <m:r>
                    <w:rPr>
                      <w:rFonts w:ascii="Cambria Math" w:hAnsi="Cambria Math" w:cs="Times New Roman"/>
                      <w:sz w:val="24"/>
                      <w:szCs w:val="24"/>
                    </w:rPr>
                    <m:t>Fe</m:t>
                  </m:r>
                </m:e>
                <m:sub>
                  <m:r>
                    <w:rPr>
                      <w:rFonts w:ascii="Cambria Math" w:hAnsi="Cambria Math" w:cs="Times New Roman"/>
                      <w:sz w:val="24"/>
                      <w:szCs w:val="24"/>
                      <w:lang w:val="de-DE"/>
                    </w:rPr>
                    <m:t>(1-</m:t>
                  </m:r>
                  <m:r>
                    <w:rPr>
                      <w:rFonts w:ascii="Cambria Math" w:hAnsi="Cambria Math" w:cs="Times New Roman"/>
                      <w:sz w:val="24"/>
                      <w:szCs w:val="24"/>
                    </w:rPr>
                    <m:t>y</m:t>
                  </m:r>
                  <m:r>
                    <w:rPr>
                      <w:rFonts w:ascii="Cambria Math" w:hAnsi="Cambria Math" w:cs="Times New Roman"/>
                      <w:sz w:val="24"/>
                      <w:szCs w:val="24"/>
                      <w:lang w:val="de-DE"/>
                    </w:rPr>
                    <m:t>)</m:t>
                  </m:r>
                </m:sub>
              </m:sSub>
              <m:sSub>
                <m:sSubPr>
                  <m:ctrlPr>
                    <w:rPr>
                      <w:rFonts w:ascii="Cambria Math" w:hAnsi="Cambria Math" w:cs="Times New Roman"/>
                      <w:i/>
                      <w:sz w:val="24"/>
                      <w:szCs w:val="24"/>
                    </w:rPr>
                  </m:ctrlPr>
                </m:sSubPr>
                <m:e>
                  <m:r>
                    <w:rPr>
                      <w:rFonts w:ascii="Cambria Math" w:hAnsi="Cambria Math" w:cs="Times New Roman"/>
                      <w:sz w:val="24"/>
                      <w:szCs w:val="24"/>
                    </w:rPr>
                    <m:t>Ni</m:t>
                  </m:r>
                </m:e>
                <m:sub>
                  <m:r>
                    <w:rPr>
                      <w:rFonts w:ascii="Cambria Math" w:hAnsi="Cambria Math" w:cs="Times New Roman"/>
                      <w:sz w:val="24"/>
                      <w:szCs w:val="24"/>
                    </w:rPr>
                    <m:t>y</m:t>
                  </m:r>
                </m:sub>
              </m:sSub>
              <m:sSub>
                <m:sSubPr>
                  <m:ctrlPr>
                    <w:rPr>
                      <w:rFonts w:ascii="Cambria Math" w:hAnsi="Cambria Math" w:cs="Times New Roman"/>
                      <w:i/>
                      <w:sz w:val="24"/>
                      <w:szCs w:val="24"/>
                    </w:rPr>
                  </m:ctrlPr>
                </m:sSubPr>
                <m:e>
                  <m:r>
                    <w:rPr>
                      <w:rFonts w:ascii="Cambria Math" w:hAnsi="Cambria Math" w:cs="Times New Roman"/>
                      <w:sz w:val="24"/>
                      <w:szCs w:val="24"/>
                      <w:lang w:val="de-DE"/>
                    </w:rPr>
                    <m:t>(</m:t>
                  </m:r>
                  <m:r>
                    <w:rPr>
                      <w:rFonts w:ascii="Cambria Math" w:hAnsi="Cambria Math" w:cs="Times New Roman"/>
                      <w:sz w:val="24"/>
                      <w:szCs w:val="24"/>
                    </w:rPr>
                    <m:t>OH</m:t>
                  </m:r>
                  <m:r>
                    <w:rPr>
                      <w:rFonts w:ascii="Cambria Math" w:hAnsi="Cambria Math" w:cs="Times New Roman"/>
                      <w:sz w:val="24"/>
                      <w:szCs w:val="24"/>
                      <w:lang w:val="de-DE"/>
                    </w:rPr>
                    <m:t>)</m:t>
                  </m:r>
                </m:e>
                <m:sub>
                  <m:r>
                    <w:rPr>
                      <w:rFonts w:ascii="Cambria Math" w:hAnsi="Cambria Math" w:cs="Times New Roman"/>
                      <w:sz w:val="24"/>
                      <w:szCs w:val="24"/>
                      <w:lang w:val="de-DE"/>
                    </w:rPr>
                    <m:t>3</m:t>
                  </m:r>
                </m:sub>
              </m:sSub>
            </m:oMath>
          </w:p>
        </w:tc>
        <w:tc>
          <w:tcPr>
            <w:tcW w:w="2404" w:type="dxa"/>
            <w:tcBorders>
              <w:top w:val="single" w:sz="4" w:space="0" w:color="BFBFBF" w:themeColor="background1" w:themeShade="BF"/>
              <w:bottom w:val="single" w:sz="4" w:space="0" w:color="BFBFBF" w:themeColor="background1" w:themeShade="BF"/>
            </w:tcBorders>
            <w:noWrap/>
            <w:hideMark/>
          </w:tcPr>
          <w:p w14:paraId="17EB9E81"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18</w:t>
            </w:r>
          </w:p>
        </w:tc>
      </w:tr>
      <w:tr w:rsidR="00B846AF" w:rsidRPr="00B846AF" w14:paraId="7E70C7AB"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58A54255"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3</w:t>
            </w:r>
          </w:p>
        </w:tc>
        <w:tc>
          <w:tcPr>
            <w:tcW w:w="4258" w:type="dxa"/>
            <w:tcBorders>
              <w:top w:val="single" w:sz="4" w:space="0" w:color="BFBFBF" w:themeColor="background1" w:themeShade="BF"/>
              <w:bottom w:val="single" w:sz="4" w:space="0" w:color="BFBFBF" w:themeColor="background1" w:themeShade="BF"/>
            </w:tcBorders>
            <w:noWrap/>
            <w:hideMark/>
          </w:tcPr>
          <w:p w14:paraId="56EE907E"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Aqueous iron (II) FeCl</w:t>
            </w:r>
            <w:r w:rsidRPr="00B846AF">
              <w:rPr>
                <w:rFonts w:ascii="Times New Roman" w:hAnsi="Times New Roman" w:cs="Times New Roman"/>
                <w:sz w:val="24"/>
                <w:szCs w:val="24"/>
                <w:vertAlign w:val="subscript"/>
              </w:rPr>
              <w:t>2</w:t>
            </w:r>
          </w:p>
        </w:tc>
        <w:tc>
          <w:tcPr>
            <w:tcW w:w="2404" w:type="dxa"/>
            <w:tcBorders>
              <w:top w:val="single" w:sz="4" w:space="0" w:color="BFBFBF" w:themeColor="background1" w:themeShade="BF"/>
              <w:bottom w:val="single" w:sz="4" w:space="0" w:color="BFBFBF" w:themeColor="background1" w:themeShade="BF"/>
            </w:tcBorders>
            <w:noWrap/>
            <w:hideMark/>
          </w:tcPr>
          <w:p w14:paraId="192A14E8"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1.2</w:t>
            </w:r>
          </w:p>
        </w:tc>
      </w:tr>
      <w:tr w:rsidR="00B846AF" w:rsidRPr="00B846AF" w14:paraId="4B54D3A4"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47A8DE96"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4</w:t>
            </w:r>
          </w:p>
        </w:tc>
        <w:tc>
          <w:tcPr>
            <w:tcW w:w="4258" w:type="dxa"/>
            <w:tcBorders>
              <w:top w:val="single" w:sz="4" w:space="0" w:color="BFBFBF" w:themeColor="background1" w:themeShade="BF"/>
              <w:bottom w:val="single" w:sz="4" w:space="0" w:color="BFBFBF" w:themeColor="background1" w:themeShade="BF"/>
            </w:tcBorders>
            <w:noWrap/>
            <w:hideMark/>
          </w:tcPr>
          <w:p w14:paraId="346FF6E3"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Ni production</w:t>
            </w:r>
          </w:p>
        </w:tc>
        <w:tc>
          <w:tcPr>
            <w:tcW w:w="2404" w:type="dxa"/>
            <w:tcBorders>
              <w:top w:val="single" w:sz="4" w:space="0" w:color="BFBFBF" w:themeColor="background1" w:themeShade="BF"/>
              <w:bottom w:val="single" w:sz="4" w:space="0" w:color="BFBFBF" w:themeColor="background1" w:themeShade="BF"/>
            </w:tcBorders>
            <w:noWrap/>
            <w:hideMark/>
          </w:tcPr>
          <w:p w14:paraId="465F2680"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0.46</w:t>
            </w:r>
          </w:p>
        </w:tc>
      </w:tr>
      <w:tr w:rsidR="00B846AF" w:rsidRPr="00B846AF" w14:paraId="72960370"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10481DF0"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5</w:t>
            </w:r>
          </w:p>
        </w:tc>
        <w:tc>
          <w:tcPr>
            <w:tcW w:w="4258" w:type="dxa"/>
            <w:tcBorders>
              <w:top w:val="single" w:sz="4" w:space="0" w:color="BFBFBF" w:themeColor="background1" w:themeShade="BF"/>
              <w:bottom w:val="single" w:sz="4" w:space="0" w:color="BFBFBF" w:themeColor="background1" w:themeShade="BF"/>
            </w:tcBorders>
            <w:noWrap/>
            <w:hideMark/>
          </w:tcPr>
          <w:p w14:paraId="39B12E1F"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Total leachate</w:t>
            </w:r>
          </w:p>
        </w:tc>
        <w:tc>
          <w:tcPr>
            <w:tcW w:w="2404" w:type="dxa"/>
            <w:tcBorders>
              <w:top w:val="single" w:sz="4" w:space="0" w:color="BFBFBF" w:themeColor="background1" w:themeShade="BF"/>
              <w:bottom w:val="single" w:sz="4" w:space="0" w:color="BFBFBF" w:themeColor="background1" w:themeShade="BF"/>
            </w:tcBorders>
            <w:noWrap/>
            <w:hideMark/>
          </w:tcPr>
          <w:p w14:paraId="5D431C00"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1598</w:t>
            </w:r>
          </w:p>
        </w:tc>
      </w:tr>
      <w:tr w:rsidR="00B846AF" w:rsidRPr="00B846AF" w14:paraId="5FFA89D5"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000EDEEC"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6</w:t>
            </w:r>
          </w:p>
        </w:tc>
        <w:tc>
          <w:tcPr>
            <w:tcW w:w="4258" w:type="dxa"/>
            <w:tcBorders>
              <w:top w:val="single" w:sz="4" w:space="0" w:color="BFBFBF" w:themeColor="background1" w:themeShade="BF"/>
              <w:bottom w:val="single" w:sz="4" w:space="0" w:color="BFBFBF" w:themeColor="background1" w:themeShade="BF"/>
            </w:tcBorders>
            <w:noWrap/>
            <w:hideMark/>
          </w:tcPr>
          <w:p w14:paraId="558AA154"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 xml:space="preserve">Mass of dilute acid solution for leaching  </w:t>
            </w:r>
          </w:p>
        </w:tc>
        <w:tc>
          <w:tcPr>
            <w:tcW w:w="2404" w:type="dxa"/>
            <w:tcBorders>
              <w:top w:val="single" w:sz="4" w:space="0" w:color="BFBFBF" w:themeColor="background1" w:themeShade="BF"/>
              <w:bottom w:val="single" w:sz="4" w:space="0" w:color="BFBFBF" w:themeColor="background1" w:themeShade="BF"/>
            </w:tcBorders>
            <w:noWrap/>
            <w:hideMark/>
          </w:tcPr>
          <w:p w14:paraId="425C0A0E"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2600</w:t>
            </w:r>
          </w:p>
        </w:tc>
      </w:tr>
      <w:tr w:rsidR="00B846AF" w:rsidRPr="00B846AF" w14:paraId="44F6BC93"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2986ACE9"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7</w:t>
            </w:r>
          </w:p>
        </w:tc>
        <w:tc>
          <w:tcPr>
            <w:tcW w:w="4258" w:type="dxa"/>
            <w:tcBorders>
              <w:top w:val="single" w:sz="4" w:space="0" w:color="BFBFBF" w:themeColor="background1" w:themeShade="BF"/>
              <w:bottom w:val="single" w:sz="4" w:space="0" w:color="BFBFBF" w:themeColor="background1" w:themeShade="BF"/>
            </w:tcBorders>
            <w:noWrap/>
            <w:hideMark/>
          </w:tcPr>
          <w:p w14:paraId="2EA43C24"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Mass of concentrate base outlet</w:t>
            </w:r>
          </w:p>
        </w:tc>
        <w:tc>
          <w:tcPr>
            <w:tcW w:w="2404" w:type="dxa"/>
            <w:tcBorders>
              <w:top w:val="single" w:sz="4" w:space="0" w:color="BFBFBF" w:themeColor="background1" w:themeShade="BF"/>
              <w:bottom w:val="single" w:sz="4" w:space="0" w:color="BFBFBF" w:themeColor="background1" w:themeShade="BF"/>
            </w:tcBorders>
            <w:noWrap/>
            <w:hideMark/>
          </w:tcPr>
          <w:p w14:paraId="6DA3EE38"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2664</w:t>
            </w:r>
          </w:p>
        </w:tc>
      </w:tr>
      <w:tr w:rsidR="00B846AF" w:rsidRPr="00B846AF" w14:paraId="1F46DB9A"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48AD3256"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8</w:t>
            </w:r>
          </w:p>
        </w:tc>
        <w:tc>
          <w:tcPr>
            <w:tcW w:w="4258" w:type="dxa"/>
            <w:tcBorders>
              <w:top w:val="single" w:sz="4" w:space="0" w:color="BFBFBF" w:themeColor="background1" w:themeShade="BF"/>
              <w:bottom w:val="single" w:sz="4" w:space="0" w:color="BFBFBF" w:themeColor="background1" w:themeShade="BF"/>
            </w:tcBorders>
            <w:noWrap/>
            <w:hideMark/>
          </w:tcPr>
          <w:p w14:paraId="3770EC67"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Mass of output brine</w:t>
            </w:r>
          </w:p>
        </w:tc>
        <w:tc>
          <w:tcPr>
            <w:tcW w:w="2404" w:type="dxa"/>
            <w:tcBorders>
              <w:top w:val="single" w:sz="4" w:space="0" w:color="BFBFBF" w:themeColor="background1" w:themeShade="BF"/>
              <w:bottom w:val="single" w:sz="4" w:space="0" w:color="BFBFBF" w:themeColor="background1" w:themeShade="BF"/>
            </w:tcBorders>
            <w:noWrap/>
            <w:hideMark/>
          </w:tcPr>
          <w:p w14:paraId="0229F91F"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2479</w:t>
            </w:r>
          </w:p>
        </w:tc>
      </w:tr>
      <w:tr w:rsidR="00B846AF" w:rsidRPr="00B846AF" w14:paraId="7CB8D090"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7C636568"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9</w:t>
            </w:r>
          </w:p>
        </w:tc>
        <w:tc>
          <w:tcPr>
            <w:tcW w:w="4258" w:type="dxa"/>
            <w:tcBorders>
              <w:top w:val="single" w:sz="4" w:space="0" w:color="BFBFBF" w:themeColor="background1" w:themeShade="BF"/>
              <w:bottom w:val="single" w:sz="4" w:space="0" w:color="BFBFBF" w:themeColor="background1" w:themeShade="BF"/>
            </w:tcBorders>
            <w:noWrap/>
            <w:hideMark/>
          </w:tcPr>
          <w:p w14:paraId="0C363C0C" w14:textId="77777777" w:rsidR="00B846AF" w:rsidRPr="00B846AF" w:rsidRDefault="00B846AF" w:rsidP="00B846AF">
            <w:pPr>
              <w:spacing w:line="360" w:lineRule="auto"/>
              <w:rPr>
                <w:rFonts w:ascii="Times New Roman" w:hAnsi="Times New Roman" w:cs="Times New Roman"/>
                <w:sz w:val="24"/>
                <w:szCs w:val="24"/>
              </w:rPr>
            </w:pPr>
            <w:proofErr w:type="spellStart"/>
            <w:r w:rsidRPr="00B846AF">
              <w:rPr>
                <w:rFonts w:ascii="Times New Roman" w:hAnsi="Times New Roman" w:cs="Times New Roman"/>
                <w:sz w:val="24"/>
                <w:szCs w:val="24"/>
              </w:rPr>
              <w:t>CM_solvent</w:t>
            </w:r>
            <w:proofErr w:type="spellEnd"/>
            <w:r w:rsidRPr="00B846AF">
              <w:rPr>
                <w:rFonts w:ascii="Times New Roman" w:hAnsi="Times New Roman" w:cs="Times New Roman"/>
                <w:sz w:val="24"/>
                <w:szCs w:val="24"/>
              </w:rPr>
              <w:t xml:space="preserve"> out _total</w:t>
            </w:r>
          </w:p>
        </w:tc>
        <w:tc>
          <w:tcPr>
            <w:tcW w:w="2404" w:type="dxa"/>
            <w:tcBorders>
              <w:top w:val="single" w:sz="4" w:space="0" w:color="BFBFBF" w:themeColor="background1" w:themeShade="BF"/>
              <w:bottom w:val="single" w:sz="4" w:space="0" w:color="BFBFBF" w:themeColor="background1" w:themeShade="BF"/>
            </w:tcBorders>
            <w:noWrap/>
            <w:hideMark/>
          </w:tcPr>
          <w:p w14:paraId="17AA562E"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4213</w:t>
            </w:r>
          </w:p>
        </w:tc>
      </w:tr>
      <w:tr w:rsidR="00B846AF" w:rsidRPr="00B846AF" w14:paraId="2C8FCD1A" w14:textId="77777777" w:rsidTr="0040567E">
        <w:trPr>
          <w:trHeight w:val="288"/>
          <w:jc w:val="center"/>
        </w:trPr>
        <w:tc>
          <w:tcPr>
            <w:tcW w:w="1838" w:type="dxa"/>
            <w:tcBorders>
              <w:top w:val="single" w:sz="4" w:space="0" w:color="BFBFBF" w:themeColor="background1" w:themeShade="BF"/>
            </w:tcBorders>
            <w:noWrap/>
            <w:hideMark/>
          </w:tcPr>
          <w:p w14:paraId="59262ACF"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10</w:t>
            </w:r>
          </w:p>
        </w:tc>
        <w:tc>
          <w:tcPr>
            <w:tcW w:w="4258" w:type="dxa"/>
            <w:tcBorders>
              <w:top w:val="single" w:sz="4" w:space="0" w:color="BFBFBF" w:themeColor="background1" w:themeShade="BF"/>
            </w:tcBorders>
            <w:noWrap/>
            <w:hideMark/>
          </w:tcPr>
          <w:p w14:paraId="284522D7" w14:textId="77777777" w:rsidR="00B846AF" w:rsidRPr="00B846AF" w:rsidRDefault="00B846AF" w:rsidP="00B846AF">
            <w:pPr>
              <w:spacing w:line="360" w:lineRule="auto"/>
              <w:rPr>
                <w:rFonts w:ascii="Times New Roman" w:hAnsi="Times New Roman" w:cs="Times New Roman"/>
                <w:sz w:val="24"/>
                <w:szCs w:val="24"/>
              </w:rPr>
            </w:pPr>
            <w:proofErr w:type="spellStart"/>
            <w:r w:rsidRPr="00B846AF">
              <w:rPr>
                <w:rFonts w:ascii="Times New Roman" w:hAnsi="Times New Roman" w:cs="Times New Roman"/>
                <w:sz w:val="24"/>
                <w:szCs w:val="24"/>
              </w:rPr>
              <w:t>NF_reject_out</w:t>
            </w:r>
            <w:proofErr w:type="spellEnd"/>
          </w:p>
        </w:tc>
        <w:tc>
          <w:tcPr>
            <w:tcW w:w="2404" w:type="dxa"/>
            <w:tcBorders>
              <w:top w:val="single" w:sz="4" w:space="0" w:color="BFBFBF" w:themeColor="background1" w:themeShade="BF"/>
            </w:tcBorders>
            <w:noWrap/>
            <w:hideMark/>
          </w:tcPr>
          <w:p w14:paraId="7F564B33"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843</w:t>
            </w:r>
          </w:p>
        </w:tc>
      </w:tr>
      <w:tr w:rsidR="00B846AF" w:rsidRPr="00B846AF" w14:paraId="74DBB621" w14:textId="77777777" w:rsidTr="0040567E">
        <w:trPr>
          <w:trHeight w:val="288"/>
          <w:jc w:val="center"/>
        </w:trPr>
        <w:tc>
          <w:tcPr>
            <w:tcW w:w="1838" w:type="dxa"/>
            <w:tcBorders>
              <w:bottom w:val="single" w:sz="4" w:space="0" w:color="BFBFBF" w:themeColor="background1" w:themeShade="BF"/>
            </w:tcBorders>
            <w:noWrap/>
            <w:hideMark/>
          </w:tcPr>
          <w:p w14:paraId="23BC35BD"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11</w:t>
            </w:r>
          </w:p>
        </w:tc>
        <w:tc>
          <w:tcPr>
            <w:tcW w:w="4258" w:type="dxa"/>
            <w:tcBorders>
              <w:bottom w:val="single" w:sz="4" w:space="0" w:color="BFBFBF" w:themeColor="background1" w:themeShade="BF"/>
            </w:tcBorders>
            <w:noWrap/>
            <w:hideMark/>
          </w:tcPr>
          <w:p w14:paraId="06665E98" w14:textId="77777777" w:rsidR="00B846AF" w:rsidRPr="00B846AF" w:rsidRDefault="00B846AF" w:rsidP="00B846AF">
            <w:pPr>
              <w:spacing w:line="360" w:lineRule="auto"/>
              <w:rPr>
                <w:rFonts w:ascii="Times New Roman" w:hAnsi="Times New Roman" w:cs="Times New Roman"/>
                <w:sz w:val="24"/>
                <w:szCs w:val="24"/>
              </w:rPr>
            </w:pPr>
            <w:proofErr w:type="spellStart"/>
            <w:r w:rsidRPr="00B846AF">
              <w:rPr>
                <w:rFonts w:ascii="Times New Roman" w:hAnsi="Times New Roman" w:cs="Times New Roman"/>
                <w:sz w:val="24"/>
                <w:szCs w:val="24"/>
              </w:rPr>
              <w:t>NF_permeate_out</w:t>
            </w:r>
            <w:proofErr w:type="spellEnd"/>
          </w:p>
        </w:tc>
        <w:tc>
          <w:tcPr>
            <w:tcW w:w="2404" w:type="dxa"/>
            <w:tcBorders>
              <w:bottom w:val="single" w:sz="4" w:space="0" w:color="BFBFBF" w:themeColor="background1" w:themeShade="BF"/>
            </w:tcBorders>
            <w:noWrap/>
            <w:hideMark/>
          </w:tcPr>
          <w:p w14:paraId="204792E9"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3370</w:t>
            </w:r>
          </w:p>
        </w:tc>
      </w:tr>
      <w:tr w:rsidR="00B846AF" w:rsidRPr="00B846AF" w14:paraId="2970C4E7"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2BE706C0"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12</w:t>
            </w:r>
          </w:p>
        </w:tc>
        <w:tc>
          <w:tcPr>
            <w:tcW w:w="4258" w:type="dxa"/>
            <w:tcBorders>
              <w:top w:val="single" w:sz="4" w:space="0" w:color="BFBFBF" w:themeColor="background1" w:themeShade="BF"/>
              <w:bottom w:val="single" w:sz="4" w:space="0" w:color="BFBFBF" w:themeColor="background1" w:themeShade="BF"/>
            </w:tcBorders>
            <w:noWrap/>
            <w:hideMark/>
          </w:tcPr>
          <w:p w14:paraId="58FAC9D7" w14:textId="77777777" w:rsidR="00B846AF" w:rsidRPr="00B846AF" w:rsidRDefault="00B846AF" w:rsidP="00B846AF">
            <w:pPr>
              <w:spacing w:line="360" w:lineRule="auto"/>
              <w:rPr>
                <w:rFonts w:ascii="Times New Roman" w:hAnsi="Times New Roman" w:cs="Times New Roman"/>
                <w:sz w:val="24"/>
                <w:szCs w:val="24"/>
              </w:rPr>
            </w:pPr>
            <w:proofErr w:type="spellStart"/>
            <w:r w:rsidRPr="00B846AF">
              <w:rPr>
                <w:rFonts w:ascii="Times New Roman" w:hAnsi="Times New Roman" w:cs="Times New Roman"/>
                <w:sz w:val="24"/>
                <w:szCs w:val="24"/>
              </w:rPr>
              <w:t>IX_reject_out</w:t>
            </w:r>
            <w:proofErr w:type="spellEnd"/>
          </w:p>
        </w:tc>
        <w:tc>
          <w:tcPr>
            <w:tcW w:w="2404" w:type="dxa"/>
            <w:tcBorders>
              <w:top w:val="single" w:sz="4" w:space="0" w:color="BFBFBF" w:themeColor="background1" w:themeShade="BF"/>
              <w:bottom w:val="single" w:sz="4" w:space="0" w:color="BFBFBF" w:themeColor="background1" w:themeShade="BF"/>
            </w:tcBorders>
            <w:noWrap/>
            <w:hideMark/>
          </w:tcPr>
          <w:p w14:paraId="281E31FF"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58</w:t>
            </w:r>
          </w:p>
        </w:tc>
      </w:tr>
      <w:tr w:rsidR="00B846AF" w:rsidRPr="00B846AF" w14:paraId="3CC14445"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663E8D69"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13</w:t>
            </w:r>
          </w:p>
        </w:tc>
        <w:tc>
          <w:tcPr>
            <w:tcW w:w="4258" w:type="dxa"/>
            <w:tcBorders>
              <w:top w:val="single" w:sz="4" w:space="0" w:color="BFBFBF" w:themeColor="background1" w:themeShade="BF"/>
              <w:bottom w:val="single" w:sz="4" w:space="0" w:color="BFBFBF" w:themeColor="background1" w:themeShade="BF"/>
            </w:tcBorders>
            <w:noWrap/>
            <w:hideMark/>
          </w:tcPr>
          <w:p w14:paraId="08C3D787" w14:textId="77777777" w:rsidR="00B846AF" w:rsidRPr="00B846AF" w:rsidRDefault="00B846AF" w:rsidP="00B846AF">
            <w:pPr>
              <w:spacing w:line="360" w:lineRule="auto"/>
              <w:rPr>
                <w:rFonts w:ascii="Times New Roman" w:hAnsi="Times New Roman" w:cs="Times New Roman"/>
                <w:sz w:val="24"/>
                <w:szCs w:val="24"/>
              </w:rPr>
            </w:pPr>
            <w:proofErr w:type="spellStart"/>
            <w:r w:rsidRPr="00B846AF">
              <w:rPr>
                <w:rFonts w:ascii="Times New Roman" w:hAnsi="Times New Roman" w:cs="Times New Roman"/>
                <w:sz w:val="24"/>
                <w:szCs w:val="24"/>
              </w:rPr>
              <w:t>IX_permeate_out</w:t>
            </w:r>
            <w:proofErr w:type="spellEnd"/>
          </w:p>
        </w:tc>
        <w:tc>
          <w:tcPr>
            <w:tcW w:w="2404" w:type="dxa"/>
            <w:tcBorders>
              <w:top w:val="single" w:sz="4" w:space="0" w:color="BFBFBF" w:themeColor="background1" w:themeShade="BF"/>
              <w:bottom w:val="single" w:sz="4" w:space="0" w:color="BFBFBF" w:themeColor="background1" w:themeShade="BF"/>
            </w:tcBorders>
            <w:noWrap/>
            <w:hideMark/>
          </w:tcPr>
          <w:p w14:paraId="5C301C79"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5791</w:t>
            </w:r>
          </w:p>
        </w:tc>
      </w:tr>
      <w:tr w:rsidR="00B846AF" w:rsidRPr="00B846AF" w14:paraId="47489077"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5D64DDA3"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14</w:t>
            </w:r>
          </w:p>
        </w:tc>
        <w:tc>
          <w:tcPr>
            <w:tcW w:w="4258" w:type="dxa"/>
            <w:tcBorders>
              <w:top w:val="single" w:sz="4" w:space="0" w:color="BFBFBF" w:themeColor="background1" w:themeShade="BF"/>
              <w:bottom w:val="single" w:sz="4" w:space="0" w:color="BFBFBF" w:themeColor="background1" w:themeShade="BF"/>
            </w:tcBorders>
            <w:noWrap/>
            <w:hideMark/>
          </w:tcPr>
          <w:p w14:paraId="01979680" w14:textId="77777777" w:rsidR="00B846AF" w:rsidRPr="00B846AF" w:rsidRDefault="00B846AF" w:rsidP="00B846AF">
            <w:pPr>
              <w:spacing w:line="360" w:lineRule="auto"/>
              <w:rPr>
                <w:rFonts w:ascii="Times New Roman" w:hAnsi="Times New Roman" w:cs="Times New Roman"/>
                <w:sz w:val="24"/>
                <w:szCs w:val="24"/>
              </w:rPr>
            </w:pPr>
            <w:proofErr w:type="spellStart"/>
            <w:r w:rsidRPr="00B846AF">
              <w:rPr>
                <w:rFonts w:ascii="Times New Roman" w:hAnsi="Times New Roman" w:cs="Times New Roman"/>
                <w:sz w:val="24"/>
                <w:szCs w:val="24"/>
              </w:rPr>
              <w:t>RO_reject_out</w:t>
            </w:r>
            <w:proofErr w:type="spellEnd"/>
          </w:p>
        </w:tc>
        <w:tc>
          <w:tcPr>
            <w:tcW w:w="2404" w:type="dxa"/>
            <w:tcBorders>
              <w:top w:val="single" w:sz="4" w:space="0" w:color="BFBFBF" w:themeColor="background1" w:themeShade="BF"/>
              <w:bottom w:val="single" w:sz="4" w:space="0" w:color="BFBFBF" w:themeColor="background1" w:themeShade="BF"/>
            </w:tcBorders>
            <w:noWrap/>
            <w:hideMark/>
          </w:tcPr>
          <w:p w14:paraId="2F756FA3"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1158</w:t>
            </w:r>
          </w:p>
        </w:tc>
      </w:tr>
      <w:tr w:rsidR="00B846AF" w:rsidRPr="00B846AF" w14:paraId="5408E926"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45DAF8D0"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15</w:t>
            </w:r>
          </w:p>
        </w:tc>
        <w:tc>
          <w:tcPr>
            <w:tcW w:w="4258" w:type="dxa"/>
            <w:tcBorders>
              <w:top w:val="single" w:sz="4" w:space="0" w:color="BFBFBF" w:themeColor="background1" w:themeShade="BF"/>
              <w:bottom w:val="single" w:sz="4" w:space="0" w:color="BFBFBF" w:themeColor="background1" w:themeShade="BF"/>
            </w:tcBorders>
            <w:noWrap/>
            <w:hideMark/>
          </w:tcPr>
          <w:p w14:paraId="7C8821F8" w14:textId="77777777" w:rsidR="00B846AF" w:rsidRPr="00B846AF" w:rsidRDefault="00B846AF" w:rsidP="00B846AF">
            <w:pPr>
              <w:spacing w:line="360" w:lineRule="auto"/>
              <w:rPr>
                <w:rFonts w:ascii="Times New Roman" w:hAnsi="Times New Roman" w:cs="Times New Roman"/>
                <w:sz w:val="24"/>
                <w:szCs w:val="24"/>
              </w:rPr>
            </w:pPr>
            <w:proofErr w:type="spellStart"/>
            <w:r w:rsidRPr="00B846AF">
              <w:rPr>
                <w:rFonts w:ascii="Times New Roman" w:hAnsi="Times New Roman" w:cs="Times New Roman"/>
                <w:sz w:val="24"/>
                <w:szCs w:val="24"/>
              </w:rPr>
              <w:t>ROl_permeate_out</w:t>
            </w:r>
            <w:proofErr w:type="spellEnd"/>
          </w:p>
        </w:tc>
        <w:tc>
          <w:tcPr>
            <w:tcW w:w="2404" w:type="dxa"/>
            <w:tcBorders>
              <w:top w:val="single" w:sz="4" w:space="0" w:color="BFBFBF" w:themeColor="background1" w:themeShade="BF"/>
              <w:bottom w:val="single" w:sz="4" w:space="0" w:color="BFBFBF" w:themeColor="background1" w:themeShade="BF"/>
            </w:tcBorders>
            <w:noWrap/>
            <w:hideMark/>
          </w:tcPr>
          <w:p w14:paraId="0D8C2234"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4633</w:t>
            </w:r>
          </w:p>
        </w:tc>
      </w:tr>
      <w:tr w:rsidR="00B846AF" w:rsidRPr="00B846AF" w14:paraId="221A17F8"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74E542D9"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16</w:t>
            </w:r>
          </w:p>
        </w:tc>
        <w:tc>
          <w:tcPr>
            <w:tcW w:w="4258" w:type="dxa"/>
            <w:tcBorders>
              <w:top w:val="single" w:sz="4" w:space="0" w:color="BFBFBF" w:themeColor="background1" w:themeShade="BF"/>
              <w:bottom w:val="single" w:sz="4" w:space="0" w:color="BFBFBF" w:themeColor="background1" w:themeShade="BF"/>
            </w:tcBorders>
            <w:noWrap/>
            <w:hideMark/>
          </w:tcPr>
          <w:p w14:paraId="1A427C31" w14:textId="77777777" w:rsidR="00B846AF" w:rsidRPr="00B846AF" w:rsidRDefault="00B846AF" w:rsidP="00B846AF">
            <w:pPr>
              <w:spacing w:line="360" w:lineRule="auto"/>
              <w:rPr>
                <w:rFonts w:ascii="Times New Roman" w:hAnsi="Times New Roman" w:cs="Times New Roman"/>
                <w:sz w:val="24"/>
                <w:szCs w:val="24"/>
              </w:rPr>
            </w:pPr>
            <w:proofErr w:type="spellStart"/>
            <w:r w:rsidRPr="00B846AF">
              <w:rPr>
                <w:rFonts w:ascii="Times New Roman" w:hAnsi="Times New Roman" w:cs="Times New Roman"/>
                <w:sz w:val="24"/>
                <w:szCs w:val="24"/>
              </w:rPr>
              <w:t>Total_water_add</w:t>
            </w:r>
            <w:proofErr w:type="spellEnd"/>
          </w:p>
        </w:tc>
        <w:tc>
          <w:tcPr>
            <w:tcW w:w="2404" w:type="dxa"/>
            <w:tcBorders>
              <w:top w:val="single" w:sz="4" w:space="0" w:color="BFBFBF" w:themeColor="background1" w:themeShade="BF"/>
              <w:bottom w:val="single" w:sz="4" w:space="0" w:color="BFBFBF" w:themeColor="background1" w:themeShade="BF"/>
            </w:tcBorders>
            <w:noWrap/>
            <w:hideMark/>
          </w:tcPr>
          <w:p w14:paraId="03A312EF"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1884</w:t>
            </w:r>
          </w:p>
        </w:tc>
      </w:tr>
      <w:tr w:rsidR="00B846AF" w:rsidRPr="00B846AF" w14:paraId="72877D29"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5E1640F6"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17</w:t>
            </w:r>
          </w:p>
        </w:tc>
        <w:tc>
          <w:tcPr>
            <w:tcW w:w="4258" w:type="dxa"/>
            <w:tcBorders>
              <w:top w:val="single" w:sz="4" w:space="0" w:color="BFBFBF" w:themeColor="background1" w:themeShade="BF"/>
              <w:bottom w:val="single" w:sz="4" w:space="0" w:color="BFBFBF" w:themeColor="background1" w:themeShade="BF"/>
            </w:tcBorders>
            <w:noWrap/>
            <w:hideMark/>
          </w:tcPr>
          <w:p w14:paraId="16C6FC3B"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Make-up water for acid tank</w:t>
            </w:r>
          </w:p>
        </w:tc>
        <w:tc>
          <w:tcPr>
            <w:tcW w:w="2404" w:type="dxa"/>
            <w:tcBorders>
              <w:top w:val="single" w:sz="4" w:space="0" w:color="BFBFBF" w:themeColor="background1" w:themeShade="BF"/>
              <w:bottom w:val="single" w:sz="4" w:space="0" w:color="BFBFBF" w:themeColor="background1" w:themeShade="BF"/>
            </w:tcBorders>
            <w:noWrap/>
            <w:hideMark/>
          </w:tcPr>
          <w:p w14:paraId="6AC71542"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2543</w:t>
            </w:r>
          </w:p>
        </w:tc>
      </w:tr>
      <w:tr w:rsidR="00B846AF" w:rsidRPr="00B846AF" w14:paraId="5D59F0CF"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52D97538"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18</w:t>
            </w:r>
          </w:p>
        </w:tc>
        <w:tc>
          <w:tcPr>
            <w:tcW w:w="4258" w:type="dxa"/>
            <w:tcBorders>
              <w:top w:val="single" w:sz="4" w:space="0" w:color="BFBFBF" w:themeColor="background1" w:themeShade="BF"/>
              <w:bottom w:val="single" w:sz="4" w:space="0" w:color="BFBFBF" w:themeColor="background1" w:themeShade="BF"/>
            </w:tcBorders>
            <w:noWrap/>
            <w:hideMark/>
          </w:tcPr>
          <w:p w14:paraId="7B72D1C3"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Make-up water for base tank</w:t>
            </w:r>
          </w:p>
        </w:tc>
        <w:tc>
          <w:tcPr>
            <w:tcW w:w="2404" w:type="dxa"/>
            <w:tcBorders>
              <w:top w:val="single" w:sz="4" w:space="0" w:color="BFBFBF" w:themeColor="background1" w:themeShade="BF"/>
              <w:bottom w:val="single" w:sz="4" w:space="0" w:color="BFBFBF" w:themeColor="background1" w:themeShade="BF"/>
            </w:tcBorders>
            <w:noWrap/>
            <w:hideMark/>
          </w:tcPr>
          <w:p w14:paraId="7EE61FAB"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2610</w:t>
            </w:r>
          </w:p>
        </w:tc>
      </w:tr>
      <w:tr w:rsidR="00B846AF" w:rsidRPr="00B846AF" w14:paraId="09710916"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5E78219E"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19</w:t>
            </w:r>
          </w:p>
        </w:tc>
        <w:tc>
          <w:tcPr>
            <w:tcW w:w="4258" w:type="dxa"/>
            <w:tcBorders>
              <w:top w:val="single" w:sz="4" w:space="0" w:color="BFBFBF" w:themeColor="background1" w:themeShade="BF"/>
              <w:bottom w:val="single" w:sz="4" w:space="0" w:color="BFBFBF" w:themeColor="background1" w:themeShade="BF"/>
            </w:tcBorders>
            <w:noWrap/>
            <w:hideMark/>
          </w:tcPr>
          <w:p w14:paraId="41AEA43B" w14:textId="77777777" w:rsidR="00B846AF" w:rsidRPr="00B846AF" w:rsidRDefault="00B846AF" w:rsidP="00B846AF">
            <w:pPr>
              <w:spacing w:line="360" w:lineRule="auto"/>
              <w:rPr>
                <w:rFonts w:ascii="Times New Roman" w:hAnsi="Times New Roman" w:cs="Times New Roman"/>
                <w:sz w:val="24"/>
                <w:szCs w:val="24"/>
              </w:rPr>
            </w:pPr>
            <w:proofErr w:type="spellStart"/>
            <w:r w:rsidRPr="00B846AF">
              <w:rPr>
                <w:rFonts w:ascii="Times New Roman" w:hAnsi="Times New Roman" w:cs="Times New Roman"/>
                <w:sz w:val="24"/>
                <w:szCs w:val="24"/>
              </w:rPr>
              <w:t>Pure_salt_add</w:t>
            </w:r>
            <w:proofErr w:type="spellEnd"/>
          </w:p>
        </w:tc>
        <w:tc>
          <w:tcPr>
            <w:tcW w:w="2404" w:type="dxa"/>
            <w:tcBorders>
              <w:top w:val="single" w:sz="4" w:space="0" w:color="BFBFBF" w:themeColor="background1" w:themeShade="BF"/>
              <w:bottom w:val="single" w:sz="4" w:space="0" w:color="BFBFBF" w:themeColor="background1" w:themeShade="BF"/>
            </w:tcBorders>
            <w:noWrap/>
            <w:hideMark/>
          </w:tcPr>
          <w:p w14:paraId="63DF529C"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82</w:t>
            </w:r>
          </w:p>
        </w:tc>
      </w:tr>
      <w:tr w:rsidR="00B846AF" w:rsidRPr="00B846AF" w14:paraId="7C9D0427"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50763F5F"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20</w:t>
            </w:r>
          </w:p>
        </w:tc>
        <w:tc>
          <w:tcPr>
            <w:tcW w:w="4258" w:type="dxa"/>
            <w:tcBorders>
              <w:top w:val="single" w:sz="4" w:space="0" w:color="BFBFBF" w:themeColor="background1" w:themeShade="BF"/>
              <w:bottom w:val="single" w:sz="4" w:space="0" w:color="BFBFBF" w:themeColor="background1" w:themeShade="BF"/>
            </w:tcBorders>
            <w:noWrap/>
            <w:hideMark/>
          </w:tcPr>
          <w:p w14:paraId="636A0A0F"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Neutralization base solution</w:t>
            </w:r>
          </w:p>
        </w:tc>
        <w:tc>
          <w:tcPr>
            <w:tcW w:w="2404" w:type="dxa"/>
            <w:tcBorders>
              <w:top w:val="single" w:sz="4" w:space="0" w:color="BFBFBF" w:themeColor="background1" w:themeShade="BF"/>
              <w:bottom w:val="single" w:sz="4" w:space="0" w:color="BFBFBF" w:themeColor="background1" w:themeShade="BF"/>
            </w:tcBorders>
            <w:noWrap/>
            <w:hideMark/>
          </w:tcPr>
          <w:p w14:paraId="7610C686"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437</w:t>
            </w:r>
          </w:p>
        </w:tc>
      </w:tr>
      <w:tr w:rsidR="00B846AF" w:rsidRPr="00B846AF" w14:paraId="64E14E84"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2EB54794"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21</w:t>
            </w:r>
          </w:p>
        </w:tc>
        <w:tc>
          <w:tcPr>
            <w:tcW w:w="4258" w:type="dxa"/>
            <w:tcBorders>
              <w:top w:val="single" w:sz="4" w:space="0" w:color="BFBFBF" w:themeColor="background1" w:themeShade="BF"/>
              <w:bottom w:val="single" w:sz="4" w:space="0" w:color="BFBFBF" w:themeColor="background1" w:themeShade="BF"/>
            </w:tcBorders>
            <w:noWrap/>
            <w:hideMark/>
          </w:tcPr>
          <w:p w14:paraId="7B87B288"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Mass of base solution for carbonation</w:t>
            </w:r>
          </w:p>
        </w:tc>
        <w:tc>
          <w:tcPr>
            <w:tcW w:w="2404" w:type="dxa"/>
            <w:tcBorders>
              <w:top w:val="single" w:sz="4" w:space="0" w:color="BFBFBF" w:themeColor="background1" w:themeShade="BF"/>
              <w:bottom w:val="single" w:sz="4" w:space="0" w:color="BFBFBF" w:themeColor="background1" w:themeShade="BF"/>
            </w:tcBorders>
            <w:noWrap/>
            <w:hideMark/>
          </w:tcPr>
          <w:p w14:paraId="1FD90D56"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2174</w:t>
            </w:r>
          </w:p>
        </w:tc>
      </w:tr>
      <w:tr w:rsidR="00B846AF" w:rsidRPr="00B846AF" w14:paraId="4C4BF603"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328E1996"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22</w:t>
            </w:r>
          </w:p>
        </w:tc>
        <w:tc>
          <w:tcPr>
            <w:tcW w:w="4258" w:type="dxa"/>
            <w:tcBorders>
              <w:top w:val="single" w:sz="4" w:space="0" w:color="BFBFBF" w:themeColor="background1" w:themeShade="BF"/>
              <w:bottom w:val="single" w:sz="4" w:space="0" w:color="BFBFBF" w:themeColor="background1" w:themeShade="BF"/>
            </w:tcBorders>
            <w:noWrap/>
            <w:hideMark/>
          </w:tcPr>
          <w:p w14:paraId="10785E18"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Excess base production</w:t>
            </w:r>
          </w:p>
        </w:tc>
        <w:tc>
          <w:tcPr>
            <w:tcW w:w="2404" w:type="dxa"/>
            <w:tcBorders>
              <w:top w:val="single" w:sz="4" w:space="0" w:color="BFBFBF" w:themeColor="background1" w:themeShade="BF"/>
              <w:bottom w:val="single" w:sz="4" w:space="0" w:color="BFBFBF" w:themeColor="background1" w:themeShade="BF"/>
            </w:tcBorders>
            <w:noWrap/>
            <w:hideMark/>
          </w:tcPr>
          <w:p w14:paraId="74BE86F2"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63</w:t>
            </w:r>
          </w:p>
        </w:tc>
      </w:tr>
      <w:tr w:rsidR="00B846AF" w:rsidRPr="00B846AF" w14:paraId="77771AA7"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1929B3EC"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23</w:t>
            </w:r>
          </w:p>
        </w:tc>
        <w:tc>
          <w:tcPr>
            <w:tcW w:w="4258" w:type="dxa"/>
            <w:tcBorders>
              <w:top w:val="single" w:sz="4" w:space="0" w:color="BFBFBF" w:themeColor="background1" w:themeShade="BF"/>
              <w:bottom w:val="single" w:sz="4" w:space="0" w:color="BFBFBF" w:themeColor="background1" w:themeShade="BF"/>
            </w:tcBorders>
            <w:noWrap/>
            <w:hideMark/>
          </w:tcPr>
          <w:p w14:paraId="6FE82E9C"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Air mass</w:t>
            </w:r>
          </w:p>
        </w:tc>
        <w:tc>
          <w:tcPr>
            <w:tcW w:w="2404" w:type="dxa"/>
            <w:tcBorders>
              <w:top w:val="single" w:sz="4" w:space="0" w:color="BFBFBF" w:themeColor="background1" w:themeShade="BF"/>
              <w:bottom w:val="single" w:sz="4" w:space="0" w:color="BFBFBF" w:themeColor="background1" w:themeShade="BF"/>
            </w:tcBorders>
            <w:noWrap/>
            <w:hideMark/>
          </w:tcPr>
          <w:p w14:paraId="39511A9F"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72475</w:t>
            </w:r>
          </w:p>
        </w:tc>
      </w:tr>
      <w:tr w:rsidR="00B846AF" w:rsidRPr="00B846AF" w14:paraId="11148B13" w14:textId="77777777" w:rsidTr="0040567E">
        <w:trPr>
          <w:trHeight w:val="288"/>
          <w:jc w:val="center"/>
        </w:trPr>
        <w:tc>
          <w:tcPr>
            <w:tcW w:w="1838" w:type="dxa"/>
            <w:tcBorders>
              <w:top w:val="single" w:sz="4" w:space="0" w:color="BFBFBF" w:themeColor="background1" w:themeShade="BF"/>
              <w:bottom w:val="single" w:sz="4" w:space="0" w:color="BFBFBF" w:themeColor="background1" w:themeShade="BF"/>
            </w:tcBorders>
            <w:noWrap/>
            <w:hideMark/>
          </w:tcPr>
          <w:p w14:paraId="2F467127"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24</w:t>
            </w:r>
          </w:p>
        </w:tc>
        <w:tc>
          <w:tcPr>
            <w:tcW w:w="4258" w:type="dxa"/>
            <w:tcBorders>
              <w:top w:val="single" w:sz="4" w:space="0" w:color="BFBFBF" w:themeColor="background1" w:themeShade="BF"/>
              <w:bottom w:val="single" w:sz="4" w:space="0" w:color="BFBFBF" w:themeColor="background1" w:themeShade="BF"/>
            </w:tcBorders>
            <w:noWrap/>
            <w:hideMark/>
          </w:tcPr>
          <w:p w14:paraId="3C6FC201"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Total contactor solvent out</w:t>
            </w:r>
          </w:p>
        </w:tc>
        <w:tc>
          <w:tcPr>
            <w:tcW w:w="2404" w:type="dxa"/>
            <w:tcBorders>
              <w:top w:val="single" w:sz="4" w:space="0" w:color="BFBFBF" w:themeColor="background1" w:themeShade="BF"/>
              <w:bottom w:val="single" w:sz="4" w:space="0" w:color="BFBFBF" w:themeColor="background1" w:themeShade="BF"/>
            </w:tcBorders>
            <w:noWrap/>
            <w:hideMark/>
          </w:tcPr>
          <w:p w14:paraId="26727C3A"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2206</w:t>
            </w:r>
          </w:p>
        </w:tc>
      </w:tr>
      <w:tr w:rsidR="00B846AF" w:rsidRPr="00B846AF" w14:paraId="6D36559E" w14:textId="77777777" w:rsidTr="0040567E">
        <w:trPr>
          <w:trHeight w:val="288"/>
          <w:jc w:val="center"/>
        </w:trPr>
        <w:tc>
          <w:tcPr>
            <w:tcW w:w="1838" w:type="dxa"/>
            <w:tcBorders>
              <w:top w:val="single" w:sz="4" w:space="0" w:color="BFBFBF" w:themeColor="background1" w:themeShade="BF"/>
              <w:bottom w:val="single" w:sz="4" w:space="0" w:color="BFBFBF"/>
            </w:tcBorders>
            <w:noWrap/>
            <w:hideMark/>
          </w:tcPr>
          <w:p w14:paraId="5C280EC0"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25</w:t>
            </w:r>
          </w:p>
        </w:tc>
        <w:tc>
          <w:tcPr>
            <w:tcW w:w="4258" w:type="dxa"/>
            <w:tcBorders>
              <w:top w:val="single" w:sz="4" w:space="0" w:color="BFBFBF" w:themeColor="background1" w:themeShade="BF"/>
              <w:bottom w:val="single" w:sz="4" w:space="0" w:color="BFBFBF"/>
            </w:tcBorders>
            <w:noWrap/>
            <w:hideMark/>
          </w:tcPr>
          <w:p w14:paraId="07CAB418"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Total leachate after neutralization</w:t>
            </w:r>
          </w:p>
        </w:tc>
        <w:tc>
          <w:tcPr>
            <w:tcW w:w="2404" w:type="dxa"/>
            <w:tcBorders>
              <w:top w:val="single" w:sz="4" w:space="0" w:color="BFBFBF" w:themeColor="background1" w:themeShade="BF"/>
              <w:bottom w:val="single" w:sz="4" w:space="0" w:color="BFBFBF"/>
            </w:tcBorders>
            <w:noWrap/>
            <w:hideMark/>
          </w:tcPr>
          <w:p w14:paraId="066BB61E"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2035</w:t>
            </w:r>
          </w:p>
        </w:tc>
      </w:tr>
      <w:tr w:rsidR="00B846AF" w:rsidRPr="00B846AF" w14:paraId="2FFD70E7" w14:textId="77777777" w:rsidTr="00AA65AE">
        <w:trPr>
          <w:trHeight w:val="288"/>
          <w:jc w:val="center"/>
        </w:trPr>
        <w:tc>
          <w:tcPr>
            <w:tcW w:w="1838" w:type="dxa"/>
            <w:tcBorders>
              <w:top w:val="single" w:sz="4" w:space="0" w:color="BFBFBF"/>
              <w:bottom w:val="single" w:sz="4" w:space="0" w:color="auto"/>
            </w:tcBorders>
            <w:noWrap/>
            <w:hideMark/>
          </w:tcPr>
          <w:p w14:paraId="587F7B7E"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26</w:t>
            </w:r>
          </w:p>
        </w:tc>
        <w:tc>
          <w:tcPr>
            <w:tcW w:w="4258" w:type="dxa"/>
            <w:tcBorders>
              <w:top w:val="single" w:sz="4" w:space="0" w:color="BFBFBF"/>
              <w:bottom w:val="single" w:sz="4" w:space="0" w:color="auto"/>
            </w:tcBorders>
            <w:noWrap/>
            <w:hideMark/>
          </w:tcPr>
          <w:p w14:paraId="2DB17C99"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Total Mass of precipitate</w:t>
            </w:r>
          </w:p>
        </w:tc>
        <w:tc>
          <w:tcPr>
            <w:tcW w:w="2404" w:type="dxa"/>
            <w:tcBorders>
              <w:top w:val="single" w:sz="4" w:space="0" w:color="BFBFBF"/>
              <w:bottom w:val="single" w:sz="4" w:space="0" w:color="auto"/>
            </w:tcBorders>
            <w:noWrap/>
            <w:hideMark/>
          </w:tcPr>
          <w:p w14:paraId="0D05BBAC" w14:textId="77777777" w:rsidR="00B846AF" w:rsidRPr="00B846AF" w:rsidRDefault="00B846AF" w:rsidP="00B846AF">
            <w:pPr>
              <w:spacing w:line="360" w:lineRule="auto"/>
              <w:rPr>
                <w:rFonts w:ascii="Times New Roman" w:hAnsi="Times New Roman" w:cs="Times New Roman"/>
                <w:sz w:val="24"/>
                <w:szCs w:val="24"/>
              </w:rPr>
            </w:pPr>
            <w:r w:rsidRPr="00B846AF">
              <w:rPr>
                <w:rFonts w:ascii="Times New Roman" w:hAnsi="Times New Roman" w:cs="Times New Roman"/>
                <w:sz w:val="24"/>
                <w:szCs w:val="24"/>
              </w:rPr>
              <w:t>28</w:t>
            </w:r>
          </w:p>
        </w:tc>
      </w:tr>
    </w:tbl>
    <w:p w14:paraId="28E12955" w14:textId="77777777" w:rsidR="00B846AF" w:rsidRPr="00B846AF" w:rsidRDefault="00B846AF" w:rsidP="00B846AF">
      <w:pPr>
        <w:spacing w:line="360" w:lineRule="auto"/>
        <w:rPr>
          <w:rFonts w:ascii="Times New Roman" w:hAnsi="Times New Roman" w:cs="Times New Roman"/>
        </w:rPr>
      </w:pPr>
    </w:p>
    <w:p w14:paraId="60FB6C6E" w14:textId="77777777" w:rsidR="00B846AF" w:rsidRPr="00B846AF" w:rsidRDefault="00B846AF" w:rsidP="00B846AF">
      <w:pPr>
        <w:spacing w:line="360" w:lineRule="auto"/>
        <w:rPr>
          <w:rFonts w:ascii="Times New Roman" w:hAnsi="Times New Roman" w:cs="Times New Roman"/>
        </w:rPr>
      </w:pPr>
    </w:p>
    <w:p w14:paraId="287BADE6" w14:textId="77777777" w:rsidR="00B846AF" w:rsidRPr="00B846AF" w:rsidRDefault="00B846AF" w:rsidP="00B846AF">
      <w:pPr>
        <w:spacing w:line="360" w:lineRule="auto"/>
        <w:rPr>
          <w:rFonts w:ascii="Times New Roman" w:hAnsi="Times New Roman" w:cs="Times New Roman"/>
        </w:rPr>
      </w:pPr>
      <w:r w:rsidRPr="00B846AF">
        <w:rPr>
          <w:rFonts w:ascii="Times New Roman" w:hAnsi="Times New Roman" w:cs="Times New Roman"/>
        </w:rPr>
        <w:br w:type="page"/>
      </w:r>
    </w:p>
    <w:p w14:paraId="2BCB26A6" w14:textId="77777777" w:rsidR="00B846AF" w:rsidRPr="00B846AF" w:rsidRDefault="00B846AF" w:rsidP="00B846AF">
      <w:pPr>
        <w:pStyle w:val="Heading2"/>
        <w:spacing w:line="360" w:lineRule="auto"/>
        <w:jc w:val="both"/>
        <w:rPr>
          <w:rFonts w:ascii="Times New Roman" w:hAnsi="Times New Roman" w:cs="Times New Roman"/>
          <w:color w:val="auto"/>
          <w:sz w:val="24"/>
          <w:szCs w:val="24"/>
          <w:highlight w:val="yellow"/>
        </w:rPr>
        <w:sectPr w:rsidR="00B846AF" w:rsidRPr="00B846AF" w:rsidSect="0004687A">
          <w:footerReference w:type="default" r:id="rId14"/>
          <w:pgSz w:w="11906" w:h="16838"/>
          <w:pgMar w:top="851" w:right="851" w:bottom="851" w:left="851" w:header="709" w:footer="709" w:gutter="0"/>
          <w:cols w:space="708"/>
          <w:docGrid w:linePitch="360"/>
        </w:sectPr>
      </w:pPr>
    </w:p>
    <w:p w14:paraId="2B967CD5" w14:textId="77777777" w:rsidR="00B846AF" w:rsidRPr="00B846AF" w:rsidRDefault="00B846AF" w:rsidP="00B846AF">
      <w:pPr>
        <w:pStyle w:val="Heading2"/>
        <w:spacing w:line="360" w:lineRule="auto"/>
        <w:jc w:val="both"/>
        <w:rPr>
          <w:rFonts w:ascii="Times New Roman" w:hAnsi="Times New Roman" w:cs="Times New Roman"/>
          <w:b/>
          <w:bCs/>
          <w:color w:val="auto"/>
          <w:sz w:val="24"/>
          <w:szCs w:val="24"/>
        </w:rPr>
      </w:pPr>
      <w:r w:rsidRPr="00B846AF">
        <w:rPr>
          <w:rFonts w:ascii="Times New Roman" w:hAnsi="Times New Roman" w:cs="Times New Roman"/>
          <w:color w:val="auto"/>
          <w:sz w:val="24"/>
          <w:szCs w:val="24"/>
        </w:rPr>
        <w:lastRenderedPageBreak/>
        <w:t>Supplementary Table S2 |</w:t>
      </w:r>
      <w:r w:rsidRPr="00B846AF">
        <w:rPr>
          <w:rFonts w:ascii="Times New Roman" w:hAnsi="Times New Roman" w:cs="Times New Roman"/>
          <w:b/>
          <w:bCs/>
          <w:color w:val="auto"/>
          <w:sz w:val="24"/>
          <w:szCs w:val="24"/>
        </w:rPr>
        <w:t xml:space="preserve"> </w:t>
      </w:r>
      <w:r w:rsidRPr="00B846AF">
        <w:rPr>
          <w:rFonts w:ascii="Times New Roman" w:hAnsi="Times New Roman" w:cs="Times New Roman"/>
          <w:color w:val="auto"/>
          <w:sz w:val="24"/>
          <w:szCs w:val="24"/>
        </w:rPr>
        <w:t>Complete input variables for cost estimation and sensitivity analysis</w:t>
      </w:r>
    </w:p>
    <w:p w14:paraId="473FB8A4" w14:textId="77777777" w:rsidR="00B846AF" w:rsidRPr="00B846AF" w:rsidRDefault="00B846AF" w:rsidP="00B846AF">
      <w:pPr>
        <w:spacing w:line="360" w:lineRule="auto"/>
        <w:jc w:val="both"/>
        <w:rPr>
          <w:rFonts w:ascii="Times New Roman" w:hAnsi="Times New Roman" w:cs="Times New Roman"/>
        </w:rPr>
      </w:pPr>
      <w:r w:rsidRPr="00B846AF">
        <w:rPr>
          <w:rFonts w:ascii="Times New Roman" w:hAnsi="Times New Roman" w:cs="Times New Roman"/>
        </w:rPr>
        <w:t xml:space="preserve">Base, low, and high values were applied in local and global sensitivity analyses. σ corresponds to the standard deviation of the input distribution used in Monte Carlo simulations (1,000 samples). Learning rates (LR) and equivalent starting capacities </w:t>
      </w:r>
      <w:proofErr w:type="spellStart"/>
      <w:r w:rsidRPr="00B846AF">
        <w:rPr>
          <w:rFonts w:ascii="Times New Roman" w:hAnsi="Times New Roman" w:cs="Times New Roman"/>
        </w:rPr>
        <w:t>C_min</w:t>
      </w:r>
      <w:proofErr w:type="spellEnd"/>
      <w:r w:rsidRPr="00B846AF">
        <w:rPr>
          <w:rFonts w:ascii="Times New Roman" w:hAnsi="Times New Roman" w:cs="Times New Roman"/>
        </w:rPr>
        <w:t xml:space="preserve"> are included for scale-up modelling.</w:t>
      </w:r>
    </w:p>
    <w:tbl>
      <w:tblPr>
        <w:tblW w:w="0" w:type="auto"/>
        <w:tblBorders>
          <w:top w:val="single" w:sz="4" w:space="0" w:color="auto"/>
        </w:tblBorders>
        <w:tblLook w:val="04A0" w:firstRow="1" w:lastRow="0" w:firstColumn="1" w:lastColumn="0" w:noHBand="0" w:noVBand="1"/>
      </w:tblPr>
      <w:tblGrid>
        <w:gridCol w:w="1619"/>
        <w:gridCol w:w="2825"/>
        <w:gridCol w:w="1364"/>
        <w:gridCol w:w="709"/>
        <w:gridCol w:w="850"/>
        <w:gridCol w:w="696"/>
        <w:gridCol w:w="726"/>
        <w:gridCol w:w="1473"/>
        <w:gridCol w:w="1078"/>
        <w:gridCol w:w="1708"/>
        <w:gridCol w:w="910"/>
      </w:tblGrid>
      <w:tr w:rsidR="00423C58" w:rsidRPr="00B846AF" w14:paraId="028EBD16" w14:textId="77777777" w:rsidTr="00423C58">
        <w:trPr>
          <w:trHeight w:val="288"/>
        </w:trPr>
        <w:tc>
          <w:tcPr>
            <w:tcW w:w="1619" w:type="dxa"/>
            <w:vMerge w:val="restart"/>
            <w:tcBorders>
              <w:top w:val="single" w:sz="4" w:space="0" w:color="auto"/>
            </w:tcBorders>
            <w:vAlign w:val="center"/>
            <w:hideMark/>
          </w:tcPr>
          <w:p w14:paraId="729B4D6F"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Subsections</w:t>
            </w:r>
          </w:p>
        </w:tc>
        <w:tc>
          <w:tcPr>
            <w:tcW w:w="2825" w:type="dxa"/>
            <w:vMerge w:val="restart"/>
            <w:tcBorders>
              <w:top w:val="single" w:sz="4" w:space="0" w:color="auto"/>
            </w:tcBorders>
            <w:noWrap/>
            <w:vAlign w:val="center"/>
            <w:hideMark/>
          </w:tcPr>
          <w:p w14:paraId="4AF67DB4"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Item</w:t>
            </w:r>
          </w:p>
        </w:tc>
        <w:tc>
          <w:tcPr>
            <w:tcW w:w="1364" w:type="dxa"/>
            <w:vMerge w:val="restart"/>
            <w:tcBorders>
              <w:top w:val="single" w:sz="4" w:space="0" w:color="auto"/>
            </w:tcBorders>
            <w:noWrap/>
            <w:vAlign w:val="center"/>
            <w:hideMark/>
          </w:tcPr>
          <w:p w14:paraId="6D414F42"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unit</w:t>
            </w:r>
          </w:p>
        </w:tc>
        <w:tc>
          <w:tcPr>
            <w:tcW w:w="709" w:type="dxa"/>
            <w:vMerge w:val="restart"/>
            <w:tcBorders>
              <w:top w:val="single" w:sz="4" w:space="0" w:color="auto"/>
            </w:tcBorders>
            <w:noWrap/>
            <w:vAlign w:val="center"/>
            <w:hideMark/>
          </w:tcPr>
          <w:p w14:paraId="7D8A9441"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 xml:space="preserve">base </w:t>
            </w:r>
          </w:p>
        </w:tc>
        <w:tc>
          <w:tcPr>
            <w:tcW w:w="850" w:type="dxa"/>
            <w:vMerge w:val="restart"/>
            <w:tcBorders>
              <w:top w:val="single" w:sz="4" w:space="0" w:color="auto"/>
            </w:tcBorders>
            <w:noWrap/>
            <w:vAlign w:val="center"/>
            <w:hideMark/>
          </w:tcPr>
          <w:p w14:paraId="4866766D"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 xml:space="preserve">low </w:t>
            </w:r>
          </w:p>
        </w:tc>
        <w:tc>
          <w:tcPr>
            <w:tcW w:w="696" w:type="dxa"/>
            <w:vMerge w:val="restart"/>
            <w:tcBorders>
              <w:top w:val="single" w:sz="4" w:space="0" w:color="auto"/>
            </w:tcBorders>
            <w:noWrap/>
            <w:vAlign w:val="center"/>
            <w:hideMark/>
          </w:tcPr>
          <w:p w14:paraId="1DDA1455"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 xml:space="preserve">high </w:t>
            </w:r>
          </w:p>
        </w:tc>
        <w:tc>
          <w:tcPr>
            <w:tcW w:w="726" w:type="dxa"/>
            <w:vMerge w:val="restart"/>
            <w:tcBorders>
              <w:top w:val="single" w:sz="4" w:space="0" w:color="auto"/>
            </w:tcBorders>
            <w:vAlign w:val="center"/>
            <w:hideMark/>
          </w:tcPr>
          <w:p w14:paraId="524AC776"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σ</w:t>
            </w:r>
          </w:p>
        </w:tc>
        <w:tc>
          <w:tcPr>
            <w:tcW w:w="2551" w:type="dxa"/>
            <w:gridSpan w:val="2"/>
            <w:tcBorders>
              <w:top w:val="single" w:sz="4" w:space="0" w:color="auto"/>
              <w:bottom w:val="single" w:sz="4" w:space="0" w:color="BFBFBF" w:themeColor="background1" w:themeShade="BF"/>
            </w:tcBorders>
            <w:vAlign w:val="center"/>
            <w:hideMark/>
          </w:tcPr>
          <w:p w14:paraId="19D2D7C1"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LR</w:t>
            </w:r>
          </w:p>
        </w:tc>
        <w:tc>
          <w:tcPr>
            <w:tcW w:w="2618" w:type="dxa"/>
            <w:gridSpan w:val="2"/>
            <w:tcBorders>
              <w:top w:val="single" w:sz="4" w:space="0" w:color="auto"/>
              <w:bottom w:val="single" w:sz="4" w:space="0" w:color="BFBFBF" w:themeColor="background1" w:themeShade="BF"/>
            </w:tcBorders>
            <w:noWrap/>
            <w:vAlign w:val="center"/>
            <w:hideMark/>
          </w:tcPr>
          <w:p w14:paraId="48ABD171"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 xml:space="preserve">Equivalent starting capacity </w:t>
            </w:r>
            <w:proofErr w:type="spellStart"/>
            <w:r w:rsidRPr="00B846AF">
              <w:rPr>
                <w:rFonts w:ascii="Times New Roman" w:eastAsia="Times New Roman" w:hAnsi="Times New Roman" w:cs="Times New Roman"/>
                <w:b/>
                <w:bCs/>
                <w:kern w:val="0"/>
                <w14:ligatures w14:val="none"/>
              </w:rPr>
              <w:t>C_min</w:t>
            </w:r>
            <w:proofErr w:type="spellEnd"/>
            <w:r w:rsidRPr="00B846AF">
              <w:rPr>
                <w:rFonts w:ascii="Times New Roman" w:eastAsia="Times New Roman" w:hAnsi="Times New Roman" w:cs="Times New Roman"/>
                <w:b/>
                <w:bCs/>
                <w:kern w:val="0"/>
                <w14:ligatures w14:val="none"/>
              </w:rPr>
              <w:t xml:space="preserve"> (Mt tailings)</w:t>
            </w:r>
          </w:p>
        </w:tc>
      </w:tr>
      <w:tr w:rsidR="00423C58" w:rsidRPr="00B846AF" w14:paraId="50F31221" w14:textId="77777777" w:rsidTr="00423C58">
        <w:trPr>
          <w:trHeight w:val="288"/>
        </w:trPr>
        <w:tc>
          <w:tcPr>
            <w:tcW w:w="1619" w:type="dxa"/>
            <w:vMerge/>
            <w:tcBorders>
              <w:top w:val="nil"/>
              <w:bottom w:val="single" w:sz="4" w:space="0" w:color="auto"/>
            </w:tcBorders>
            <w:vAlign w:val="center"/>
            <w:hideMark/>
          </w:tcPr>
          <w:p w14:paraId="38F8B116" w14:textId="77777777" w:rsidR="00B846AF" w:rsidRPr="00B846AF" w:rsidRDefault="00B846AF" w:rsidP="00B846AF">
            <w:pPr>
              <w:spacing w:after="0" w:line="360" w:lineRule="auto"/>
              <w:rPr>
                <w:rFonts w:ascii="Times New Roman" w:eastAsia="Times New Roman" w:hAnsi="Times New Roman" w:cs="Times New Roman"/>
                <w:b/>
                <w:bCs/>
                <w:kern w:val="0"/>
                <w14:ligatures w14:val="none"/>
              </w:rPr>
            </w:pPr>
          </w:p>
        </w:tc>
        <w:tc>
          <w:tcPr>
            <w:tcW w:w="2825" w:type="dxa"/>
            <w:vMerge/>
            <w:tcBorders>
              <w:top w:val="nil"/>
              <w:bottom w:val="single" w:sz="4" w:space="0" w:color="auto"/>
            </w:tcBorders>
            <w:vAlign w:val="center"/>
            <w:hideMark/>
          </w:tcPr>
          <w:p w14:paraId="37AE6665" w14:textId="77777777" w:rsidR="00B846AF" w:rsidRPr="00B846AF" w:rsidRDefault="00B846AF" w:rsidP="00B846AF">
            <w:pPr>
              <w:spacing w:after="0" w:line="360" w:lineRule="auto"/>
              <w:rPr>
                <w:rFonts w:ascii="Times New Roman" w:eastAsia="Times New Roman" w:hAnsi="Times New Roman" w:cs="Times New Roman"/>
                <w:b/>
                <w:bCs/>
                <w:kern w:val="0"/>
                <w14:ligatures w14:val="none"/>
              </w:rPr>
            </w:pPr>
          </w:p>
        </w:tc>
        <w:tc>
          <w:tcPr>
            <w:tcW w:w="1364" w:type="dxa"/>
            <w:vMerge/>
            <w:tcBorders>
              <w:top w:val="nil"/>
              <w:bottom w:val="single" w:sz="4" w:space="0" w:color="auto"/>
            </w:tcBorders>
            <w:vAlign w:val="center"/>
            <w:hideMark/>
          </w:tcPr>
          <w:p w14:paraId="389B1386" w14:textId="77777777" w:rsidR="00B846AF" w:rsidRPr="00B846AF" w:rsidRDefault="00B846AF" w:rsidP="00B846AF">
            <w:pPr>
              <w:spacing w:after="0" w:line="360" w:lineRule="auto"/>
              <w:rPr>
                <w:rFonts w:ascii="Times New Roman" w:eastAsia="Times New Roman" w:hAnsi="Times New Roman" w:cs="Times New Roman"/>
                <w:b/>
                <w:bCs/>
                <w:kern w:val="0"/>
                <w14:ligatures w14:val="none"/>
              </w:rPr>
            </w:pPr>
          </w:p>
        </w:tc>
        <w:tc>
          <w:tcPr>
            <w:tcW w:w="709" w:type="dxa"/>
            <w:vMerge/>
            <w:tcBorders>
              <w:top w:val="nil"/>
              <w:bottom w:val="single" w:sz="4" w:space="0" w:color="auto"/>
            </w:tcBorders>
            <w:vAlign w:val="center"/>
            <w:hideMark/>
          </w:tcPr>
          <w:p w14:paraId="3048C58F" w14:textId="77777777" w:rsidR="00B846AF" w:rsidRPr="00B846AF" w:rsidRDefault="00B846AF" w:rsidP="00B846AF">
            <w:pPr>
              <w:spacing w:after="0" w:line="360" w:lineRule="auto"/>
              <w:rPr>
                <w:rFonts w:ascii="Times New Roman" w:eastAsia="Times New Roman" w:hAnsi="Times New Roman" w:cs="Times New Roman"/>
                <w:b/>
                <w:bCs/>
                <w:kern w:val="0"/>
                <w14:ligatures w14:val="none"/>
              </w:rPr>
            </w:pPr>
          </w:p>
        </w:tc>
        <w:tc>
          <w:tcPr>
            <w:tcW w:w="850" w:type="dxa"/>
            <w:vMerge/>
            <w:tcBorders>
              <w:top w:val="nil"/>
              <w:bottom w:val="single" w:sz="4" w:space="0" w:color="auto"/>
            </w:tcBorders>
            <w:vAlign w:val="center"/>
            <w:hideMark/>
          </w:tcPr>
          <w:p w14:paraId="72CFDC88" w14:textId="77777777" w:rsidR="00B846AF" w:rsidRPr="00B846AF" w:rsidRDefault="00B846AF" w:rsidP="00B846AF">
            <w:pPr>
              <w:spacing w:after="0" w:line="360" w:lineRule="auto"/>
              <w:rPr>
                <w:rFonts w:ascii="Times New Roman" w:eastAsia="Times New Roman" w:hAnsi="Times New Roman" w:cs="Times New Roman"/>
                <w:b/>
                <w:bCs/>
                <w:kern w:val="0"/>
                <w14:ligatures w14:val="none"/>
              </w:rPr>
            </w:pPr>
          </w:p>
        </w:tc>
        <w:tc>
          <w:tcPr>
            <w:tcW w:w="696" w:type="dxa"/>
            <w:vMerge/>
            <w:tcBorders>
              <w:top w:val="nil"/>
              <w:bottom w:val="single" w:sz="4" w:space="0" w:color="auto"/>
            </w:tcBorders>
            <w:vAlign w:val="center"/>
            <w:hideMark/>
          </w:tcPr>
          <w:p w14:paraId="2B4C4897" w14:textId="77777777" w:rsidR="00B846AF" w:rsidRPr="00B846AF" w:rsidRDefault="00B846AF" w:rsidP="00B846AF">
            <w:pPr>
              <w:spacing w:after="0" w:line="360" w:lineRule="auto"/>
              <w:rPr>
                <w:rFonts w:ascii="Times New Roman" w:eastAsia="Times New Roman" w:hAnsi="Times New Roman" w:cs="Times New Roman"/>
                <w:b/>
                <w:bCs/>
                <w:kern w:val="0"/>
                <w14:ligatures w14:val="none"/>
              </w:rPr>
            </w:pPr>
          </w:p>
        </w:tc>
        <w:tc>
          <w:tcPr>
            <w:tcW w:w="726" w:type="dxa"/>
            <w:vMerge/>
            <w:tcBorders>
              <w:top w:val="nil"/>
              <w:bottom w:val="single" w:sz="4" w:space="0" w:color="auto"/>
            </w:tcBorders>
            <w:vAlign w:val="center"/>
            <w:hideMark/>
          </w:tcPr>
          <w:p w14:paraId="28899403" w14:textId="77777777" w:rsidR="00B846AF" w:rsidRPr="00B846AF" w:rsidRDefault="00B846AF" w:rsidP="00B846AF">
            <w:pPr>
              <w:spacing w:after="0" w:line="360" w:lineRule="auto"/>
              <w:rPr>
                <w:rFonts w:ascii="Times New Roman" w:eastAsia="Times New Roman" w:hAnsi="Times New Roman" w:cs="Times New Roman"/>
                <w:b/>
                <w:bCs/>
                <w:kern w:val="0"/>
                <w14:ligatures w14:val="none"/>
              </w:rPr>
            </w:pPr>
          </w:p>
        </w:tc>
        <w:tc>
          <w:tcPr>
            <w:tcW w:w="1473" w:type="dxa"/>
            <w:tcBorders>
              <w:top w:val="single" w:sz="4" w:space="0" w:color="BFBFBF" w:themeColor="background1" w:themeShade="BF"/>
              <w:bottom w:val="single" w:sz="4" w:space="0" w:color="auto"/>
            </w:tcBorders>
            <w:vAlign w:val="center"/>
            <w:hideMark/>
          </w:tcPr>
          <w:p w14:paraId="40FFF1AF"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 xml:space="preserve">Capital cost </w:t>
            </w:r>
          </w:p>
        </w:tc>
        <w:tc>
          <w:tcPr>
            <w:tcW w:w="1078" w:type="dxa"/>
            <w:tcBorders>
              <w:top w:val="single" w:sz="4" w:space="0" w:color="BFBFBF" w:themeColor="background1" w:themeShade="BF"/>
              <w:bottom w:val="single" w:sz="4" w:space="0" w:color="auto"/>
            </w:tcBorders>
            <w:vAlign w:val="center"/>
            <w:hideMark/>
          </w:tcPr>
          <w:p w14:paraId="35E7A210"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O&amp;M cost***</w:t>
            </w:r>
          </w:p>
        </w:tc>
        <w:tc>
          <w:tcPr>
            <w:tcW w:w="1708" w:type="dxa"/>
            <w:tcBorders>
              <w:top w:val="single" w:sz="4" w:space="0" w:color="BFBFBF" w:themeColor="background1" w:themeShade="BF"/>
              <w:bottom w:val="single" w:sz="4" w:space="0" w:color="auto"/>
            </w:tcBorders>
            <w:noWrap/>
            <w:vAlign w:val="center"/>
            <w:hideMark/>
          </w:tcPr>
          <w:p w14:paraId="12411156"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 xml:space="preserve">Current capacity  </w:t>
            </w:r>
          </w:p>
        </w:tc>
        <w:tc>
          <w:tcPr>
            <w:tcW w:w="910" w:type="dxa"/>
            <w:tcBorders>
              <w:top w:val="single" w:sz="4" w:space="0" w:color="BFBFBF" w:themeColor="background1" w:themeShade="BF"/>
              <w:bottom w:val="single" w:sz="4" w:space="0" w:color="auto"/>
            </w:tcBorders>
            <w:vAlign w:val="center"/>
            <w:hideMark/>
          </w:tcPr>
          <w:p w14:paraId="6542DBB1" w14:textId="77777777" w:rsidR="00B846AF" w:rsidRPr="00B846AF" w:rsidRDefault="00B846AF" w:rsidP="00B846AF">
            <w:pPr>
              <w:spacing w:after="0" w:line="360" w:lineRule="auto"/>
              <w:jc w:val="center"/>
              <w:rPr>
                <w:rFonts w:ascii="Times New Roman" w:eastAsia="Times New Roman" w:hAnsi="Times New Roman" w:cs="Times New Roman"/>
                <w:b/>
                <w:bCs/>
                <w:kern w:val="0"/>
                <w14:ligatures w14:val="none"/>
              </w:rPr>
            </w:pPr>
            <w:proofErr w:type="spellStart"/>
            <w:r w:rsidRPr="00B846AF">
              <w:rPr>
                <w:rFonts w:ascii="Times New Roman" w:eastAsia="Times New Roman" w:hAnsi="Times New Roman" w:cs="Times New Roman"/>
                <w:b/>
                <w:bCs/>
                <w:kern w:val="0"/>
                <w14:ligatures w14:val="none"/>
              </w:rPr>
              <w:t>C_min</w:t>
            </w:r>
            <w:proofErr w:type="spellEnd"/>
          </w:p>
        </w:tc>
      </w:tr>
      <w:tr w:rsidR="00423C58" w:rsidRPr="00B846AF" w14:paraId="284C0B9E" w14:textId="77777777" w:rsidTr="00423C58">
        <w:trPr>
          <w:trHeight w:val="636"/>
        </w:trPr>
        <w:tc>
          <w:tcPr>
            <w:tcW w:w="1619" w:type="dxa"/>
            <w:vMerge w:val="restart"/>
            <w:tcBorders>
              <w:top w:val="single" w:sz="4" w:space="0" w:color="auto"/>
            </w:tcBorders>
            <w:vAlign w:val="center"/>
            <w:hideMark/>
          </w:tcPr>
          <w:p w14:paraId="180B6D5C"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Heap leaching</w:t>
            </w:r>
          </w:p>
        </w:tc>
        <w:tc>
          <w:tcPr>
            <w:tcW w:w="2825" w:type="dxa"/>
            <w:tcBorders>
              <w:top w:val="single" w:sz="4" w:space="0" w:color="auto"/>
            </w:tcBorders>
            <w:noWrap/>
            <w:vAlign w:val="center"/>
            <w:hideMark/>
          </w:tcPr>
          <w:p w14:paraId="096F0F15"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Treatment capacity</w:t>
            </w:r>
          </w:p>
        </w:tc>
        <w:tc>
          <w:tcPr>
            <w:tcW w:w="1364" w:type="dxa"/>
            <w:tcBorders>
              <w:top w:val="single" w:sz="4" w:space="0" w:color="auto"/>
            </w:tcBorders>
            <w:noWrap/>
            <w:vAlign w:val="center"/>
            <w:hideMark/>
          </w:tcPr>
          <w:p w14:paraId="04A25600"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t/day</w:t>
            </w:r>
          </w:p>
        </w:tc>
        <w:tc>
          <w:tcPr>
            <w:tcW w:w="709" w:type="dxa"/>
            <w:tcBorders>
              <w:top w:val="single" w:sz="4" w:space="0" w:color="auto"/>
            </w:tcBorders>
            <w:vAlign w:val="center"/>
            <w:hideMark/>
          </w:tcPr>
          <w:p w14:paraId="62C9E868"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100</w:t>
            </w:r>
          </w:p>
        </w:tc>
        <w:tc>
          <w:tcPr>
            <w:tcW w:w="850" w:type="dxa"/>
            <w:tcBorders>
              <w:top w:val="single" w:sz="4" w:space="0" w:color="auto"/>
            </w:tcBorders>
            <w:noWrap/>
            <w:vAlign w:val="center"/>
            <w:hideMark/>
          </w:tcPr>
          <w:p w14:paraId="76E5D6A3"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w:t>
            </w:r>
          </w:p>
        </w:tc>
        <w:tc>
          <w:tcPr>
            <w:tcW w:w="696" w:type="dxa"/>
            <w:tcBorders>
              <w:top w:val="single" w:sz="4" w:space="0" w:color="auto"/>
            </w:tcBorders>
            <w:vAlign w:val="center"/>
            <w:hideMark/>
          </w:tcPr>
          <w:p w14:paraId="6A682AE4"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200</w:t>
            </w:r>
          </w:p>
        </w:tc>
        <w:tc>
          <w:tcPr>
            <w:tcW w:w="726" w:type="dxa"/>
            <w:tcBorders>
              <w:top w:val="single" w:sz="4" w:space="0" w:color="auto"/>
            </w:tcBorders>
            <w:vAlign w:val="center"/>
            <w:hideMark/>
          </w:tcPr>
          <w:p w14:paraId="39425A73"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w:t>
            </w:r>
          </w:p>
        </w:tc>
        <w:tc>
          <w:tcPr>
            <w:tcW w:w="1473" w:type="dxa"/>
            <w:vMerge w:val="restart"/>
            <w:tcBorders>
              <w:top w:val="single" w:sz="4" w:space="0" w:color="auto"/>
              <w:bottom w:val="single" w:sz="4" w:space="0" w:color="BFBFBF" w:themeColor="background1" w:themeShade="BF"/>
            </w:tcBorders>
            <w:noWrap/>
            <w:vAlign w:val="center"/>
            <w:hideMark/>
          </w:tcPr>
          <w:p w14:paraId="4194BDA7" w14:textId="215A995D"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1%-5%</w:t>
            </w:r>
            <w:r w:rsidRPr="00B846AF">
              <w:rPr>
                <w:rFonts w:ascii="Times New Roman" w:eastAsia="Times New Roman" w:hAnsi="Times New Roman" w:cs="Times New Roman"/>
              </w:rPr>
              <w:fldChar w:fldCharType="begin"/>
            </w:r>
            <w:r w:rsidR="007C2590">
              <w:rPr>
                <w:rFonts w:ascii="Times New Roman" w:eastAsia="Times New Roman" w:hAnsi="Times New Roman" w:cs="Times New Roman"/>
              </w:rPr>
              <w:instrText xml:space="preserve"> ADDIN ZOTERO_ITEM CSL_CITATION {"citationID":"V6v89nWM","properties":{"formattedCitation":"\\super 5,6\\nosupersub{}","plainCitation":"5,6","noteIndex":0},"citationItems":[{"id":390,"uris":["http://zotero.org/users/12559992/items/GYTGKXK9"],"itemData":{"id":390,"type":"article-journal","abstract":"Comparisons of emerging carbon capture and utilization (CCU) technologies with equivalent incumbent technologies are necessary to support technology developers and to help policy-makers design appropriate long-term incentives to mitigate climate change through the deployment of CCU. In particular, early-stage CCU technologies must prove their economic viability and environmental reduction potential compared to already-deployed technologies. These comparisons can be misleading, as emerging technologies typically experience a drastic increase in performance and decrease in cost and greenhouse gas emissions as they develop from research to mass-market deployment due to various forms of learning. These changes complicate the interpretation of early techno-economic assessments (TEAs) and life cycle assessments (LCAs) of emerging CCU technologies. The effects of learning over time or cumulative production themselves can be quantitatively described using technology learning curves (TLCs). While learning curve approaches have been developed for various technologies, a harmonized methodology for using TLCs in TEA and LCA for CCU in particular is required. To address this, we describe a methodology that incorporates TLCs into TEA and LCA to forecast the environmental and economic performance of emerging CCU technologies. This methodology is based on both an evaluation of the state of the art of learning curve assessment and a literature review of TLC approaches developed in various manufacturing and energy generation sectors. Additionally, we demonstrate how to implement this methodology using a case study on a CO2 mineralization pathway. Finally, commentary is provided on how researchers, technology developers, and LCA and TEA practitioners can advance the use of TLCs to allow for consistent, high-resolution modeling of technological learning for CCU going forward and enable holistic assessments and fairer comparisons with other climate technologies.","container-title":"Frontiers in Climate","DOI":"10.3389/fclim.2022.820261","ISSN":"2624-9553","language":"English","note":"Institution: National Renewable Energy Lab. (NREL), Golden, CO (United States); National Energy Technology Laboratory (NETL), Pittsburgh, PA, Morgantown, WV, and Albany, OR (United States)\nnumber: NREL/JA-5100-82943\npublisher: Frontiers Media S.A.","source":"www.osti.gov","title":"Adapting Technology Learning Curves for Prospective Techno-Economic and Life Cycle Assessments of Emerging Carbon Capture and Utilization Pathways","URL":"https://www.osti.gov/biblio/1868500","volume":"4","author":[{"family":"Faber","given":"Grant"},{"family":"Ruttinger","given":"Andrew"},{"family":"Strunge","given":"Till"},{"family":"Langhorst","given":"Tim"},{"family":"Zimmermann","given":"Arno"},{"family":"Hulst","given":"Mitchell","non-dropping-particle":"van der"},{"family":"Bensebaa","given":"Farid"},{"family":"Moni","given":"Sheikh"},{"family":"Tao","given":"Ling"}],"accessed":{"date-parts":[["2024",3,19]]},"issued":{"date-parts":[["2022",4,14]]}}},{"id":209,"uris":["http://zotero.org/users/12559992/items/33GWNKTY"],"itemData":{"id":209,"type":"report","language":"en","note":"DOI: 10.2172/1779820","number":"None, 1779820","page":"None, 1779820","source":"DOI.org (Crossref)","title":"Towards improved guidelines for cost evaluation of carbon capture and storage","URL":"https://www.osti.gov/servlets/purl/1779820/","author":[{"family":"Roussanaly","given":"Simon"},{"family":"Rubin","given":"Edward"},{"family":"Der Spek","given":"Mijndert"},{"family":"Booras","given":"George"},{"family":"Berghout","given":"Niels"},{"family":"Fout","given":"Timothy"},{"family":"Garcia","given":"Monica"},{"family":"Gardarsdottir","given":"Stefania"},{"family":"Kuncheekanna","given":"Vishalini"},{"family":"Matuszewski","given":"Michael"},{"family":"McCoy","given":"Sean"},{"family":"Morgan","given":"Joshua"},{"family":"Nazir","given":"Shareq"},{"family":"Ramirez","given":"Andrea"}],"accessed":{"date-parts":[["2023",11,16]]},"issued":{"date-parts":[["2021",3,1]]}}}],"schema":"https://github.com/citation-style-language/schema/raw/master/csl-citation.json"} </w:instrText>
            </w:r>
            <w:r w:rsidRPr="00B846AF">
              <w:rPr>
                <w:rFonts w:ascii="Times New Roman" w:eastAsia="Times New Roman" w:hAnsi="Times New Roman" w:cs="Times New Roman"/>
              </w:rPr>
              <w:fldChar w:fldCharType="separate"/>
            </w:r>
            <w:r w:rsidR="007C2590" w:rsidRPr="007C2590">
              <w:rPr>
                <w:rFonts w:ascii="Times New Roman" w:hAnsi="Times New Roman" w:cs="Times New Roman"/>
                <w:kern w:val="0"/>
                <w:vertAlign w:val="superscript"/>
              </w:rPr>
              <w:t>5,6</w:t>
            </w:r>
            <w:r w:rsidRPr="00B846AF">
              <w:rPr>
                <w:rFonts w:ascii="Times New Roman" w:eastAsia="Times New Roman" w:hAnsi="Times New Roman" w:cs="Times New Roman"/>
              </w:rPr>
              <w:fldChar w:fldCharType="end"/>
            </w:r>
          </w:p>
        </w:tc>
        <w:tc>
          <w:tcPr>
            <w:tcW w:w="1078" w:type="dxa"/>
            <w:vMerge w:val="restart"/>
            <w:tcBorders>
              <w:top w:val="single" w:sz="4" w:space="0" w:color="auto"/>
              <w:bottom w:val="single" w:sz="4" w:space="0" w:color="BFBFBF" w:themeColor="background1" w:themeShade="BF"/>
            </w:tcBorders>
            <w:vAlign w:val="center"/>
            <w:hideMark/>
          </w:tcPr>
          <w:p w14:paraId="023C7B46"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1708" w:type="dxa"/>
            <w:vMerge w:val="restart"/>
            <w:tcBorders>
              <w:top w:val="single" w:sz="4" w:space="0" w:color="auto"/>
              <w:bottom w:val="single" w:sz="4" w:space="0" w:color="BFBFBF" w:themeColor="background1" w:themeShade="BF"/>
            </w:tcBorders>
            <w:noWrap/>
            <w:vAlign w:val="center"/>
            <w:hideMark/>
          </w:tcPr>
          <w:p w14:paraId="6551EA78"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30 Mt tailings</w:t>
            </w:r>
          </w:p>
        </w:tc>
        <w:tc>
          <w:tcPr>
            <w:tcW w:w="910" w:type="dxa"/>
            <w:vMerge w:val="restart"/>
            <w:tcBorders>
              <w:top w:val="single" w:sz="4" w:space="0" w:color="auto"/>
              <w:bottom w:val="single" w:sz="4" w:space="0" w:color="BFBFBF" w:themeColor="background1" w:themeShade="BF"/>
            </w:tcBorders>
            <w:vAlign w:val="center"/>
            <w:hideMark/>
          </w:tcPr>
          <w:p w14:paraId="129CE6B9"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r>
      <w:tr w:rsidR="00423C58" w:rsidRPr="00B846AF" w14:paraId="7272D3D5" w14:textId="77777777" w:rsidTr="00423C58">
        <w:trPr>
          <w:trHeight w:val="312"/>
        </w:trPr>
        <w:tc>
          <w:tcPr>
            <w:tcW w:w="1619" w:type="dxa"/>
            <w:vMerge/>
            <w:tcBorders>
              <w:top w:val="nil"/>
            </w:tcBorders>
            <w:vAlign w:val="center"/>
            <w:hideMark/>
          </w:tcPr>
          <w:p w14:paraId="08668006"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2825" w:type="dxa"/>
            <w:tcBorders>
              <w:top w:val="nil"/>
            </w:tcBorders>
            <w:noWrap/>
            <w:vAlign w:val="center"/>
            <w:hideMark/>
          </w:tcPr>
          <w:p w14:paraId="5F4A0E91"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temperature</w:t>
            </w:r>
          </w:p>
        </w:tc>
        <w:tc>
          <w:tcPr>
            <w:tcW w:w="1364" w:type="dxa"/>
            <w:tcBorders>
              <w:bottom w:val="nil"/>
            </w:tcBorders>
            <w:noWrap/>
            <w:vAlign w:val="center"/>
            <w:hideMark/>
          </w:tcPr>
          <w:p w14:paraId="371DA6D8"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w:t>
            </w:r>
          </w:p>
        </w:tc>
        <w:tc>
          <w:tcPr>
            <w:tcW w:w="709" w:type="dxa"/>
            <w:tcBorders>
              <w:bottom w:val="nil"/>
            </w:tcBorders>
            <w:vAlign w:val="center"/>
            <w:hideMark/>
          </w:tcPr>
          <w:p w14:paraId="079681F7"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w:t>
            </w:r>
          </w:p>
        </w:tc>
        <w:tc>
          <w:tcPr>
            <w:tcW w:w="850" w:type="dxa"/>
            <w:tcBorders>
              <w:bottom w:val="nil"/>
            </w:tcBorders>
            <w:noWrap/>
            <w:vAlign w:val="center"/>
            <w:hideMark/>
          </w:tcPr>
          <w:p w14:paraId="34049DDF"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696" w:type="dxa"/>
            <w:tcBorders>
              <w:bottom w:val="nil"/>
            </w:tcBorders>
            <w:noWrap/>
            <w:vAlign w:val="center"/>
            <w:hideMark/>
          </w:tcPr>
          <w:p w14:paraId="3029563E"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726" w:type="dxa"/>
            <w:tcBorders>
              <w:bottom w:val="nil"/>
            </w:tcBorders>
            <w:vAlign w:val="center"/>
            <w:hideMark/>
          </w:tcPr>
          <w:p w14:paraId="3CDE6762"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w:t>
            </w:r>
          </w:p>
        </w:tc>
        <w:tc>
          <w:tcPr>
            <w:tcW w:w="1473" w:type="dxa"/>
            <w:vMerge/>
            <w:tcBorders>
              <w:top w:val="nil"/>
              <w:bottom w:val="single" w:sz="4" w:space="0" w:color="BFBFBF" w:themeColor="background1" w:themeShade="BF"/>
            </w:tcBorders>
            <w:vAlign w:val="center"/>
            <w:hideMark/>
          </w:tcPr>
          <w:p w14:paraId="3B30F2CB"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1078" w:type="dxa"/>
            <w:vMerge/>
            <w:tcBorders>
              <w:top w:val="nil"/>
              <w:bottom w:val="single" w:sz="4" w:space="0" w:color="BFBFBF" w:themeColor="background1" w:themeShade="BF"/>
            </w:tcBorders>
            <w:vAlign w:val="center"/>
            <w:hideMark/>
          </w:tcPr>
          <w:p w14:paraId="5FDF2791"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1708" w:type="dxa"/>
            <w:vMerge/>
            <w:tcBorders>
              <w:top w:val="nil"/>
              <w:bottom w:val="single" w:sz="4" w:space="0" w:color="BFBFBF" w:themeColor="background1" w:themeShade="BF"/>
            </w:tcBorders>
            <w:vAlign w:val="center"/>
            <w:hideMark/>
          </w:tcPr>
          <w:p w14:paraId="0EFDCD01"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910" w:type="dxa"/>
            <w:vMerge/>
            <w:tcBorders>
              <w:top w:val="nil"/>
              <w:bottom w:val="single" w:sz="4" w:space="0" w:color="BFBFBF" w:themeColor="background1" w:themeShade="BF"/>
            </w:tcBorders>
            <w:vAlign w:val="center"/>
            <w:hideMark/>
          </w:tcPr>
          <w:p w14:paraId="39AE6559"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r>
      <w:tr w:rsidR="00423C58" w:rsidRPr="00B846AF" w14:paraId="2183DAAB" w14:textId="77777777" w:rsidTr="00423C58">
        <w:trPr>
          <w:trHeight w:val="312"/>
        </w:trPr>
        <w:tc>
          <w:tcPr>
            <w:tcW w:w="1619" w:type="dxa"/>
            <w:vMerge/>
            <w:tcBorders>
              <w:top w:val="nil"/>
            </w:tcBorders>
            <w:vAlign w:val="center"/>
            <w:hideMark/>
          </w:tcPr>
          <w:p w14:paraId="3A357DAD"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2825" w:type="dxa"/>
            <w:tcBorders>
              <w:top w:val="nil"/>
            </w:tcBorders>
            <w:noWrap/>
            <w:vAlign w:val="center"/>
            <w:hideMark/>
          </w:tcPr>
          <w:p w14:paraId="312333E2"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Excess acid ratio</w:t>
            </w:r>
          </w:p>
        </w:tc>
        <w:tc>
          <w:tcPr>
            <w:tcW w:w="1364" w:type="dxa"/>
            <w:tcBorders>
              <w:top w:val="nil"/>
            </w:tcBorders>
            <w:noWrap/>
            <w:vAlign w:val="center"/>
            <w:hideMark/>
          </w:tcPr>
          <w:p w14:paraId="2E8A3D5E"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w:t>
            </w:r>
          </w:p>
        </w:tc>
        <w:tc>
          <w:tcPr>
            <w:tcW w:w="709" w:type="dxa"/>
            <w:tcBorders>
              <w:top w:val="nil"/>
            </w:tcBorders>
            <w:vAlign w:val="center"/>
            <w:hideMark/>
          </w:tcPr>
          <w:p w14:paraId="086117F1"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w:t>
            </w:r>
          </w:p>
        </w:tc>
        <w:tc>
          <w:tcPr>
            <w:tcW w:w="850" w:type="dxa"/>
            <w:tcBorders>
              <w:top w:val="nil"/>
            </w:tcBorders>
            <w:noWrap/>
            <w:vAlign w:val="center"/>
            <w:hideMark/>
          </w:tcPr>
          <w:p w14:paraId="0FE03565"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696" w:type="dxa"/>
            <w:tcBorders>
              <w:top w:val="nil"/>
            </w:tcBorders>
            <w:noWrap/>
            <w:vAlign w:val="center"/>
            <w:hideMark/>
          </w:tcPr>
          <w:p w14:paraId="276D2A0D"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726" w:type="dxa"/>
            <w:tcBorders>
              <w:top w:val="nil"/>
            </w:tcBorders>
            <w:vAlign w:val="center"/>
            <w:hideMark/>
          </w:tcPr>
          <w:p w14:paraId="21F2FDB4"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0.03</w:t>
            </w:r>
          </w:p>
        </w:tc>
        <w:tc>
          <w:tcPr>
            <w:tcW w:w="1473" w:type="dxa"/>
            <w:vMerge/>
            <w:tcBorders>
              <w:top w:val="nil"/>
              <w:bottom w:val="single" w:sz="4" w:space="0" w:color="BFBFBF" w:themeColor="background1" w:themeShade="BF"/>
            </w:tcBorders>
            <w:vAlign w:val="center"/>
            <w:hideMark/>
          </w:tcPr>
          <w:p w14:paraId="01FBB916"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1078" w:type="dxa"/>
            <w:vMerge/>
            <w:tcBorders>
              <w:top w:val="nil"/>
              <w:bottom w:val="single" w:sz="4" w:space="0" w:color="BFBFBF" w:themeColor="background1" w:themeShade="BF"/>
            </w:tcBorders>
            <w:vAlign w:val="center"/>
            <w:hideMark/>
          </w:tcPr>
          <w:p w14:paraId="30F83A8A"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1708" w:type="dxa"/>
            <w:vMerge/>
            <w:tcBorders>
              <w:top w:val="nil"/>
              <w:bottom w:val="single" w:sz="4" w:space="0" w:color="BFBFBF" w:themeColor="background1" w:themeShade="BF"/>
            </w:tcBorders>
            <w:vAlign w:val="center"/>
            <w:hideMark/>
          </w:tcPr>
          <w:p w14:paraId="3DEA86CB"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910" w:type="dxa"/>
            <w:vMerge/>
            <w:tcBorders>
              <w:top w:val="nil"/>
              <w:bottom w:val="single" w:sz="4" w:space="0" w:color="BFBFBF" w:themeColor="background1" w:themeShade="BF"/>
            </w:tcBorders>
            <w:vAlign w:val="center"/>
            <w:hideMark/>
          </w:tcPr>
          <w:p w14:paraId="6941EF3D"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r>
      <w:tr w:rsidR="00423C58" w:rsidRPr="00B846AF" w14:paraId="5DD566CB" w14:textId="77777777" w:rsidTr="00423C58">
        <w:trPr>
          <w:trHeight w:val="312"/>
        </w:trPr>
        <w:tc>
          <w:tcPr>
            <w:tcW w:w="1619" w:type="dxa"/>
            <w:vMerge/>
            <w:tcBorders>
              <w:top w:val="nil"/>
            </w:tcBorders>
            <w:vAlign w:val="center"/>
            <w:hideMark/>
          </w:tcPr>
          <w:p w14:paraId="5A688DFD"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2825" w:type="dxa"/>
            <w:tcBorders>
              <w:top w:val="nil"/>
            </w:tcBorders>
            <w:noWrap/>
            <w:vAlign w:val="center"/>
            <w:hideMark/>
          </w:tcPr>
          <w:p w14:paraId="781C01C4"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Molarity of acid</w:t>
            </w:r>
          </w:p>
        </w:tc>
        <w:tc>
          <w:tcPr>
            <w:tcW w:w="1364" w:type="dxa"/>
            <w:tcBorders>
              <w:top w:val="nil"/>
            </w:tcBorders>
            <w:noWrap/>
            <w:vAlign w:val="center"/>
            <w:hideMark/>
          </w:tcPr>
          <w:p w14:paraId="657CBAC1"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mol/L</w:t>
            </w:r>
          </w:p>
        </w:tc>
        <w:tc>
          <w:tcPr>
            <w:tcW w:w="709" w:type="dxa"/>
            <w:tcBorders>
              <w:top w:val="nil"/>
            </w:tcBorders>
            <w:vAlign w:val="center"/>
            <w:hideMark/>
          </w:tcPr>
          <w:p w14:paraId="7D15765F"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850" w:type="dxa"/>
            <w:tcBorders>
              <w:top w:val="nil"/>
            </w:tcBorders>
            <w:noWrap/>
            <w:vAlign w:val="center"/>
            <w:hideMark/>
          </w:tcPr>
          <w:p w14:paraId="3B6B08CF"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c>
          <w:tcPr>
            <w:tcW w:w="696" w:type="dxa"/>
            <w:tcBorders>
              <w:top w:val="nil"/>
            </w:tcBorders>
            <w:noWrap/>
            <w:vAlign w:val="center"/>
            <w:hideMark/>
          </w:tcPr>
          <w:p w14:paraId="143DAF10"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726" w:type="dxa"/>
            <w:tcBorders>
              <w:top w:val="nil"/>
            </w:tcBorders>
            <w:vAlign w:val="center"/>
            <w:hideMark/>
          </w:tcPr>
          <w:p w14:paraId="1D71C5B1"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0.18</w:t>
            </w:r>
          </w:p>
        </w:tc>
        <w:tc>
          <w:tcPr>
            <w:tcW w:w="1473" w:type="dxa"/>
            <w:vMerge/>
            <w:tcBorders>
              <w:top w:val="nil"/>
              <w:bottom w:val="single" w:sz="4" w:space="0" w:color="BFBFBF" w:themeColor="background1" w:themeShade="BF"/>
            </w:tcBorders>
            <w:vAlign w:val="center"/>
            <w:hideMark/>
          </w:tcPr>
          <w:p w14:paraId="30B9D8B7"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1078" w:type="dxa"/>
            <w:vMerge/>
            <w:tcBorders>
              <w:top w:val="nil"/>
              <w:bottom w:val="single" w:sz="4" w:space="0" w:color="BFBFBF" w:themeColor="background1" w:themeShade="BF"/>
            </w:tcBorders>
            <w:vAlign w:val="center"/>
            <w:hideMark/>
          </w:tcPr>
          <w:p w14:paraId="64BBADE9"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1708" w:type="dxa"/>
            <w:vMerge/>
            <w:tcBorders>
              <w:top w:val="nil"/>
              <w:bottom w:val="single" w:sz="4" w:space="0" w:color="BFBFBF" w:themeColor="background1" w:themeShade="BF"/>
            </w:tcBorders>
            <w:vAlign w:val="center"/>
            <w:hideMark/>
          </w:tcPr>
          <w:p w14:paraId="0F0B9DC9"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910" w:type="dxa"/>
            <w:vMerge/>
            <w:tcBorders>
              <w:top w:val="nil"/>
              <w:bottom w:val="single" w:sz="4" w:space="0" w:color="BFBFBF" w:themeColor="background1" w:themeShade="BF"/>
            </w:tcBorders>
            <w:vAlign w:val="center"/>
            <w:hideMark/>
          </w:tcPr>
          <w:p w14:paraId="4BB0EF33"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r>
      <w:tr w:rsidR="00423C58" w:rsidRPr="00B846AF" w14:paraId="23F157A4" w14:textId="77777777" w:rsidTr="00423C58">
        <w:trPr>
          <w:trHeight w:val="312"/>
        </w:trPr>
        <w:tc>
          <w:tcPr>
            <w:tcW w:w="1619" w:type="dxa"/>
            <w:vMerge/>
            <w:tcBorders>
              <w:top w:val="nil"/>
              <w:bottom w:val="single" w:sz="4" w:space="0" w:color="BFBFBF" w:themeColor="background1" w:themeShade="BF"/>
            </w:tcBorders>
            <w:vAlign w:val="center"/>
            <w:hideMark/>
          </w:tcPr>
          <w:p w14:paraId="5ED56FD5"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2825" w:type="dxa"/>
            <w:tcBorders>
              <w:top w:val="nil"/>
              <w:bottom w:val="single" w:sz="4" w:space="0" w:color="BFBFBF" w:themeColor="background1" w:themeShade="BF"/>
            </w:tcBorders>
            <w:noWrap/>
            <w:vAlign w:val="center"/>
            <w:hideMark/>
          </w:tcPr>
          <w:p w14:paraId="3D302269"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Nickel percent*</w:t>
            </w:r>
          </w:p>
        </w:tc>
        <w:tc>
          <w:tcPr>
            <w:tcW w:w="1364" w:type="dxa"/>
            <w:tcBorders>
              <w:top w:val="nil"/>
              <w:bottom w:val="single" w:sz="4" w:space="0" w:color="BFBFBF" w:themeColor="background1" w:themeShade="BF"/>
            </w:tcBorders>
            <w:noWrap/>
            <w:vAlign w:val="center"/>
            <w:hideMark/>
          </w:tcPr>
          <w:p w14:paraId="7AA4DC6D"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w:t>
            </w:r>
          </w:p>
        </w:tc>
        <w:tc>
          <w:tcPr>
            <w:tcW w:w="709" w:type="dxa"/>
            <w:tcBorders>
              <w:top w:val="nil"/>
              <w:bottom w:val="single" w:sz="4" w:space="0" w:color="BFBFBF" w:themeColor="background1" w:themeShade="BF"/>
            </w:tcBorders>
            <w:vAlign w:val="center"/>
            <w:hideMark/>
          </w:tcPr>
          <w:p w14:paraId="21A929FA"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850" w:type="dxa"/>
            <w:tcBorders>
              <w:top w:val="nil"/>
              <w:bottom w:val="single" w:sz="4" w:space="0" w:color="BFBFBF" w:themeColor="background1" w:themeShade="BF"/>
            </w:tcBorders>
            <w:noWrap/>
            <w:vAlign w:val="center"/>
            <w:hideMark/>
          </w:tcPr>
          <w:p w14:paraId="71BC1058"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696" w:type="dxa"/>
            <w:tcBorders>
              <w:top w:val="nil"/>
              <w:bottom w:val="single" w:sz="4" w:space="0" w:color="BFBFBF" w:themeColor="background1" w:themeShade="BF"/>
            </w:tcBorders>
            <w:noWrap/>
            <w:vAlign w:val="center"/>
            <w:hideMark/>
          </w:tcPr>
          <w:p w14:paraId="56CBE678"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w:t>
            </w:r>
          </w:p>
        </w:tc>
        <w:tc>
          <w:tcPr>
            <w:tcW w:w="726" w:type="dxa"/>
            <w:tcBorders>
              <w:top w:val="nil"/>
              <w:bottom w:val="single" w:sz="4" w:space="0" w:color="BFBFBF" w:themeColor="background1" w:themeShade="BF"/>
            </w:tcBorders>
            <w:vAlign w:val="center"/>
            <w:hideMark/>
          </w:tcPr>
          <w:p w14:paraId="67557603"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c>
          <w:tcPr>
            <w:tcW w:w="1473" w:type="dxa"/>
            <w:vMerge/>
            <w:tcBorders>
              <w:top w:val="nil"/>
              <w:bottom w:val="single" w:sz="4" w:space="0" w:color="BFBFBF" w:themeColor="background1" w:themeShade="BF"/>
            </w:tcBorders>
            <w:vAlign w:val="center"/>
            <w:hideMark/>
          </w:tcPr>
          <w:p w14:paraId="549D4AEC"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1078" w:type="dxa"/>
            <w:vMerge/>
            <w:tcBorders>
              <w:top w:val="nil"/>
              <w:bottom w:val="single" w:sz="4" w:space="0" w:color="BFBFBF" w:themeColor="background1" w:themeShade="BF"/>
            </w:tcBorders>
            <w:vAlign w:val="center"/>
            <w:hideMark/>
          </w:tcPr>
          <w:p w14:paraId="315026E9"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1708" w:type="dxa"/>
            <w:vMerge/>
            <w:tcBorders>
              <w:top w:val="nil"/>
              <w:bottom w:val="single" w:sz="4" w:space="0" w:color="BFBFBF" w:themeColor="background1" w:themeShade="BF"/>
            </w:tcBorders>
            <w:vAlign w:val="center"/>
            <w:hideMark/>
          </w:tcPr>
          <w:p w14:paraId="6AF1970D"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910" w:type="dxa"/>
            <w:vMerge/>
            <w:tcBorders>
              <w:top w:val="nil"/>
              <w:bottom w:val="single" w:sz="4" w:space="0" w:color="BFBFBF" w:themeColor="background1" w:themeShade="BF"/>
            </w:tcBorders>
            <w:vAlign w:val="center"/>
            <w:hideMark/>
          </w:tcPr>
          <w:p w14:paraId="513CC8D4"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r>
      <w:tr w:rsidR="00423C58" w:rsidRPr="00B846AF" w14:paraId="463165F2" w14:textId="77777777" w:rsidTr="00423C58">
        <w:trPr>
          <w:trHeight w:val="312"/>
        </w:trPr>
        <w:tc>
          <w:tcPr>
            <w:tcW w:w="1619" w:type="dxa"/>
            <w:vMerge w:val="restart"/>
            <w:tcBorders>
              <w:top w:val="single" w:sz="4" w:space="0" w:color="BFBFBF" w:themeColor="background1" w:themeShade="BF"/>
            </w:tcBorders>
            <w:vAlign w:val="center"/>
            <w:hideMark/>
          </w:tcPr>
          <w:p w14:paraId="7CBBF442"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Nickel recovery</w:t>
            </w:r>
          </w:p>
        </w:tc>
        <w:tc>
          <w:tcPr>
            <w:tcW w:w="2825" w:type="dxa"/>
            <w:tcBorders>
              <w:top w:val="single" w:sz="4" w:space="0" w:color="BFBFBF" w:themeColor="background1" w:themeShade="BF"/>
            </w:tcBorders>
            <w:noWrap/>
            <w:vAlign w:val="center"/>
            <w:hideMark/>
          </w:tcPr>
          <w:p w14:paraId="51968555"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Physical removal**</w:t>
            </w:r>
          </w:p>
        </w:tc>
        <w:tc>
          <w:tcPr>
            <w:tcW w:w="1364" w:type="dxa"/>
            <w:tcBorders>
              <w:top w:val="single" w:sz="4" w:space="0" w:color="BFBFBF" w:themeColor="background1" w:themeShade="BF"/>
              <w:bottom w:val="nil"/>
            </w:tcBorders>
            <w:noWrap/>
            <w:vAlign w:val="center"/>
            <w:hideMark/>
          </w:tcPr>
          <w:p w14:paraId="1685E360"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w:t>
            </w:r>
          </w:p>
        </w:tc>
        <w:tc>
          <w:tcPr>
            <w:tcW w:w="709" w:type="dxa"/>
            <w:tcBorders>
              <w:top w:val="single" w:sz="4" w:space="0" w:color="BFBFBF" w:themeColor="background1" w:themeShade="BF"/>
              <w:bottom w:val="nil"/>
            </w:tcBorders>
            <w:noWrap/>
            <w:vAlign w:val="center"/>
            <w:hideMark/>
          </w:tcPr>
          <w:p w14:paraId="29709705"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80</w:t>
            </w:r>
          </w:p>
        </w:tc>
        <w:tc>
          <w:tcPr>
            <w:tcW w:w="850" w:type="dxa"/>
            <w:tcBorders>
              <w:top w:val="single" w:sz="4" w:space="0" w:color="BFBFBF" w:themeColor="background1" w:themeShade="BF"/>
              <w:bottom w:val="nil"/>
            </w:tcBorders>
            <w:noWrap/>
            <w:vAlign w:val="center"/>
            <w:hideMark/>
          </w:tcPr>
          <w:p w14:paraId="5F5E56AF"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60</w:t>
            </w:r>
          </w:p>
        </w:tc>
        <w:tc>
          <w:tcPr>
            <w:tcW w:w="696" w:type="dxa"/>
            <w:tcBorders>
              <w:top w:val="single" w:sz="4" w:space="0" w:color="BFBFBF" w:themeColor="background1" w:themeShade="BF"/>
              <w:bottom w:val="nil"/>
            </w:tcBorders>
            <w:noWrap/>
            <w:vAlign w:val="center"/>
            <w:hideMark/>
          </w:tcPr>
          <w:p w14:paraId="4130566F"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95</w:t>
            </w:r>
          </w:p>
        </w:tc>
        <w:tc>
          <w:tcPr>
            <w:tcW w:w="726" w:type="dxa"/>
            <w:tcBorders>
              <w:top w:val="single" w:sz="4" w:space="0" w:color="BFBFBF" w:themeColor="background1" w:themeShade="BF"/>
              <w:bottom w:val="nil"/>
            </w:tcBorders>
            <w:vAlign w:val="center"/>
            <w:hideMark/>
          </w:tcPr>
          <w:p w14:paraId="7670B883"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w:t>
            </w:r>
          </w:p>
        </w:tc>
        <w:tc>
          <w:tcPr>
            <w:tcW w:w="1473" w:type="dxa"/>
            <w:vMerge w:val="restart"/>
            <w:tcBorders>
              <w:top w:val="single" w:sz="4" w:space="0" w:color="BFBFBF" w:themeColor="background1" w:themeShade="BF"/>
              <w:bottom w:val="single" w:sz="4" w:space="0" w:color="BFBFBF" w:themeColor="background1" w:themeShade="BF"/>
            </w:tcBorders>
            <w:noWrap/>
            <w:vAlign w:val="center"/>
            <w:hideMark/>
          </w:tcPr>
          <w:p w14:paraId="5D6371C6"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w:t>
            </w:r>
          </w:p>
        </w:tc>
        <w:tc>
          <w:tcPr>
            <w:tcW w:w="1078" w:type="dxa"/>
            <w:vMerge w:val="restart"/>
            <w:tcBorders>
              <w:top w:val="single" w:sz="4" w:space="0" w:color="BFBFBF" w:themeColor="background1" w:themeShade="BF"/>
              <w:bottom w:val="single" w:sz="4" w:space="0" w:color="BFBFBF" w:themeColor="background1" w:themeShade="BF"/>
            </w:tcBorders>
            <w:vAlign w:val="center"/>
            <w:hideMark/>
          </w:tcPr>
          <w:p w14:paraId="4B10A041"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2%-10%</w:t>
            </w:r>
          </w:p>
        </w:tc>
        <w:tc>
          <w:tcPr>
            <w:tcW w:w="1708" w:type="dxa"/>
            <w:vMerge w:val="restart"/>
            <w:tcBorders>
              <w:top w:val="single" w:sz="4" w:space="0" w:color="BFBFBF" w:themeColor="background1" w:themeShade="BF"/>
              <w:bottom w:val="single" w:sz="4" w:space="0" w:color="BFBFBF" w:themeColor="background1" w:themeShade="BF"/>
            </w:tcBorders>
            <w:noWrap/>
            <w:vAlign w:val="center"/>
            <w:hideMark/>
          </w:tcPr>
          <w:p w14:paraId="57E0C9F5"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0.033 Mt tailings</w:t>
            </w:r>
          </w:p>
        </w:tc>
        <w:tc>
          <w:tcPr>
            <w:tcW w:w="910" w:type="dxa"/>
            <w:vMerge w:val="restart"/>
            <w:tcBorders>
              <w:top w:val="single" w:sz="4" w:space="0" w:color="BFBFBF" w:themeColor="background1" w:themeShade="BF"/>
              <w:bottom w:val="single" w:sz="4" w:space="0" w:color="BFBFBF" w:themeColor="background1" w:themeShade="BF"/>
            </w:tcBorders>
            <w:noWrap/>
            <w:vAlign w:val="center"/>
            <w:hideMark/>
          </w:tcPr>
          <w:p w14:paraId="65B0AEDE"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0.033</w:t>
            </w:r>
          </w:p>
        </w:tc>
      </w:tr>
      <w:tr w:rsidR="00423C58" w:rsidRPr="00B846AF" w14:paraId="4BE56542" w14:textId="77777777" w:rsidTr="00423C58">
        <w:trPr>
          <w:trHeight w:val="312"/>
        </w:trPr>
        <w:tc>
          <w:tcPr>
            <w:tcW w:w="1619" w:type="dxa"/>
            <w:vMerge/>
            <w:tcBorders>
              <w:top w:val="nil"/>
              <w:bottom w:val="single" w:sz="4" w:space="0" w:color="BFBFBF" w:themeColor="background1" w:themeShade="BF"/>
            </w:tcBorders>
            <w:vAlign w:val="center"/>
            <w:hideMark/>
          </w:tcPr>
          <w:p w14:paraId="7020D2F2"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2825" w:type="dxa"/>
            <w:tcBorders>
              <w:top w:val="nil"/>
              <w:bottom w:val="single" w:sz="4" w:space="0" w:color="BFBFBF" w:themeColor="background1" w:themeShade="BF"/>
            </w:tcBorders>
            <w:noWrap/>
            <w:vAlign w:val="center"/>
            <w:hideMark/>
          </w:tcPr>
          <w:p w14:paraId="36498C8B"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xml:space="preserve">Nickel recovery </w:t>
            </w:r>
          </w:p>
        </w:tc>
        <w:tc>
          <w:tcPr>
            <w:tcW w:w="1364" w:type="dxa"/>
            <w:tcBorders>
              <w:top w:val="nil"/>
              <w:bottom w:val="single" w:sz="4" w:space="0" w:color="BFBFBF" w:themeColor="background1" w:themeShade="BF"/>
            </w:tcBorders>
            <w:noWrap/>
            <w:vAlign w:val="center"/>
            <w:hideMark/>
          </w:tcPr>
          <w:p w14:paraId="3EA18970"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w:t>
            </w:r>
          </w:p>
        </w:tc>
        <w:tc>
          <w:tcPr>
            <w:tcW w:w="709" w:type="dxa"/>
            <w:tcBorders>
              <w:top w:val="nil"/>
              <w:bottom w:val="single" w:sz="4" w:space="0" w:color="BFBFBF" w:themeColor="background1" w:themeShade="BF"/>
            </w:tcBorders>
            <w:noWrap/>
            <w:vAlign w:val="center"/>
            <w:hideMark/>
          </w:tcPr>
          <w:p w14:paraId="56225877"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80</w:t>
            </w:r>
          </w:p>
        </w:tc>
        <w:tc>
          <w:tcPr>
            <w:tcW w:w="850" w:type="dxa"/>
            <w:tcBorders>
              <w:top w:val="nil"/>
              <w:bottom w:val="single" w:sz="4" w:space="0" w:color="BFBFBF" w:themeColor="background1" w:themeShade="BF"/>
            </w:tcBorders>
            <w:noWrap/>
            <w:vAlign w:val="center"/>
            <w:hideMark/>
          </w:tcPr>
          <w:p w14:paraId="7EA8B1B5"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60</w:t>
            </w:r>
          </w:p>
        </w:tc>
        <w:tc>
          <w:tcPr>
            <w:tcW w:w="696" w:type="dxa"/>
            <w:tcBorders>
              <w:top w:val="nil"/>
              <w:bottom w:val="single" w:sz="4" w:space="0" w:color="BFBFBF" w:themeColor="background1" w:themeShade="BF"/>
            </w:tcBorders>
            <w:noWrap/>
            <w:vAlign w:val="center"/>
            <w:hideMark/>
          </w:tcPr>
          <w:p w14:paraId="28B65CD9"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95</w:t>
            </w:r>
          </w:p>
        </w:tc>
        <w:tc>
          <w:tcPr>
            <w:tcW w:w="726" w:type="dxa"/>
            <w:tcBorders>
              <w:top w:val="nil"/>
              <w:bottom w:val="single" w:sz="4" w:space="0" w:color="BFBFBF" w:themeColor="background1" w:themeShade="BF"/>
            </w:tcBorders>
            <w:vAlign w:val="center"/>
            <w:hideMark/>
          </w:tcPr>
          <w:p w14:paraId="7714C07A"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w:t>
            </w:r>
          </w:p>
        </w:tc>
        <w:tc>
          <w:tcPr>
            <w:tcW w:w="1473" w:type="dxa"/>
            <w:vMerge/>
            <w:tcBorders>
              <w:top w:val="nil"/>
              <w:bottom w:val="single" w:sz="4" w:space="0" w:color="BFBFBF" w:themeColor="background1" w:themeShade="BF"/>
            </w:tcBorders>
            <w:vAlign w:val="center"/>
            <w:hideMark/>
          </w:tcPr>
          <w:p w14:paraId="72290BBE"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1078" w:type="dxa"/>
            <w:vMerge/>
            <w:tcBorders>
              <w:top w:val="nil"/>
              <w:bottom w:val="single" w:sz="4" w:space="0" w:color="BFBFBF" w:themeColor="background1" w:themeShade="BF"/>
            </w:tcBorders>
            <w:vAlign w:val="center"/>
            <w:hideMark/>
          </w:tcPr>
          <w:p w14:paraId="2BB468F1"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1708" w:type="dxa"/>
            <w:vMerge/>
            <w:tcBorders>
              <w:top w:val="nil"/>
              <w:bottom w:val="single" w:sz="4" w:space="0" w:color="BFBFBF" w:themeColor="background1" w:themeShade="BF"/>
            </w:tcBorders>
            <w:vAlign w:val="center"/>
            <w:hideMark/>
          </w:tcPr>
          <w:p w14:paraId="432AB533"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910" w:type="dxa"/>
            <w:vMerge/>
            <w:tcBorders>
              <w:top w:val="nil"/>
              <w:bottom w:val="single" w:sz="4" w:space="0" w:color="BFBFBF" w:themeColor="background1" w:themeShade="BF"/>
            </w:tcBorders>
            <w:vAlign w:val="center"/>
            <w:hideMark/>
          </w:tcPr>
          <w:p w14:paraId="58764296"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r>
      <w:tr w:rsidR="00423C58" w:rsidRPr="00B846AF" w14:paraId="64C017D0" w14:textId="77777777" w:rsidTr="00423C58">
        <w:trPr>
          <w:trHeight w:val="372"/>
        </w:trPr>
        <w:tc>
          <w:tcPr>
            <w:tcW w:w="1619" w:type="dxa"/>
            <w:tcBorders>
              <w:top w:val="single" w:sz="4" w:space="0" w:color="BFBFBF" w:themeColor="background1" w:themeShade="BF"/>
              <w:bottom w:val="single" w:sz="4" w:space="0" w:color="BFBFBF" w:themeColor="background1" w:themeShade="BF"/>
            </w:tcBorders>
            <w:vAlign w:val="center"/>
            <w:hideMark/>
          </w:tcPr>
          <w:p w14:paraId="3A6A7CFA"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BPMED</w:t>
            </w:r>
          </w:p>
        </w:tc>
        <w:tc>
          <w:tcPr>
            <w:tcW w:w="2825" w:type="dxa"/>
            <w:tcBorders>
              <w:top w:val="single" w:sz="4" w:space="0" w:color="BFBFBF" w:themeColor="background1" w:themeShade="BF"/>
              <w:bottom w:val="single" w:sz="4" w:space="0" w:color="BFBFBF" w:themeColor="background1" w:themeShade="BF"/>
            </w:tcBorders>
            <w:noWrap/>
            <w:vAlign w:val="center"/>
            <w:hideMark/>
          </w:tcPr>
          <w:p w14:paraId="22496128"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xml:space="preserve">Current density </w:t>
            </w:r>
          </w:p>
        </w:tc>
        <w:tc>
          <w:tcPr>
            <w:tcW w:w="1364" w:type="dxa"/>
            <w:tcBorders>
              <w:top w:val="single" w:sz="4" w:space="0" w:color="BFBFBF" w:themeColor="background1" w:themeShade="BF"/>
              <w:bottom w:val="single" w:sz="4" w:space="0" w:color="BFBFBF" w:themeColor="background1" w:themeShade="BF"/>
            </w:tcBorders>
            <w:noWrap/>
            <w:vAlign w:val="center"/>
            <w:hideMark/>
          </w:tcPr>
          <w:p w14:paraId="7421094E"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A/m</w:t>
            </w:r>
            <w:r w:rsidRPr="00B846AF">
              <w:rPr>
                <w:rFonts w:ascii="Times New Roman" w:eastAsia="Times New Roman" w:hAnsi="Times New Roman" w:cs="Times New Roman"/>
                <w:kern w:val="0"/>
                <w:vertAlign w:val="superscript"/>
                <w14:ligatures w14:val="none"/>
              </w:rPr>
              <w:t>2</w:t>
            </w:r>
          </w:p>
        </w:tc>
        <w:tc>
          <w:tcPr>
            <w:tcW w:w="709" w:type="dxa"/>
            <w:tcBorders>
              <w:top w:val="single" w:sz="4" w:space="0" w:color="BFBFBF" w:themeColor="background1" w:themeShade="BF"/>
              <w:bottom w:val="single" w:sz="4" w:space="0" w:color="BFBFBF" w:themeColor="background1" w:themeShade="BF"/>
            </w:tcBorders>
            <w:noWrap/>
            <w:vAlign w:val="center"/>
            <w:hideMark/>
          </w:tcPr>
          <w:p w14:paraId="326EE402"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600</w:t>
            </w:r>
          </w:p>
        </w:tc>
        <w:tc>
          <w:tcPr>
            <w:tcW w:w="850" w:type="dxa"/>
            <w:tcBorders>
              <w:top w:val="single" w:sz="4" w:space="0" w:color="BFBFBF" w:themeColor="background1" w:themeShade="BF"/>
              <w:bottom w:val="single" w:sz="4" w:space="0" w:color="BFBFBF" w:themeColor="background1" w:themeShade="BF"/>
            </w:tcBorders>
            <w:noWrap/>
            <w:vAlign w:val="center"/>
            <w:hideMark/>
          </w:tcPr>
          <w:p w14:paraId="632DDF24"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300</w:t>
            </w:r>
          </w:p>
        </w:tc>
        <w:tc>
          <w:tcPr>
            <w:tcW w:w="696" w:type="dxa"/>
            <w:tcBorders>
              <w:top w:val="single" w:sz="4" w:space="0" w:color="BFBFBF" w:themeColor="background1" w:themeShade="BF"/>
              <w:bottom w:val="single" w:sz="4" w:space="0" w:color="BFBFBF" w:themeColor="background1" w:themeShade="BF"/>
            </w:tcBorders>
            <w:noWrap/>
            <w:vAlign w:val="center"/>
            <w:hideMark/>
          </w:tcPr>
          <w:p w14:paraId="71D64DAE"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1000</w:t>
            </w:r>
          </w:p>
        </w:tc>
        <w:tc>
          <w:tcPr>
            <w:tcW w:w="726" w:type="dxa"/>
            <w:tcBorders>
              <w:top w:val="single" w:sz="4" w:space="0" w:color="BFBFBF" w:themeColor="background1" w:themeShade="BF"/>
              <w:bottom w:val="single" w:sz="4" w:space="0" w:color="BFBFBF" w:themeColor="background1" w:themeShade="BF"/>
            </w:tcBorders>
            <w:vAlign w:val="center"/>
            <w:hideMark/>
          </w:tcPr>
          <w:p w14:paraId="456EF1BD"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117</w:t>
            </w:r>
          </w:p>
        </w:tc>
        <w:tc>
          <w:tcPr>
            <w:tcW w:w="1473" w:type="dxa"/>
            <w:tcBorders>
              <w:top w:val="single" w:sz="4" w:space="0" w:color="BFBFBF" w:themeColor="background1" w:themeShade="BF"/>
              <w:bottom w:val="single" w:sz="4" w:space="0" w:color="BFBFBF" w:themeColor="background1" w:themeShade="BF"/>
            </w:tcBorders>
            <w:noWrap/>
            <w:vAlign w:val="center"/>
            <w:hideMark/>
          </w:tcPr>
          <w:p w14:paraId="4C3CBE4B" w14:textId="22FCA83C"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r w:rsidRPr="00B846AF">
              <w:rPr>
                <w:rFonts w:ascii="Times New Roman" w:eastAsia="Times New Roman" w:hAnsi="Times New Roman" w:cs="Times New Roman"/>
                <w:u w:val="single"/>
              </w:rPr>
              <w:fldChar w:fldCharType="begin"/>
            </w:r>
            <w:r w:rsidR="007C2590">
              <w:rPr>
                <w:rFonts w:ascii="Times New Roman" w:eastAsia="Times New Roman" w:hAnsi="Times New Roman" w:cs="Times New Roman"/>
                <w:u w:val="single"/>
              </w:rPr>
              <w:instrText xml:space="preserve"> ADDIN ZOTERO_ITEM CSL_CITATION {"citationID":"bjKqRoGH","properties":{"formattedCitation":"\\super 7\\nosupersub{}","plainCitation":"7","noteIndex":0},"citationItems":[{"id":661,"uris":["http://zotero.org/users/12559992/items/7IIITH2S"],"itemData":{"id":661,"type":"report","title":"Innovations and cost reductions in Direct Ocean Capture","URL":"https://capturacorp.com/wp-content/uploads/2024/08/DOC-innovations-and-cost-reductions.pdf","author":[{"family":"Captura","given":""}],"issued":{"date-parts":[["2024"]]}}}],"schema":"https://github.com/citation-style-language/schema/raw/master/csl-citation.json"} </w:instrText>
            </w:r>
            <w:r w:rsidRPr="00B846AF">
              <w:rPr>
                <w:rFonts w:ascii="Times New Roman" w:eastAsia="Times New Roman" w:hAnsi="Times New Roman" w:cs="Times New Roman"/>
                <w:u w:val="single"/>
              </w:rPr>
              <w:fldChar w:fldCharType="separate"/>
            </w:r>
            <w:r w:rsidR="007C2590" w:rsidRPr="007C2590">
              <w:rPr>
                <w:rFonts w:ascii="Times New Roman" w:hAnsi="Times New Roman" w:cs="Times New Roman"/>
                <w:kern w:val="0"/>
                <w:vertAlign w:val="superscript"/>
              </w:rPr>
              <w:t>7</w:t>
            </w:r>
            <w:r w:rsidRPr="00B846AF">
              <w:rPr>
                <w:rFonts w:ascii="Times New Roman" w:eastAsia="Times New Roman" w:hAnsi="Times New Roman" w:cs="Times New Roman"/>
                <w:u w:val="single"/>
              </w:rPr>
              <w:fldChar w:fldCharType="end"/>
            </w:r>
          </w:p>
        </w:tc>
        <w:tc>
          <w:tcPr>
            <w:tcW w:w="1078" w:type="dxa"/>
            <w:tcBorders>
              <w:top w:val="single" w:sz="4" w:space="0" w:color="BFBFBF" w:themeColor="background1" w:themeShade="BF"/>
              <w:bottom w:val="single" w:sz="4" w:space="0" w:color="BFBFBF" w:themeColor="background1" w:themeShade="BF"/>
            </w:tcBorders>
            <w:vAlign w:val="center"/>
            <w:hideMark/>
          </w:tcPr>
          <w:p w14:paraId="515D2CE5"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2%-10%</w:t>
            </w:r>
          </w:p>
        </w:tc>
        <w:tc>
          <w:tcPr>
            <w:tcW w:w="1708" w:type="dxa"/>
            <w:tcBorders>
              <w:top w:val="single" w:sz="4" w:space="0" w:color="BFBFBF" w:themeColor="background1" w:themeShade="BF"/>
              <w:bottom w:val="single" w:sz="4" w:space="0" w:color="BFBFBF" w:themeColor="background1" w:themeShade="BF"/>
            </w:tcBorders>
            <w:noWrap/>
            <w:vAlign w:val="center"/>
            <w:hideMark/>
          </w:tcPr>
          <w:p w14:paraId="7E902B5F"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$ 356 million market size</w:t>
            </w:r>
          </w:p>
        </w:tc>
        <w:tc>
          <w:tcPr>
            <w:tcW w:w="910" w:type="dxa"/>
            <w:tcBorders>
              <w:top w:val="single" w:sz="4" w:space="0" w:color="BFBFBF" w:themeColor="background1" w:themeShade="BF"/>
              <w:bottom w:val="single" w:sz="4" w:space="0" w:color="BFBFBF" w:themeColor="background1" w:themeShade="BF"/>
            </w:tcBorders>
            <w:noWrap/>
            <w:vAlign w:val="center"/>
            <w:hideMark/>
          </w:tcPr>
          <w:p w14:paraId="7BDCE813"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r>
      <w:tr w:rsidR="00423C58" w:rsidRPr="00B846AF" w14:paraId="2E36E1A1" w14:textId="77777777" w:rsidTr="00423C58">
        <w:trPr>
          <w:trHeight w:val="312"/>
        </w:trPr>
        <w:tc>
          <w:tcPr>
            <w:tcW w:w="1619" w:type="dxa"/>
            <w:tcBorders>
              <w:top w:val="single" w:sz="4" w:space="0" w:color="BFBFBF" w:themeColor="background1" w:themeShade="BF"/>
              <w:bottom w:val="single" w:sz="4" w:space="0" w:color="BFBFBF" w:themeColor="background1" w:themeShade="BF"/>
            </w:tcBorders>
            <w:vAlign w:val="center"/>
            <w:hideMark/>
          </w:tcPr>
          <w:p w14:paraId="385E6A98"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Air contactor</w:t>
            </w:r>
          </w:p>
        </w:tc>
        <w:tc>
          <w:tcPr>
            <w:tcW w:w="2825" w:type="dxa"/>
            <w:tcBorders>
              <w:top w:val="single" w:sz="4" w:space="0" w:color="BFBFBF" w:themeColor="background1" w:themeShade="BF"/>
              <w:bottom w:val="single" w:sz="4" w:space="0" w:color="BFBFBF" w:themeColor="background1" w:themeShade="BF"/>
            </w:tcBorders>
            <w:noWrap/>
            <w:vAlign w:val="center"/>
            <w:hideMark/>
          </w:tcPr>
          <w:p w14:paraId="192C0F81"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L/G ratio</w:t>
            </w:r>
          </w:p>
        </w:tc>
        <w:tc>
          <w:tcPr>
            <w:tcW w:w="1364" w:type="dxa"/>
            <w:tcBorders>
              <w:top w:val="single" w:sz="4" w:space="0" w:color="BFBFBF" w:themeColor="background1" w:themeShade="BF"/>
              <w:bottom w:val="single" w:sz="4" w:space="0" w:color="BFBFBF" w:themeColor="background1" w:themeShade="BF"/>
            </w:tcBorders>
            <w:noWrap/>
            <w:vAlign w:val="center"/>
            <w:hideMark/>
          </w:tcPr>
          <w:p w14:paraId="4A5B89E0"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w:t>
            </w:r>
          </w:p>
        </w:tc>
        <w:tc>
          <w:tcPr>
            <w:tcW w:w="709" w:type="dxa"/>
            <w:tcBorders>
              <w:top w:val="single" w:sz="4" w:space="0" w:color="BFBFBF" w:themeColor="background1" w:themeShade="BF"/>
              <w:bottom w:val="single" w:sz="4" w:space="0" w:color="BFBFBF" w:themeColor="background1" w:themeShade="BF"/>
            </w:tcBorders>
            <w:noWrap/>
            <w:vAlign w:val="center"/>
            <w:hideMark/>
          </w:tcPr>
          <w:p w14:paraId="34C53130"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w:t>
            </w:r>
          </w:p>
        </w:tc>
        <w:tc>
          <w:tcPr>
            <w:tcW w:w="850" w:type="dxa"/>
            <w:tcBorders>
              <w:top w:val="single" w:sz="4" w:space="0" w:color="BFBFBF" w:themeColor="background1" w:themeShade="BF"/>
              <w:bottom w:val="single" w:sz="4" w:space="0" w:color="BFBFBF" w:themeColor="background1" w:themeShade="BF"/>
            </w:tcBorders>
            <w:noWrap/>
            <w:vAlign w:val="center"/>
            <w:hideMark/>
          </w:tcPr>
          <w:p w14:paraId="0BFCDDF9"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w:t>
            </w:r>
          </w:p>
        </w:tc>
        <w:tc>
          <w:tcPr>
            <w:tcW w:w="696" w:type="dxa"/>
            <w:tcBorders>
              <w:top w:val="single" w:sz="4" w:space="0" w:color="BFBFBF" w:themeColor="background1" w:themeShade="BF"/>
              <w:bottom w:val="single" w:sz="4" w:space="0" w:color="BFBFBF" w:themeColor="background1" w:themeShade="BF"/>
            </w:tcBorders>
            <w:noWrap/>
            <w:vAlign w:val="center"/>
            <w:hideMark/>
          </w:tcPr>
          <w:p w14:paraId="7EDC63A2"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w:t>
            </w:r>
          </w:p>
        </w:tc>
        <w:tc>
          <w:tcPr>
            <w:tcW w:w="726" w:type="dxa"/>
            <w:tcBorders>
              <w:top w:val="single" w:sz="4" w:space="0" w:color="BFBFBF" w:themeColor="background1" w:themeShade="BF"/>
              <w:bottom w:val="single" w:sz="4" w:space="0" w:color="BFBFBF" w:themeColor="background1" w:themeShade="BF"/>
            </w:tcBorders>
            <w:vAlign w:val="center"/>
            <w:hideMark/>
          </w:tcPr>
          <w:p w14:paraId="67E7374F"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w:t>
            </w:r>
          </w:p>
        </w:tc>
        <w:tc>
          <w:tcPr>
            <w:tcW w:w="1473" w:type="dxa"/>
            <w:tcBorders>
              <w:top w:val="single" w:sz="4" w:space="0" w:color="BFBFBF" w:themeColor="background1" w:themeShade="BF"/>
              <w:bottom w:val="single" w:sz="4" w:space="0" w:color="BFBFBF" w:themeColor="background1" w:themeShade="BF"/>
            </w:tcBorders>
            <w:noWrap/>
            <w:vAlign w:val="center"/>
            <w:hideMark/>
          </w:tcPr>
          <w:p w14:paraId="2C41BC79" w14:textId="605ED825"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 – 10%</w:t>
            </w:r>
            <w:r w:rsidRPr="00B846AF">
              <w:rPr>
                <w:rFonts w:ascii="Times New Roman" w:eastAsia="Times New Roman" w:hAnsi="Times New Roman" w:cs="Times New Roman"/>
              </w:rPr>
              <w:fldChar w:fldCharType="begin"/>
            </w:r>
            <w:r w:rsidR="007C2590">
              <w:rPr>
                <w:rFonts w:ascii="Times New Roman" w:eastAsia="Times New Roman" w:hAnsi="Times New Roman" w:cs="Times New Roman"/>
              </w:rPr>
              <w:instrText xml:space="preserve"> ADDIN ZOTERO_ITEM CSL_CITATION {"citationID":"rL35xqky","properties":{"formattedCitation":"\\super 6\\nosupersub{}","plainCitation":"6","noteIndex":0},"citationItems":[{"id":209,"uris":["http://zotero.org/users/12559992/items/33GWNKTY"],"itemData":{"id":209,"type":"report","language":"en","note":"DOI: 10.2172/1779820","number":"None, 1779820","page":"None, 1779820","source":"DOI.org (Crossref)","title":"Towards improved guidelines for cost evaluation of carbon capture and storage","URL":"https://www.osti.gov/servlets/purl/1779820/","author":[{"family":"Roussanaly","given":"Simon"},{"family":"Rubin","given":"Edward"},{"family":"Der Spek","given":"Mijndert"},{"family":"Booras","given":"George"},{"family":"Berghout","given":"Niels"},{"family":"Fout","given":"Timothy"},{"family":"Garcia","given":"Monica"},{"family":"Gardarsdottir","given":"Stefania"},{"family":"Kuncheekanna","given":"Vishalini"},{"family":"Matuszewski","given":"Michael"},{"family":"McCoy","given":"Sean"},{"family":"Morgan","given":"Joshua"},{"family":"Nazir","given":"Shareq"},{"family":"Ramirez","given":"Andrea"}],"accessed":{"date-parts":[["2023",11,16]]},"issued":{"date-parts":[["2021",3,1]]}}}],"schema":"https://github.com/citation-style-language/schema/raw/master/csl-citation.json"} </w:instrText>
            </w:r>
            <w:r w:rsidRPr="00B846AF">
              <w:rPr>
                <w:rFonts w:ascii="Times New Roman" w:eastAsia="Times New Roman" w:hAnsi="Times New Roman" w:cs="Times New Roman"/>
              </w:rPr>
              <w:fldChar w:fldCharType="separate"/>
            </w:r>
            <w:r w:rsidR="007C2590" w:rsidRPr="007C2590">
              <w:rPr>
                <w:rFonts w:ascii="Times New Roman" w:hAnsi="Times New Roman" w:cs="Times New Roman"/>
                <w:kern w:val="0"/>
                <w:vertAlign w:val="superscript"/>
              </w:rPr>
              <w:t>6</w:t>
            </w:r>
            <w:r w:rsidRPr="00B846AF">
              <w:rPr>
                <w:rFonts w:ascii="Times New Roman" w:eastAsia="Times New Roman" w:hAnsi="Times New Roman" w:cs="Times New Roman"/>
              </w:rPr>
              <w:fldChar w:fldCharType="end"/>
            </w:r>
          </w:p>
        </w:tc>
        <w:tc>
          <w:tcPr>
            <w:tcW w:w="1078" w:type="dxa"/>
            <w:tcBorders>
              <w:top w:val="single" w:sz="4" w:space="0" w:color="BFBFBF" w:themeColor="background1" w:themeShade="BF"/>
              <w:bottom w:val="single" w:sz="4" w:space="0" w:color="BFBFBF" w:themeColor="background1" w:themeShade="BF"/>
            </w:tcBorders>
            <w:vAlign w:val="center"/>
            <w:hideMark/>
          </w:tcPr>
          <w:p w14:paraId="70E84193"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0%-10%</w:t>
            </w:r>
          </w:p>
        </w:tc>
        <w:tc>
          <w:tcPr>
            <w:tcW w:w="1708" w:type="dxa"/>
            <w:tcBorders>
              <w:top w:val="single" w:sz="4" w:space="0" w:color="BFBFBF" w:themeColor="background1" w:themeShade="BF"/>
              <w:bottom w:val="single" w:sz="4" w:space="0" w:color="BFBFBF" w:themeColor="background1" w:themeShade="BF"/>
            </w:tcBorders>
            <w:noWrap/>
            <w:vAlign w:val="center"/>
            <w:hideMark/>
          </w:tcPr>
          <w:p w14:paraId="19289985"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59ktone CO</w:t>
            </w:r>
            <w:r w:rsidRPr="00B846AF">
              <w:rPr>
                <w:rFonts w:ascii="Times New Roman" w:eastAsia="Times New Roman" w:hAnsi="Times New Roman" w:cs="Times New Roman"/>
                <w:kern w:val="0"/>
                <w:vertAlign w:val="subscript"/>
                <w14:ligatures w14:val="none"/>
              </w:rPr>
              <w:t>2</w:t>
            </w:r>
            <w:r w:rsidRPr="00B846AF">
              <w:rPr>
                <w:rFonts w:ascii="Times New Roman" w:eastAsia="Times New Roman" w:hAnsi="Times New Roman" w:cs="Times New Roman"/>
                <w:kern w:val="0"/>
                <w14:ligatures w14:val="none"/>
              </w:rPr>
              <w:t>/yr</w:t>
            </w:r>
          </w:p>
        </w:tc>
        <w:tc>
          <w:tcPr>
            <w:tcW w:w="910" w:type="dxa"/>
            <w:tcBorders>
              <w:top w:val="single" w:sz="4" w:space="0" w:color="BFBFBF" w:themeColor="background1" w:themeShade="BF"/>
              <w:bottom w:val="single" w:sz="4" w:space="0" w:color="BFBFBF" w:themeColor="background1" w:themeShade="BF"/>
            </w:tcBorders>
            <w:noWrap/>
            <w:vAlign w:val="center"/>
            <w:hideMark/>
          </w:tcPr>
          <w:p w14:paraId="45963332"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423C58" w:rsidRPr="00B846AF" w14:paraId="07474DF0" w14:textId="77777777" w:rsidTr="00423C58">
        <w:trPr>
          <w:trHeight w:val="504"/>
        </w:trPr>
        <w:tc>
          <w:tcPr>
            <w:tcW w:w="1619" w:type="dxa"/>
            <w:vMerge w:val="restart"/>
            <w:tcBorders>
              <w:top w:val="single" w:sz="4" w:space="0" w:color="BFBFBF" w:themeColor="background1" w:themeShade="BF"/>
            </w:tcBorders>
            <w:vAlign w:val="center"/>
            <w:hideMark/>
          </w:tcPr>
          <w:p w14:paraId="0A7A9683"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lastRenderedPageBreak/>
              <w:t>Carbon mineralization</w:t>
            </w:r>
          </w:p>
        </w:tc>
        <w:tc>
          <w:tcPr>
            <w:tcW w:w="2825" w:type="dxa"/>
            <w:tcBorders>
              <w:top w:val="single" w:sz="4" w:space="0" w:color="BFBFBF" w:themeColor="background1" w:themeShade="BF"/>
            </w:tcBorders>
            <w:noWrap/>
            <w:vAlign w:val="center"/>
            <w:hideMark/>
          </w:tcPr>
          <w:p w14:paraId="1BECDBD6"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xml:space="preserve">C/Mg ratio of </w:t>
            </w:r>
          </w:p>
        </w:tc>
        <w:tc>
          <w:tcPr>
            <w:tcW w:w="1364" w:type="dxa"/>
            <w:tcBorders>
              <w:top w:val="single" w:sz="4" w:space="0" w:color="BFBFBF" w:themeColor="background1" w:themeShade="BF"/>
              <w:bottom w:val="nil"/>
            </w:tcBorders>
            <w:noWrap/>
            <w:vAlign w:val="center"/>
            <w:hideMark/>
          </w:tcPr>
          <w:p w14:paraId="68BA55B7"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w:t>
            </w:r>
          </w:p>
        </w:tc>
        <w:tc>
          <w:tcPr>
            <w:tcW w:w="709" w:type="dxa"/>
            <w:tcBorders>
              <w:top w:val="single" w:sz="4" w:space="0" w:color="BFBFBF" w:themeColor="background1" w:themeShade="BF"/>
              <w:bottom w:val="nil"/>
            </w:tcBorders>
            <w:noWrap/>
            <w:vAlign w:val="center"/>
            <w:hideMark/>
          </w:tcPr>
          <w:p w14:paraId="4F77376E"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850" w:type="dxa"/>
            <w:tcBorders>
              <w:top w:val="single" w:sz="4" w:space="0" w:color="BFBFBF" w:themeColor="background1" w:themeShade="BF"/>
              <w:bottom w:val="nil"/>
            </w:tcBorders>
            <w:noWrap/>
            <w:vAlign w:val="center"/>
            <w:hideMark/>
          </w:tcPr>
          <w:p w14:paraId="2B964AA8"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c>
          <w:tcPr>
            <w:tcW w:w="696" w:type="dxa"/>
            <w:tcBorders>
              <w:top w:val="single" w:sz="4" w:space="0" w:color="BFBFBF" w:themeColor="background1" w:themeShade="BF"/>
              <w:bottom w:val="nil"/>
            </w:tcBorders>
            <w:noWrap/>
            <w:vAlign w:val="center"/>
            <w:hideMark/>
          </w:tcPr>
          <w:p w14:paraId="3FBAE4C0"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w:t>
            </w:r>
          </w:p>
        </w:tc>
        <w:tc>
          <w:tcPr>
            <w:tcW w:w="726" w:type="dxa"/>
            <w:tcBorders>
              <w:top w:val="single" w:sz="4" w:space="0" w:color="BFBFBF" w:themeColor="background1" w:themeShade="BF"/>
              <w:bottom w:val="nil"/>
            </w:tcBorders>
            <w:vAlign w:val="center"/>
            <w:hideMark/>
          </w:tcPr>
          <w:p w14:paraId="7FE66BCB"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0.1</w:t>
            </w:r>
          </w:p>
        </w:tc>
        <w:tc>
          <w:tcPr>
            <w:tcW w:w="1473" w:type="dxa"/>
            <w:vMerge w:val="restart"/>
            <w:tcBorders>
              <w:top w:val="single" w:sz="4" w:space="0" w:color="BFBFBF" w:themeColor="background1" w:themeShade="BF"/>
              <w:bottom w:val="single" w:sz="4" w:space="0" w:color="BFBFBF" w:themeColor="background1" w:themeShade="BF"/>
            </w:tcBorders>
            <w:noWrap/>
            <w:vAlign w:val="center"/>
            <w:hideMark/>
          </w:tcPr>
          <w:p w14:paraId="45C246FA" w14:textId="13466226"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10%-15%</w:t>
            </w:r>
            <w:r w:rsidRPr="00B846AF">
              <w:rPr>
                <w:rFonts w:ascii="Times New Roman" w:eastAsia="Times New Roman" w:hAnsi="Times New Roman" w:cs="Times New Roman"/>
                <w:u w:val="single"/>
              </w:rPr>
              <w:fldChar w:fldCharType="begin"/>
            </w:r>
            <w:r w:rsidR="007C2590">
              <w:rPr>
                <w:rFonts w:ascii="Times New Roman" w:eastAsia="Times New Roman" w:hAnsi="Times New Roman" w:cs="Times New Roman"/>
                <w:u w:val="single"/>
              </w:rPr>
              <w:instrText xml:space="preserve"> ADDIN ZOTERO_ITEM CSL_CITATION {"citationID":"HWWkkRL5","properties":{"formattedCitation":"\\super 5,8\\uc0\\u8211{}11\\nosupersub{}","plainCitation":"5,8–11","noteIndex":0},"citationItems":[{"id":656,"uris":["http://zotero.org/users/12559992/items/TWMCY5L8"],"itemData":{"id":656,"type":"article-journal","abstract":"Christian Breyer is Professor for Solar Economy at LUT University, Finland. His major expertise is research of technological and economic characteristics of renewable energy systems specializing for highly renewable energy systems, on a local but also global scale. Research includes integrated sector analyses with power, heat, transport, desalination, industry, NETs, CCU, and Power-to-X. He worked previously for Reiner Lemoine Institut, Berlin, and Q-Cells (now Hanwha Q Cells). He is a member of ETIP PV, IEA-PVPS, scientific committee of the EU PVSEC and IRES, chairman at the Energy Watch Group, and reviewer for the IPCC. Mahdi Fasihi, M.Sc., is Research Assistant at LUT University, Finland. His focus area is CO2 direct air capture and techno-economic assessment of renewable electricity-based Power-to-X fuels and chemicals production and global trading. Highly resolved energy system modeling is a key method for his potential assessments. He received his M.Sc. degree in Energy Technology at LUT University and B.Sc. in Mechanical Engineering at Guilan University, Iran. Cyril Bajamundi, PhD, is Chief Technology Officer of Soletair Power Oy, a Finnish start-up company focused on CO2 direct air capture and Power-to-X fuel conversion. He had been a Senior Scientist with VTT Technical Research Center of Finland, working in direct air capture of CO2 to support power-to-gas and power-to-liquid technologies for energy storage. Previously, he worked as Assistant Professor in the Department of Chemical Engineering at the University of the Philippines, where he received his M.Sc. in Chemical Engineering. Felix Creutzig leads a working group at the Mercator Research Institute on Global Commons and Climate Change, Berlin, and is Chair of Sustainability Economics of Human Settlements at Technical University Berlin. Educated as a physicist, he holds a PhD in Computational Neuroscience. He coordinates the chapter on “demand, services, and social aspects of mitigation” in the 6th assessment report of the IPCC. Research interests include data science and machine learning approaches for designing low-carbon cities, and demand-side solutions for climate change mitigation.","container-title":"Joule","DOI":"10.1016/j.joule.2019.08.010","ISSN":"2542-4351","issue":"9","journalAbbreviation":"Joule","page":"2053-2057","source":"ScienceDirect","title":"Direct Air Capture of CO2: A Key Technology for Ambitious Climate Change Mitigation","title-short":"Direct Air Capture of CO2","volume":"3","author":[{"family":"Breyer","given":"Christian"},{"family":"Fasihi","given":"Mahdi"},{"family":"Bajamundi","given":"Cyril"},{"family":"Creutzig","given":"Felix"}],"issued":{"date-parts":[["2019",9,18]]}}},{"id":390,"uris":["http://zotero.org/users/12559992/items/GYTGKXK9"],"itemData":{"id":390,"type":"article-journal","abstract":"Comparisons of emerging carbon capture and utilization (CCU) technologies with equivalent incumbent technologies are necessary to support technology developers and to help policy-makers design appropriate long-term incentives to mitigate climate change through the deployment of CCU. In particular, early-stage CCU technologies must prove their economic viability and environmental reduction potential compared to already-deployed technologies. These comparisons can be misleading, as emerging technologies typically experience a drastic increase in performance and decrease in cost and greenhouse gas emissions as they develop from research to mass-market deployment due to various forms of learning. These changes complicate the interpretation of early techno-economic assessments (TEAs) and life cycle assessments (LCAs) of emerging CCU technologies. The effects of learning over time or cumulative production themselves can be quantitatively described using technology learning curves (TLCs). While learning curve approaches have been developed for various technologies, a harmonized methodology for using TLCs in TEA and LCA for CCU in particular is required. To address this, we describe a methodology that incorporates TLCs into TEA and LCA to forecast the environmental and economic performance of emerging CCU technologies. This methodology is based on both an evaluation of the state of the art of learning curve assessment and a literature review of TLC approaches developed in various manufacturing and energy generation sectors. Additionally, we demonstrate how to implement this methodology using a case study on a CO2 mineralization pathway. Finally, commentary is provided on how researchers, technology developers, and LCA and TEA practitioners can advance the use of TLCs to allow for consistent, high-resolution modeling of technological learning for CCU going forward and enable holistic assessments and fairer comparisons with other climate technologies.","container-title":"Frontiers in Climate","DOI":"10.3389/fclim.2022.820261","ISSN":"2624-9553","language":"English","note":"Institution: National Renewable Energy Lab. (NREL), Golden, CO (United States); National Energy Technology Laboratory (NETL), Pittsburgh, PA, Morgantown, WV, and Albany, OR (United States)\nnumber: NREL/JA-5100-82943\npublisher: Frontiers Media S.A.","source":"www.osti.gov","title":"Adapting Technology Learning Curves for Prospective Techno-Economic and Life Cycle Assessments of Emerging Carbon Capture and Utilization Pathways","URL":"https://www.osti.gov/biblio/1868500","volume":"4","author":[{"family":"Faber","given":"Grant"},{"family":"Ruttinger","given":"Andrew"},{"family":"Strunge","given":"Till"},{"family":"Langhorst","given":"Tim"},{"family":"Zimmermann","given":"Arno"},{"family":"Hulst","given":"Mitchell","non-dropping-particle":"van der"},{"family":"Bensebaa","given":"Farid"},{"family":"Moni","given":"Sheikh"},{"family":"Tao","given":"Ling"}],"accessed":{"date-parts":[["2024",3,19]]},"issued":{"date-parts":[["2022",4,14]]}}},{"id":576,"uris":["http://zotero.org/users/12559992/items/X9NXM68M"],"itemData":{"id":576,"type":"article-journal","abstract":"Abstract\n            \n              Direct air capture (DAC) can provide an impactful, engineered approach to combat climate change by removing carbon dioxide (CO\n              2\n              ) from the air. However, to meet climate goals, DAC needs to be scaled at a rapid rate. Current DAC approaches use engineered contactors filled with chemicals to repeatedly capture CO\n              2\n              from the air and release high purity CO\n              2\n              that can be stored or otherwise used. This review article focuses on two distinctive, commercial DAC processes to bind with CO\n              2\n              : solid sorbents and liquid solvents. We discuss the properties of solvents and sorbents, including mass transfer, heat transfer and chemical kinetics, as well as how these properties influence the design and cost of the DAC process. Further, we provide a novel overview of the considerations for deploying these DAC technologies, including concepts for learning-by-doing that may drive down costs and material requirements for scaling up DAC technologies.","container-title":"Progress in Energy","DOI":"10.1088/2516-1083/abf1ce","ISSN":"2516-1083","issue":"3","journalAbbreviation":"Prog. Energy","language":"en","page":"032001","source":"DOI.org (Crossref)","title":"A review of direct air capture (DAC): scaling up commercial technologies and innovating for the future","title-short":"A review of direct air capture (DAC)","volume":"3","author":[{"family":"McQueen","given":"Noah"},{"family":"Gomes","given":"Katherine Vaz"},{"family":"McCormick","given":"Colin"},{"family":"Blumanthal","given":"Katherine"},{"family":"Pisciotta","given":"Maxwell"},{"family":"Wilcox","given":"Jennifer"}],"issued":{"date-parts":[["2021",7,1]]}}},{"id":667,"uris":["http://zotero.org/users/12559992/items/2AP8NCMM"],"itemData":{"id":667,"type":"article-journal","container-title":"Joule","DOI":"10.1016/j.joule.2024.02.005","ISSN":"2542-4785, 2542-4351","issue":"4","journalAbbreviation":"Joule","language":"English","note":"publisher: Elsevier","page":"979-999","source":"www.cell.com","title":"Considering technology characteristics to project future costs of direct air capture","volume":"8","author":[{"family":"Sievert","given":"Katrin"},{"family":"Schmidt","given":"Tobias S."},{"family":"Steffen","given":"Bjarne"}],"issued":{"date-parts":[["2024",4,17]]}}},{"id":518,"uris":["http://zotero.org/users/12559992/items/TTF56D2Y"],"itemData":{"id":518,"type":"article-journal","abstract":"Carbon dioxide removal (CDR) is necessary to minimize the impact of climate change by tackling hard-to-abate sectors and historical emissions. Direct air capture and storage (DACS) is an important CDR technology, but it remains unclear when and how DACS can be economically viable. Here, we use a bottom-up engineering-economic model together with top-down technological learning projections to calculate plant-level cost trajectories for four DACS technologies. Our analysis demonstrates that the costs of these technologies can plateau by 2050 at around $100-600 t-CO2-1 mainly via capital cost reduction through aggressive deployment, but still exceed the optimistic targets defined by countries such as the US (i.e., $100 t-CO2-1). A further analysis of existing policy mechanisms indicates that strong, project-catered policy support will be required to create market opportunities, accelerate DACS scale-up and lower the costs further. Our work suggests that strategic DACS deployment and operation must be coupled with strong policies to minimise the cost of DACS and maximise the opportunity to make a planet-scale climate impact.","container-title":"One Earth","DOI":"10.1016/j.oneear.2023.06.004","ISSN":"2590-3322","issue":"7","journalAbbreviation":"One Earth","page":"899-917","source":"ScienceDirect","title":"The cost of direct air capture and storage can be reduced via strategic deployment but is unlikely to fall below stated cost targets","volume":"6","author":[{"family":"Young","given":"John"},{"family":"McQueen","given":"Noah"},{"family":"Charalambous","given":"Charithea"},{"family":"Foteinis","given":"Spyros"},{"family":"Hawrot","given":"Olivia"},{"family":"Ojeda","given":"Manuel"},{"family":"Pilorgé","given":"Hélène"},{"family":"Andresen","given":"John"},{"family":"Psarras","given":"Peter"},{"family":"Renforth","given":"Phil"},{"family":"Garcia","given":"Susana"},{"family":"Spek","given":"Mijndert","non-dropping-particle":"van der"}],"issued":{"date-parts":[["2023",7,21]]}}}],"schema":"https://github.com/citation-style-language/schema/raw/master/csl-citation.json"} </w:instrText>
            </w:r>
            <w:r w:rsidRPr="00B846AF">
              <w:rPr>
                <w:rFonts w:ascii="Times New Roman" w:eastAsia="Times New Roman" w:hAnsi="Times New Roman" w:cs="Times New Roman"/>
                <w:u w:val="single"/>
              </w:rPr>
              <w:fldChar w:fldCharType="separate"/>
            </w:r>
            <w:r w:rsidR="007C2590" w:rsidRPr="007C2590">
              <w:rPr>
                <w:rFonts w:ascii="Times New Roman" w:hAnsi="Times New Roman" w:cs="Times New Roman"/>
                <w:kern w:val="0"/>
                <w:vertAlign w:val="superscript"/>
              </w:rPr>
              <w:t>5,8–11</w:t>
            </w:r>
            <w:r w:rsidRPr="00B846AF">
              <w:rPr>
                <w:rFonts w:ascii="Times New Roman" w:eastAsia="Times New Roman" w:hAnsi="Times New Roman" w:cs="Times New Roman"/>
                <w:u w:val="single"/>
              </w:rPr>
              <w:fldChar w:fldCharType="end"/>
            </w:r>
          </w:p>
        </w:tc>
        <w:tc>
          <w:tcPr>
            <w:tcW w:w="1078" w:type="dxa"/>
            <w:vMerge w:val="restart"/>
            <w:tcBorders>
              <w:top w:val="single" w:sz="4" w:space="0" w:color="BFBFBF" w:themeColor="background1" w:themeShade="BF"/>
              <w:bottom w:val="single" w:sz="4" w:space="0" w:color="BFBFBF" w:themeColor="background1" w:themeShade="BF"/>
            </w:tcBorders>
            <w:vAlign w:val="center"/>
            <w:hideMark/>
          </w:tcPr>
          <w:p w14:paraId="4929C4F4"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xml:space="preserve">2%–10% </w:t>
            </w:r>
          </w:p>
        </w:tc>
        <w:tc>
          <w:tcPr>
            <w:tcW w:w="1708" w:type="dxa"/>
            <w:vMerge w:val="restart"/>
            <w:tcBorders>
              <w:top w:val="single" w:sz="4" w:space="0" w:color="BFBFBF" w:themeColor="background1" w:themeShade="BF"/>
              <w:bottom w:val="single" w:sz="4" w:space="0" w:color="BFBFBF" w:themeColor="background1" w:themeShade="BF"/>
            </w:tcBorders>
            <w:noWrap/>
            <w:vAlign w:val="center"/>
            <w:hideMark/>
          </w:tcPr>
          <w:p w14:paraId="6275A034"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200k tonne CO</w:t>
            </w:r>
            <w:r w:rsidRPr="00B846AF">
              <w:rPr>
                <w:rFonts w:ascii="Times New Roman" w:eastAsia="Times New Roman" w:hAnsi="Times New Roman" w:cs="Times New Roman"/>
                <w:kern w:val="0"/>
                <w:vertAlign w:val="subscript"/>
                <w14:ligatures w14:val="none"/>
              </w:rPr>
              <w:t>2</w:t>
            </w:r>
          </w:p>
        </w:tc>
        <w:tc>
          <w:tcPr>
            <w:tcW w:w="910" w:type="dxa"/>
            <w:vMerge w:val="restart"/>
            <w:tcBorders>
              <w:top w:val="single" w:sz="4" w:space="0" w:color="BFBFBF" w:themeColor="background1" w:themeShade="BF"/>
              <w:bottom w:val="single" w:sz="4" w:space="0" w:color="BFBFBF" w:themeColor="background1" w:themeShade="BF"/>
            </w:tcBorders>
            <w:noWrap/>
            <w:vAlign w:val="center"/>
            <w:hideMark/>
          </w:tcPr>
          <w:p w14:paraId="558FC361"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r>
      <w:tr w:rsidR="00423C58" w:rsidRPr="00B846AF" w14:paraId="7618239F" w14:textId="77777777" w:rsidTr="00423C58">
        <w:trPr>
          <w:trHeight w:val="312"/>
        </w:trPr>
        <w:tc>
          <w:tcPr>
            <w:tcW w:w="1619" w:type="dxa"/>
            <w:vMerge/>
            <w:tcBorders>
              <w:top w:val="nil"/>
              <w:bottom w:val="single" w:sz="4" w:space="0" w:color="BFBFBF" w:themeColor="background1" w:themeShade="BF"/>
            </w:tcBorders>
            <w:vAlign w:val="center"/>
            <w:hideMark/>
          </w:tcPr>
          <w:p w14:paraId="5585A0AA"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2825" w:type="dxa"/>
            <w:tcBorders>
              <w:top w:val="nil"/>
              <w:bottom w:val="single" w:sz="4" w:space="0" w:color="BFBFBF" w:themeColor="background1" w:themeShade="BF"/>
            </w:tcBorders>
            <w:noWrap/>
            <w:vAlign w:val="center"/>
            <w:hideMark/>
          </w:tcPr>
          <w:p w14:paraId="0271879B"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Carbonation rate</w:t>
            </w:r>
          </w:p>
        </w:tc>
        <w:tc>
          <w:tcPr>
            <w:tcW w:w="1364" w:type="dxa"/>
            <w:tcBorders>
              <w:top w:val="nil"/>
              <w:bottom w:val="single" w:sz="4" w:space="0" w:color="BFBFBF" w:themeColor="background1" w:themeShade="BF"/>
            </w:tcBorders>
            <w:noWrap/>
            <w:vAlign w:val="center"/>
            <w:hideMark/>
          </w:tcPr>
          <w:p w14:paraId="586C03B9"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w:t>
            </w:r>
          </w:p>
        </w:tc>
        <w:tc>
          <w:tcPr>
            <w:tcW w:w="709" w:type="dxa"/>
            <w:tcBorders>
              <w:top w:val="nil"/>
              <w:bottom w:val="single" w:sz="4" w:space="0" w:color="BFBFBF" w:themeColor="background1" w:themeShade="BF"/>
            </w:tcBorders>
            <w:noWrap/>
            <w:vAlign w:val="center"/>
            <w:hideMark/>
          </w:tcPr>
          <w:p w14:paraId="42D7B5D0"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w:t>
            </w:r>
          </w:p>
        </w:tc>
        <w:tc>
          <w:tcPr>
            <w:tcW w:w="850" w:type="dxa"/>
            <w:tcBorders>
              <w:top w:val="nil"/>
              <w:bottom w:val="single" w:sz="4" w:space="0" w:color="BFBFBF" w:themeColor="background1" w:themeShade="BF"/>
            </w:tcBorders>
            <w:noWrap/>
            <w:vAlign w:val="center"/>
            <w:hideMark/>
          </w:tcPr>
          <w:p w14:paraId="6866C2BA"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696" w:type="dxa"/>
            <w:tcBorders>
              <w:top w:val="nil"/>
              <w:bottom w:val="single" w:sz="4" w:space="0" w:color="BFBFBF" w:themeColor="background1" w:themeShade="BF"/>
            </w:tcBorders>
            <w:noWrap/>
            <w:vAlign w:val="center"/>
            <w:hideMark/>
          </w:tcPr>
          <w:p w14:paraId="4949556D"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80</w:t>
            </w:r>
          </w:p>
        </w:tc>
        <w:tc>
          <w:tcPr>
            <w:tcW w:w="726" w:type="dxa"/>
            <w:tcBorders>
              <w:top w:val="nil"/>
              <w:bottom w:val="single" w:sz="4" w:space="0" w:color="BFBFBF" w:themeColor="background1" w:themeShade="BF"/>
            </w:tcBorders>
            <w:vAlign w:val="center"/>
            <w:hideMark/>
          </w:tcPr>
          <w:p w14:paraId="1D5F1A1B"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0.08</w:t>
            </w:r>
          </w:p>
        </w:tc>
        <w:tc>
          <w:tcPr>
            <w:tcW w:w="1473" w:type="dxa"/>
            <w:vMerge/>
            <w:tcBorders>
              <w:top w:val="nil"/>
              <w:bottom w:val="single" w:sz="4" w:space="0" w:color="BFBFBF" w:themeColor="background1" w:themeShade="BF"/>
            </w:tcBorders>
            <w:vAlign w:val="center"/>
            <w:hideMark/>
          </w:tcPr>
          <w:p w14:paraId="647939AD"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1078" w:type="dxa"/>
            <w:vMerge/>
            <w:tcBorders>
              <w:top w:val="nil"/>
              <w:bottom w:val="single" w:sz="4" w:space="0" w:color="BFBFBF" w:themeColor="background1" w:themeShade="BF"/>
            </w:tcBorders>
            <w:vAlign w:val="center"/>
            <w:hideMark/>
          </w:tcPr>
          <w:p w14:paraId="19A680B6"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1708" w:type="dxa"/>
            <w:vMerge/>
            <w:tcBorders>
              <w:top w:val="nil"/>
              <w:bottom w:val="single" w:sz="4" w:space="0" w:color="BFBFBF" w:themeColor="background1" w:themeShade="BF"/>
            </w:tcBorders>
            <w:vAlign w:val="center"/>
            <w:hideMark/>
          </w:tcPr>
          <w:p w14:paraId="23A477F2"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c>
          <w:tcPr>
            <w:tcW w:w="910" w:type="dxa"/>
            <w:vMerge/>
            <w:tcBorders>
              <w:top w:val="nil"/>
              <w:bottom w:val="single" w:sz="4" w:space="0" w:color="BFBFBF" w:themeColor="background1" w:themeShade="BF"/>
            </w:tcBorders>
            <w:vAlign w:val="center"/>
            <w:hideMark/>
          </w:tcPr>
          <w:p w14:paraId="779A50BC" w14:textId="77777777" w:rsidR="00B846AF" w:rsidRPr="00B846AF" w:rsidRDefault="00B846AF" w:rsidP="00B846AF">
            <w:pPr>
              <w:spacing w:after="0" w:line="360" w:lineRule="auto"/>
              <w:rPr>
                <w:rFonts w:ascii="Times New Roman" w:eastAsia="Times New Roman" w:hAnsi="Times New Roman" w:cs="Times New Roman"/>
                <w:kern w:val="0"/>
                <w14:ligatures w14:val="none"/>
              </w:rPr>
            </w:pPr>
          </w:p>
        </w:tc>
      </w:tr>
      <w:tr w:rsidR="00423C58" w:rsidRPr="00B846AF" w14:paraId="158A4B4D" w14:textId="77777777" w:rsidTr="00423C58">
        <w:trPr>
          <w:trHeight w:val="312"/>
        </w:trPr>
        <w:tc>
          <w:tcPr>
            <w:tcW w:w="1619" w:type="dxa"/>
            <w:tcBorders>
              <w:top w:val="single" w:sz="4" w:space="0" w:color="BFBFBF" w:themeColor="background1" w:themeShade="BF"/>
              <w:bottom w:val="single" w:sz="4" w:space="0" w:color="BFBFBF" w:themeColor="background1" w:themeShade="BF"/>
            </w:tcBorders>
            <w:vAlign w:val="center"/>
            <w:hideMark/>
          </w:tcPr>
          <w:p w14:paraId="171B7730"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Brine recycling</w:t>
            </w:r>
          </w:p>
        </w:tc>
        <w:tc>
          <w:tcPr>
            <w:tcW w:w="2825" w:type="dxa"/>
            <w:tcBorders>
              <w:top w:val="single" w:sz="4" w:space="0" w:color="BFBFBF" w:themeColor="background1" w:themeShade="BF"/>
              <w:bottom w:val="single" w:sz="4" w:space="0" w:color="BFBFBF" w:themeColor="background1" w:themeShade="BF"/>
            </w:tcBorders>
            <w:noWrap/>
            <w:vAlign w:val="center"/>
            <w:hideMark/>
          </w:tcPr>
          <w:p w14:paraId="13B8199F"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Salt rejection rate of nanofiltration</w:t>
            </w:r>
          </w:p>
        </w:tc>
        <w:tc>
          <w:tcPr>
            <w:tcW w:w="1364" w:type="dxa"/>
            <w:tcBorders>
              <w:top w:val="single" w:sz="4" w:space="0" w:color="BFBFBF" w:themeColor="background1" w:themeShade="BF"/>
              <w:bottom w:val="single" w:sz="4" w:space="0" w:color="BFBFBF" w:themeColor="background1" w:themeShade="BF"/>
            </w:tcBorders>
            <w:noWrap/>
            <w:vAlign w:val="center"/>
            <w:hideMark/>
          </w:tcPr>
          <w:p w14:paraId="18BBB08C"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w:t>
            </w:r>
          </w:p>
        </w:tc>
        <w:tc>
          <w:tcPr>
            <w:tcW w:w="709" w:type="dxa"/>
            <w:tcBorders>
              <w:top w:val="single" w:sz="4" w:space="0" w:color="BFBFBF" w:themeColor="background1" w:themeShade="BF"/>
              <w:bottom w:val="single" w:sz="4" w:space="0" w:color="BFBFBF" w:themeColor="background1" w:themeShade="BF"/>
            </w:tcBorders>
            <w:noWrap/>
            <w:vAlign w:val="center"/>
            <w:hideMark/>
          </w:tcPr>
          <w:p w14:paraId="73709EC8"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850" w:type="dxa"/>
            <w:tcBorders>
              <w:top w:val="single" w:sz="4" w:space="0" w:color="BFBFBF" w:themeColor="background1" w:themeShade="BF"/>
              <w:bottom w:val="single" w:sz="4" w:space="0" w:color="BFBFBF" w:themeColor="background1" w:themeShade="BF"/>
            </w:tcBorders>
            <w:noWrap/>
            <w:vAlign w:val="center"/>
            <w:hideMark/>
          </w:tcPr>
          <w:p w14:paraId="42885A23"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w:t>
            </w:r>
          </w:p>
        </w:tc>
        <w:tc>
          <w:tcPr>
            <w:tcW w:w="696" w:type="dxa"/>
            <w:tcBorders>
              <w:top w:val="single" w:sz="4" w:space="0" w:color="BFBFBF" w:themeColor="background1" w:themeShade="BF"/>
              <w:bottom w:val="single" w:sz="4" w:space="0" w:color="BFBFBF" w:themeColor="background1" w:themeShade="BF"/>
            </w:tcBorders>
            <w:noWrap/>
            <w:vAlign w:val="center"/>
            <w:hideMark/>
          </w:tcPr>
          <w:p w14:paraId="03F6D7BF"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w:t>
            </w:r>
          </w:p>
        </w:tc>
        <w:tc>
          <w:tcPr>
            <w:tcW w:w="726" w:type="dxa"/>
            <w:tcBorders>
              <w:top w:val="single" w:sz="4" w:space="0" w:color="BFBFBF" w:themeColor="background1" w:themeShade="BF"/>
              <w:bottom w:val="single" w:sz="4" w:space="0" w:color="BFBFBF" w:themeColor="background1" w:themeShade="BF"/>
            </w:tcBorders>
            <w:vAlign w:val="center"/>
            <w:hideMark/>
          </w:tcPr>
          <w:p w14:paraId="2FBF647F"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w:t>
            </w:r>
          </w:p>
        </w:tc>
        <w:tc>
          <w:tcPr>
            <w:tcW w:w="1473" w:type="dxa"/>
            <w:tcBorders>
              <w:top w:val="single" w:sz="4" w:space="0" w:color="BFBFBF" w:themeColor="background1" w:themeShade="BF"/>
              <w:bottom w:val="single" w:sz="4" w:space="0" w:color="BFBFBF" w:themeColor="background1" w:themeShade="BF"/>
            </w:tcBorders>
            <w:noWrap/>
            <w:vAlign w:val="center"/>
            <w:hideMark/>
          </w:tcPr>
          <w:p w14:paraId="5C7F391F" w14:textId="68785582"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r w:rsidRPr="00B846AF">
              <w:rPr>
                <w:rFonts w:ascii="Times New Roman" w:eastAsia="Times New Roman" w:hAnsi="Times New Roman" w:cs="Times New Roman"/>
                <w:u w:val="single"/>
              </w:rPr>
              <w:fldChar w:fldCharType="begin"/>
            </w:r>
            <w:r w:rsidR="007C2590">
              <w:rPr>
                <w:rFonts w:ascii="Times New Roman" w:eastAsia="Times New Roman" w:hAnsi="Times New Roman" w:cs="Times New Roman"/>
                <w:u w:val="single"/>
              </w:rPr>
              <w:instrText xml:space="preserve"> ADDIN ZOTERO_ITEM CSL_CITATION {"citationID":"uTLrwos3","properties":{"formattedCitation":"\\super 12\\nosupersub{}","plainCitation":"12","noteIndex":0},"citationItems":[{"id":658,"uris":["http://zotero.org/users/12559992/items/PXPUZDJ5"],"itemData":{"id":658,"type":"article-journal","abstract":"Seawater reverse osmosis (SWRO) desalination is expected to play a pivotal role in helping to secure future global water supply. While the global reliance on SWRO plants for water security increases, there is no consensus on how the capital costs of SWRO plants will vary in the future. The aim of this paper is to analyze the past trends of the SWRO capital expenditures (capex) as the historic global cumulative online SWRO capacity increases, based on the learning curve concept. The SWRO capex learning curve is found based on 4,237 plants that came online from 1977 to 2015. A learning rate of 15% is determined, implying that the SWRO capex reduced by 15% when the cumulative capacity was doubled. Based on SWRO capacity annual growth rates of 10% and 20%, by 2030, the global average capex of SWRO plants is found to fall to 1,580 USD/(m3/d) and 1,340 USD/(m3/d), respectively. A learning curve for SWRO capital costs has not been presented previously. This research highlights the potential for decrease in SWRO capex with the increase in installation of SWRO plants and the value of the learning curve approach to estimate future SWRO capex.","container-title":"Water Resources Research","DOI":"10.1002/2017WR021402","ISSN":"1944-7973","issue":"12","language":"en","note":"_eprint: https://onlinelibrary.wiley.com/doi/pdf/10.1002/2017WR021402","page":"10523-10538","source":"Wiley Online Library","title":"Learning Curve for Seawater Reverse Osmosis Desalination Plants: Capital Cost Trend of the Past, Present, and Future","title-short":"Learning Curve for Seawater Reverse Osmosis Desalination Plants","volume":"53","author":[{"family":"Caldera","given":"Upeksha"},{"family":"Breyer","given":"Christian"}],"issued":{"date-parts":[["2017"]]}}}],"schema":"https://github.com/citation-style-language/schema/raw/master/csl-citation.json"} </w:instrText>
            </w:r>
            <w:r w:rsidRPr="00B846AF">
              <w:rPr>
                <w:rFonts w:ascii="Times New Roman" w:eastAsia="Times New Roman" w:hAnsi="Times New Roman" w:cs="Times New Roman"/>
                <w:u w:val="single"/>
              </w:rPr>
              <w:fldChar w:fldCharType="separate"/>
            </w:r>
            <w:r w:rsidR="007C2590" w:rsidRPr="007C2590">
              <w:rPr>
                <w:rFonts w:ascii="Times New Roman" w:hAnsi="Times New Roman" w:cs="Times New Roman"/>
                <w:kern w:val="0"/>
                <w:vertAlign w:val="superscript"/>
              </w:rPr>
              <w:t>12</w:t>
            </w:r>
            <w:r w:rsidRPr="00B846AF">
              <w:rPr>
                <w:rFonts w:ascii="Times New Roman" w:eastAsia="Times New Roman" w:hAnsi="Times New Roman" w:cs="Times New Roman"/>
                <w:u w:val="single"/>
              </w:rPr>
              <w:fldChar w:fldCharType="end"/>
            </w:r>
          </w:p>
        </w:tc>
        <w:tc>
          <w:tcPr>
            <w:tcW w:w="1078" w:type="dxa"/>
            <w:tcBorders>
              <w:top w:val="single" w:sz="4" w:space="0" w:color="BFBFBF" w:themeColor="background1" w:themeShade="BF"/>
              <w:bottom w:val="single" w:sz="4" w:space="0" w:color="BFBFBF" w:themeColor="background1" w:themeShade="BF"/>
            </w:tcBorders>
            <w:vAlign w:val="center"/>
            <w:hideMark/>
          </w:tcPr>
          <w:p w14:paraId="17BF4410"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1708" w:type="dxa"/>
            <w:tcBorders>
              <w:top w:val="single" w:sz="4" w:space="0" w:color="BFBFBF" w:themeColor="background1" w:themeShade="BF"/>
              <w:bottom w:val="single" w:sz="4" w:space="0" w:color="BFBFBF" w:themeColor="background1" w:themeShade="BF"/>
            </w:tcBorders>
            <w:noWrap/>
            <w:vAlign w:val="center"/>
            <w:hideMark/>
          </w:tcPr>
          <w:p w14:paraId="1FA2DF93"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34.8 billion tonnes brine treatment</w:t>
            </w:r>
          </w:p>
        </w:tc>
        <w:tc>
          <w:tcPr>
            <w:tcW w:w="910" w:type="dxa"/>
            <w:tcBorders>
              <w:top w:val="single" w:sz="4" w:space="0" w:color="BFBFBF" w:themeColor="background1" w:themeShade="BF"/>
              <w:bottom w:val="single" w:sz="4" w:space="0" w:color="BFBFBF" w:themeColor="background1" w:themeShade="BF"/>
            </w:tcBorders>
            <w:noWrap/>
            <w:vAlign w:val="center"/>
            <w:hideMark/>
          </w:tcPr>
          <w:p w14:paraId="4667C200"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1148</w:t>
            </w:r>
          </w:p>
        </w:tc>
      </w:tr>
      <w:tr w:rsidR="00423C58" w:rsidRPr="00B846AF" w14:paraId="3897FB9C" w14:textId="77777777" w:rsidTr="00423C58">
        <w:trPr>
          <w:trHeight w:val="312"/>
        </w:trPr>
        <w:tc>
          <w:tcPr>
            <w:tcW w:w="1619" w:type="dxa"/>
            <w:tcBorders>
              <w:top w:val="single" w:sz="4" w:space="0" w:color="BFBFBF" w:themeColor="background1" w:themeShade="BF"/>
              <w:bottom w:val="single" w:sz="4" w:space="0" w:color="BFBFBF" w:themeColor="background1" w:themeShade="BF"/>
            </w:tcBorders>
            <w:vAlign w:val="center"/>
            <w:hideMark/>
          </w:tcPr>
          <w:p w14:paraId="75777F84"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MRV</w:t>
            </w:r>
          </w:p>
        </w:tc>
        <w:tc>
          <w:tcPr>
            <w:tcW w:w="2825" w:type="dxa"/>
            <w:tcBorders>
              <w:top w:val="single" w:sz="4" w:space="0" w:color="BFBFBF" w:themeColor="background1" w:themeShade="BF"/>
              <w:bottom w:val="single" w:sz="4" w:space="0" w:color="BFBFBF" w:themeColor="background1" w:themeShade="BF"/>
            </w:tcBorders>
            <w:noWrap/>
            <w:vAlign w:val="center"/>
            <w:hideMark/>
          </w:tcPr>
          <w:p w14:paraId="0463F427"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w:t>
            </w:r>
          </w:p>
        </w:tc>
        <w:tc>
          <w:tcPr>
            <w:tcW w:w="1364" w:type="dxa"/>
            <w:tcBorders>
              <w:top w:val="single" w:sz="4" w:space="0" w:color="BFBFBF" w:themeColor="background1" w:themeShade="BF"/>
              <w:bottom w:val="single" w:sz="4" w:space="0" w:color="BFBFBF" w:themeColor="background1" w:themeShade="BF"/>
            </w:tcBorders>
            <w:noWrap/>
            <w:vAlign w:val="center"/>
            <w:hideMark/>
          </w:tcPr>
          <w:p w14:paraId="099A1FC3"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w:t>
            </w:r>
          </w:p>
        </w:tc>
        <w:tc>
          <w:tcPr>
            <w:tcW w:w="709" w:type="dxa"/>
            <w:tcBorders>
              <w:top w:val="single" w:sz="4" w:space="0" w:color="BFBFBF" w:themeColor="background1" w:themeShade="BF"/>
              <w:bottom w:val="single" w:sz="4" w:space="0" w:color="BFBFBF" w:themeColor="background1" w:themeShade="BF"/>
            </w:tcBorders>
            <w:noWrap/>
            <w:vAlign w:val="center"/>
            <w:hideMark/>
          </w:tcPr>
          <w:p w14:paraId="78C13A07"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w:t>
            </w:r>
          </w:p>
        </w:tc>
        <w:tc>
          <w:tcPr>
            <w:tcW w:w="850" w:type="dxa"/>
            <w:tcBorders>
              <w:top w:val="single" w:sz="4" w:space="0" w:color="BFBFBF" w:themeColor="background1" w:themeShade="BF"/>
              <w:bottom w:val="single" w:sz="4" w:space="0" w:color="BFBFBF" w:themeColor="background1" w:themeShade="BF"/>
            </w:tcBorders>
            <w:noWrap/>
            <w:vAlign w:val="center"/>
            <w:hideMark/>
          </w:tcPr>
          <w:p w14:paraId="27DC159B"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w:t>
            </w:r>
          </w:p>
        </w:tc>
        <w:tc>
          <w:tcPr>
            <w:tcW w:w="696" w:type="dxa"/>
            <w:tcBorders>
              <w:top w:val="single" w:sz="4" w:space="0" w:color="BFBFBF" w:themeColor="background1" w:themeShade="BF"/>
              <w:bottom w:val="single" w:sz="4" w:space="0" w:color="BFBFBF" w:themeColor="background1" w:themeShade="BF"/>
            </w:tcBorders>
            <w:noWrap/>
            <w:vAlign w:val="center"/>
            <w:hideMark/>
          </w:tcPr>
          <w:p w14:paraId="4135A6E9"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w:t>
            </w:r>
          </w:p>
        </w:tc>
        <w:tc>
          <w:tcPr>
            <w:tcW w:w="726" w:type="dxa"/>
            <w:tcBorders>
              <w:top w:val="single" w:sz="4" w:space="0" w:color="BFBFBF" w:themeColor="background1" w:themeShade="BF"/>
              <w:bottom w:val="single" w:sz="4" w:space="0" w:color="BFBFBF" w:themeColor="background1" w:themeShade="BF"/>
            </w:tcBorders>
            <w:vAlign w:val="center"/>
            <w:hideMark/>
          </w:tcPr>
          <w:p w14:paraId="42511D0C"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w:t>
            </w:r>
          </w:p>
        </w:tc>
        <w:tc>
          <w:tcPr>
            <w:tcW w:w="1473" w:type="dxa"/>
            <w:tcBorders>
              <w:top w:val="single" w:sz="4" w:space="0" w:color="BFBFBF" w:themeColor="background1" w:themeShade="BF"/>
              <w:bottom w:val="single" w:sz="4" w:space="0" w:color="BFBFBF" w:themeColor="background1" w:themeShade="BF"/>
            </w:tcBorders>
            <w:noWrap/>
            <w:vAlign w:val="center"/>
            <w:hideMark/>
          </w:tcPr>
          <w:p w14:paraId="3CD43E7C"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1078" w:type="dxa"/>
            <w:tcBorders>
              <w:top w:val="single" w:sz="4" w:space="0" w:color="BFBFBF" w:themeColor="background1" w:themeShade="BF"/>
              <w:bottom w:val="single" w:sz="4" w:space="0" w:color="BFBFBF" w:themeColor="background1" w:themeShade="BF"/>
            </w:tcBorders>
            <w:vAlign w:val="center"/>
            <w:hideMark/>
          </w:tcPr>
          <w:p w14:paraId="356DEED1"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2%-10%</w:t>
            </w:r>
          </w:p>
        </w:tc>
        <w:tc>
          <w:tcPr>
            <w:tcW w:w="1708" w:type="dxa"/>
            <w:tcBorders>
              <w:top w:val="single" w:sz="4" w:space="0" w:color="BFBFBF" w:themeColor="background1" w:themeShade="BF"/>
              <w:bottom w:val="single" w:sz="4" w:space="0" w:color="BFBFBF" w:themeColor="background1" w:themeShade="BF"/>
            </w:tcBorders>
            <w:noWrap/>
            <w:vAlign w:val="center"/>
            <w:hideMark/>
          </w:tcPr>
          <w:p w14:paraId="556FA49C"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w:t>
            </w:r>
          </w:p>
        </w:tc>
        <w:tc>
          <w:tcPr>
            <w:tcW w:w="910" w:type="dxa"/>
            <w:tcBorders>
              <w:top w:val="single" w:sz="4" w:space="0" w:color="BFBFBF" w:themeColor="background1" w:themeShade="BF"/>
              <w:bottom w:val="single" w:sz="4" w:space="0" w:color="BFBFBF" w:themeColor="background1" w:themeShade="BF"/>
            </w:tcBorders>
            <w:noWrap/>
            <w:vAlign w:val="center"/>
            <w:hideMark/>
          </w:tcPr>
          <w:p w14:paraId="370AE8F6" w14:textId="77777777" w:rsidR="00B846AF" w:rsidRPr="00B846AF" w:rsidRDefault="00B846AF"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r>
      <w:tr w:rsidR="00423C58" w:rsidRPr="00B846AF" w14:paraId="02AE12BD" w14:textId="77777777" w:rsidTr="00B0699D">
        <w:trPr>
          <w:trHeight w:val="372"/>
        </w:trPr>
        <w:tc>
          <w:tcPr>
            <w:tcW w:w="1619" w:type="dxa"/>
            <w:vMerge w:val="restart"/>
            <w:tcBorders>
              <w:top w:val="single" w:sz="4" w:space="0" w:color="BFBFBF" w:themeColor="background1" w:themeShade="BF"/>
            </w:tcBorders>
            <w:vAlign w:val="center"/>
            <w:hideMark/>
          </w:tcPr>
          <w:p w14:paraId="399C6C22"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Economics</w:t>
            </w:r>
          </w:p>
        </w:tc>
        <w:tc>
          <w:tcPr>
            <w:tcW w:w="2825" w:type="dxa"/>
            <w:tcBorders>
              <w:top w:val="single" w:sz="4" w:space="0" w:color="BFBFBF" w:themeColor="background1" w:themeShade="BF"/>
            </w:tcBorders>
            <w:noWrap/>
            <w:vAlign w:val="center"/>
            <w:hideMark/>
          </w:tcPr>
          <w:p w14:paraId="40ED33BC"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Membrane price</w:t>
            </w:r>
          </w:p>
        </w:tc>
        <w:tc>
          <w:tcPr>
            <w:tcW w:w="1364" w:type="dxa"/>
            <w:tcBorders>
              <w:top w:val="single" w:sz="4" w:space="0" w:color="BFBFBF" w:themeColor="background1" w:themeShade="BF"/>
            </w:tcBorders>
            <w:noWrap/>
            <w:vAlign w:val="center"/>
            <w:hideMark/>
          </w:tcPr>
          <w:p w14:paraId="66E695E7"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$/m</w:t>
            </w:r>
            <w:r w:rsidRPr="00B846AF">
              <w:rPr>
                <w:rFonts w:ascii="Times New Roman" w:eastAsia="Times New Roman" w:hAnsi="Times New Roman" w:cs="Times New Roman"/>
                <w:kern w:val="0"/>
                <w:vertAlign w:val="superscript"/>
                <w14:ligatures w14:val="none"/>
              </w:rPr>
              <w:t>2</w:t>
            </w:r>
          </w:p>
        </w:tc>
        <w:tc>
          <w:tcPr>
            <w:tcW w:w="709" w:type="dxa"/>
            <w:tcBorders>
              <w:top w:val="single" w:sz="4" w:space="0" w:color="BFBFBF" w:themeColor="background1" w:themeShade="BF"/>
            </w:tcBorders>
            <w:noWrap/>
            <w:vAlign w:val="center"/>
            <w:hideMark/>
          </w:tcPr>
          <w:p w14:paraId="37119A42"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700</w:t>
            </w:r>
          </w:p>
        </w:tc>
        <w:tc>
          <w:tcPr>
            <w:tcW w:w="850" w:type="dxa"/>
            <w:tcBorders>
              <w:top w:val="single" w:sz="4" w:space="0" w:color="BFBFBF" w:themeColor="background1" w:themeShade="BF"/>
            </w:tcBorders>
            <w:noWrap/>
            <w:vAlign w:val="center"/>
            <w:hideMark/>
          </w:tcPr>
          <w:p w14:paraId="39579990"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200</w:t>
            </w:r>
          </w:p>
        </w:tc>
        <w:tc>
          <w:tcPr>
            <w:tcW w:w="696" w:type="dxa"/>
            <w:tcBorders>
              <w:top w:val="single" w:sz="4" w:space="0" w:color="BFBFBF" w:themeColor="background1" w:themeShade="BF"/>
            </w:tcBorders>
            <w:noWrap/>
            <w:vAlign w:val="center"/>
            <w:hideMark/>
          </w:tcPr>
          <w:p w14:paraId="70AAFD01"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1200</w:t>
            </w:r>
          </w:p>
        </w:tc>
        <w:tc>
          <w:tcPr>
            <w:tcW w:w="726" w:type="dxa"/>
            <w:tcBorders>
              <w:top w:val="single" w:sz="4" w:space="0" w:color="BFBFBF" w:themeColor="background1" w:themeShade="BF"/>
            </w:tcBorders>
            <w:vAlign w:val="center"/>
            <w:hideMark/>
          </w:tcPr>
          <w:p w14:paraId="6AB90B71"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167</w:t>
            </w:r>
          </w:p>
        </w:tc>
        <w:tc>
          <w:tcPr>
            <w:tcW w:w="5169" w:type="dxa"/>
            <w:gridSpan w:val="4"/>
            <w:vMerge w:val="restart"/>
            <w:tcBorders>
              <w:top w:val="single" w:sz="4" w:space="0" w:color="BFBFBF" w:themeColor="background1" w:themeShade="BF"/>
            </w:tcBorders>
            <w:vAlign w:val="center"/>
            <w:hideMark/>
          </w:tcPr>
          <w:p w14:paraId="57F8E676" w14:textId="3D219BB4"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w:t>
            </w:r>
          </w:p>
        </w:tc>
      </w:tr>
      <w:tr w:rsidR="00423C58" w:rsidRPr="00B846AF" w14:paraId="5197BD6E" w14:textId="77777777" w:rsidTr="00B0699D">
        <w:trPr>
          <w:trHeight w:val="312"/>
        </w:trPr>
        <w:tc>
          <w:tcPr>
            <w:tcW w:w="1619" w:type="dxa"/>
            <w:vMerge/>
            <w:tcBorders>
              <w:top w:val="nil"/>
            </w:tcBorders>
            <w:vAlign w:val="center"/>
            <w:hideMark/>
          </w:tcPr>
          <w:p w14:paraId="6B119647" w14:textId="77777777" w:rsidR="00423C58" w:rsidRPr="00B846AF" w:rsidRDefault="00423C58" w:rsidP="00B846AF">
            <w:pPr>
              <w:spacing w:after="0" w:line="360" w:lineRule="auto"/>
              <w:rPr>
                <w:rFonts w:ascii="Times New Roman" w:eastAsia="Times New Roman" w:hAnsi="Times New Roman" w:cs="Times New Roman"/>
                <w:kern w:val="0"/>
                <w14:ligatures w14:val="none"/>
              </w:rPr>
            </w:pPr>
          </w:p>
        </w:tc>
        <w:tc>
          <w:tcPr>
            <w:tcW w:w="2825" w:type="dxa"/>
            <w:tcBorders>
              <w:top w:val="nil"/>
            </w:tcBorders>
            <w:noWrap/>
            <w:vAlign w:val="center"/>
            <w:hideMark/>
          </w:tcPr>
          <w:p w14:paraId="1CBF15C9"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Electricity price</w:t>
            </w:r>
          </w:p>
        </w:tc>
        <w:tc>
          <w:tcPr>
            <w:tcW w:w="1364" w:type="dxa"/>
            <w:tcBorders>
              <w:top w:val="nil"/>
            </w:tcBorders>
            <w:noWrap/>
            <w:vAlign w:val="center"/>
            <w:hideMark/>
          </w:tcPr>
          <w:p w14:paraId="69B39177"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$/MWh</w:t>
            </w:r>
          </w:p>
        </w:tc>
        <w:tc>
          <w:tcPr>
            <w:tcW w:w="709" w:type="dxa"/>
            <w:tcBorders>
              <w:top w:val="nil"/>
            </w:tcBorders>
            <w:noWrap/>
            <w:vAlign w:val="center"/>
            <w:hideMark/>
          </w:tcPr>
          <w:p w14:paraId="28E06D14"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60</w:t>
            </w:r>
          </w:p>
        </w:tc>
        <w:tc>
          <w:tcPr>
            <w:tcW w:w="850" w:type="dxa"/>
            <w:tcBorders>
              <w:top w:val="nil"/>
            </w:tcBorders>
            <w:noWrap/>
            <w:vAlign w:val="center"/>
            <w:hideMark/>
          </w:tcPr>
          <w:p w14:paraId="44C572DB"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w:t>
            </w:r>
          </w:p>
        </w:tc>
        <w:tc>
          <w:tcPr>
            <w:tcW w:w="696" w:type="dxa"/>
            <w:tcBorders>
              <w:top w:val="nil"/>
            </w:tcBorders>
            <w:noWrap/>
            <w:vAlign w:val="center"/>
            <w:hideMark/>
          </w:tcPr>
          <w:p w14:paraId="65D4062F"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90</w:t>
            </w:r>
          </w:p>
        </w:tc>
        <w:tc>
          <w:tcPr>
            <w:tcW w:w="726" w:type="dxa"/>
            <w:tcBorders>
              <w:top w:val="nil"/>
            </w:tcBorders>
            <w:vAlign w:val="center"/>
            <w:hideMark/>
          </w:tcPr>
          <w:p w14:paraId="11FE35FC"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5169" w:type="dxa"/>
            <w:gridSpan w:val="4"/>
            <w:vMerge/>
            <w:vAlign w:val="center"/>
            <w:hideMark/>
          </w:tcPr>
          <w:p w14:paraId="6069B027" w14:textId="2766B030" w:rsidR="00423C58" w:rsidRPr="00B846AF" w:rsidRDefault="00423C58" w:rsidP="00B846AF">
            <w:pPr>
              <w:spacing w:after="0" w:line="360" w:lineRule="auto"/>
              <w:rPr>
                <w:rFonts w:ascii="Times New Roman" w:eastAsia="Times New Roman" w:hAnsi="Times New Roman" w:cs="Times New Roman"/>
                <w:kern w:val="0"/>
                <w14:ligatures w14:val="none"/>
              </w:rPr>
            </w:pPr>
          </w:p>
        </w:tc>
      </w:tr>
      <w:tr w:rsidR="00423C58" w:rsidRPr="00B846AF" w14:paraId="3B2DF5BA" w14:textId="77777777" w:rsidTr="00B0699D">
        <w:trPr>
          <w:trHeight w:val="312"/>
        </w:trPr>
        <w:tc>
          <w:tcPr>
            <w:tcW w:w="1619" w:type="dxa"/>
            <w:vMerge/>
            <w:tcBorders>
              <w:top w:val="nil"/>
            </w:tcBorders>
            <w:vAlign w:val="center"/>
            <w:hideMark/>
          </w:tcPr>
          <w:p w14:paraId="454B0911" w14:textId="77777777" w:rsidR="00423C58" w:rsidRPr="00B846AF" w:rsidRDefault="00423C58" w:rsidP="00B846AF">
            <w:pPr>
              <w:spacing w:after="0" w:line="360" w:lineRule="auto"/>
              <w:rPr>
                <w:rFonts w:ascii="Times New Roman" w:eastAsia="Times New Roman" w:hAnsi="Times New Roman" w:cs="Times New Roman"/>
                <w:kern w:val="0"/>
                <w14:ligatures w14:val="none"/>
              </w:rPr>
            </w:pPr>
          </w:p>
        </w:tc>
        <w:tc>
          <w:tcPr>
            <w:tcW w:w="2825" w:type="dxa"/>
            <w:tcBorders>
              <w:top w:val="nil"/>
            </w:tcBorders>
            <w:noWrap/>
            <w:vAlign w:val="center"/>
            <w:hideMark/>
          </w:tcPr>
          <w:p w14:paraId="6AA79E6D"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Waste/sediment treatment fee</w:t>
            </w:r>
          </w:p>
        </w:tc>
        <w:tc>
          <w:tcPr>
            <w:tcW w:w="1364" w:type="dxa"/>
            <w:tcBorders>
              <w:top w:val="nil"/>
            </w:tcBorders>
            <w:noWrap/>
            <w:vAlign w:val="center"/>
            <w:hideMark/>
          </w:tcPr>
          <w:p w14:paraId="3B759FDA"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$/t</w:t>
            </w:r>
          </w:p>
        </w:tc>
        <w:tc>
          <w:tcPr>
            <w:tcW w:w="709" w:type="dxa"/>
            <w:tcBorders>
              <w:top w:val="nil"/>
            </w:tcBorders>
            <w:noWrap/>
            <w:vAlign w:val="center"/>
            <w:hideMark/>
          </w:tcPr>
          <w:p w14:paraId="2A824962"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850" w:type="dxa"/>
            <w:tcBorders>
              <w:top w:val="nil"/>
            </w:tcBorders>
            <w:noWrap/>
            <w:vAlign w:val="center"/>
            <w:hideMark/>
          </w:tcPr>
          <w:p w14:paraId="6346109D"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0.1</w:t>
            </w:r>
          </w:p>
        </w:tc>
        <w:tc>
          <w:tcPr>
            <w:tcW w:w="696" w:type="dxa"/>
            <w:tcBorders>
              <w:top w:val="nil"/>
            </w:tcBorders>
            <w:noWrap/>
            <w:vAlign w:val="center"/>
            <w:hideMark/>
          </w:tcPr>
          <w:p w14:paraId="11F832FA"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w:t>
            </w:r>
          </w:p>
        </w:tc>
        <w:tc>
          <w:tcPr>
            <w:tcW w:w="726" w:type="dxa"/>
            <w:tcBorders>
              <w:top w:val="nil"/>
            </w:tcBorders>
            <w:vAlign w:val="center"/>
            <w:hideMark/>
          </w:tcPr>
          <w:p w14:paraId="79C84F6C"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c>
          <w:tcPr>
            <w:tcW w:w="5169" w:type="dxa"/>
            <w:gridSpan w:val="4"/>
            <w:vMerge/>
            <w:vAlign w:val="center"/>
            <w:hideMark/>
          </w:tcPr>
          <w:p w14:paraId="149BE1B1" w14:textId="39103841" w:rsidR="00423C58" w:rsidRPr="00B846AF" w:rsidRDefault="00423C58" w:rsidP="00B846AF">
            <w:pPr>
              <w:spacing w:after="0" w:line="360" w:lineRule="auto"/>
              <w:rPr>
                <w:rFonts w:ascii="Times New Roman" w:eastAsia="Times New Roman" w:hAnsi="Times New Roman" w:cs="Times New Roman"/>
                <w:kern w:val="0"/>
                <w14:ligatures w14:val="none"/>
              </w:rPr>
            </w:pPr>
          </w:p>
        </w:tc>
      </w:tr>
      <w:tr w:rsidR="00423C58" w:rsidRPr="00B846AF" w14:paraId="72808C5B" w14:textId="77777777" w:rsidTr="00B0699D">
        <w:trPr>
          <w:trHeight w:val="312"/>
        </w:trPr>
        <w:tc>
          <w:tcPr>
            <w:tcW w:w="1619" w:type="dxa"/>
            <w:vMerge/>
            <w:tcBorders>
              <w:top w:val="nil"/>
            </w:tcBorders>
            <w:vAlign w:val="center"/>
            <w:hideMark/>
          </w:tcPr>
          <w:p w14:paraId="6D38C3C6" w14:textId="77777777" w:rsidR="00423C58" w:rsidRPr="00B846AF" w:rsidRDefault="00423C58" w:rsidP="00B846AF">
            <w:pPr>
              <w:spacing w:after="0" w:line="360" w:lineRule="auto"/>
              <w:rPr>
                <w:rFonts w:ascii="Times New Roman" w:eastAsia="Times New Roman" w:hAnsi="Times New Roman" w:cs="Times New Roman"/>
                <w:kern w:val="0"/>
                <w14:ligatures w14:val="none"/>
              </w:rPr>
            </w:pPr>
          </w:p>
        </w:tc>
        <w:tc>
          <w:tcPr>
            <w:tcW w:w="2825" w:type="dxa"/>
            <w:tcBorders>
              <w:top w:val="nil"/>
            </w:tcBorders>
            <w:noWrap/>
            <w:vAlign w:val="center"/>
            <w:hideMark/>
          </w:tcPr>
          <w:p w14:paraId="35BB6FA7"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Nickel price</w:t>
            </w:r>
          </w:p>
        </w:tc>
        <w:tc>
          <w:tcPr>
            <w:tcW w:w="1364" w:type="dxa"/>
            <w:tcBorders>
              <w:top w:val="nil"/>
            </w:tcBorders>
            <w:noWrap/>
            <w:vAlign w:val="center"/>
            <w:hideMark/>
          </w:tcPr>
          <w:p w14:paraId="72B722B8"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$/kg</w:t>
            </w:r>
          </w:p>
        </w:tc>
        <w:tc>
          <w:tcPr>
            <w:tcW w:w="709" w:type="dxa"/>
            <w:tcBorders>
              <w:top w:val="nil"/>
            </w:tcBorders>
            <w:noWrap/>
            <w:vAlign w:val="center"/>
            <w:hideMark/>
          </w:tcPr>
          <w:p w14:paraId="76BBF0DD"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w:t>
            </w:r>
          </w:p>
        </w:tc>
        <w:tc>
          <w:tcPr>
            <w:tcW w:w="850" w:type="dxa"/>
            <w:tcBorders>
              <w:top w:val="nil"/>
            </w:tcBorders>
            <w:noWrap/>
            <w:vAlign w:val="center"/>
            <w:hideMark/>
          </w:tcPr>
          <w:p w14:paraId="23145096"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w:t>
            </w:r>
          </w:p>
        </w:tc>
        <w:tc>
          <w:tcPr>
            <w:tcW w:w="696" w:type="dxa"/>
            <w:tcBorders>
              <w:top w:val="nil"/>
            </w:tcBorders>
            <w:noWrap/>
            <w:vAlign w:val="center"/>
            <w:hideMark/>
          </w:tcPr>
          <w:p w14:paraId="5D645F89"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w:t>
            </w:r>
          </w:p>
        </w:tc>
        <w:tc>
          <w:tcPr>
            <w:tcW w:w="726" w:type="dxa"/>
            <w:tcBorders>
              <w:top w:val="nil"/>
            </w:tcBorders>
            <w:vAlign w:val="center"/>
            <w:hideMark/>
          </w:tcPr>
          <w:p w14:paraId="6EB1EAD3"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w:t>
            </w:r>
          </w:p>
        </w:tc>
        <w:tc>
          <w:tcPr>
            <w:tcW w:w="5169" w:type="dxa"/>
            <w:gridSpan w:val="4"/>
            <w:vMerge/>
            <w:vAlign w:val="center"/>
            <w:hideMark/>
          </w:tcPr>
          <w:p w14:paraId="3A8A9B9C" w14:textId="1B2C7D8D" w:rsidR="00423C58" w:rsidRPr="00B846AF" w:rsidRDefault="00423C58" w:rsidP="00B846AF">
            <w:pPr>
              <w:spacing w:after="0" w:line="360" w:lineRule="auto"/>
              <w:rPr>
                <w:rFonts w:ascii="Times New Roman" w:eastAsia="Times New Roman" w:hAnsi="Times New Roman" w:cs="Times New Roman"/>
                <w:kern w:val="0"/>
                <w14:ligatures w14:val="none"/>
              </w:rPr>
            </w:pPr>
          </w:p>
        </w:tc>
      </w:tr>
      <w:tr w:rsidR="00423C58" w:rsidRPr="00B846AF" w14:paraId="77A97312" w14:textId="77777777" w:rsidTr="00B0699D">
        <w:trPr>
          <w:trHeight w:val="360"/>
        </w:trPr>
        <w:tc>
          <w:tcPr>
            <w:tcW w:w="1619" w:type="dxa"/>
            <w:vMerge/>
            <w:tcBorders>
              <w:top w:val="nil"/>
            </w:tcBorders>
            <w:vAlign w:val="center"/>
            <w:hideMark/>
          </w:tcPr>
          <w:p w14:paraId="48957359" w14:textId="77777777" w:rsidR="00423C58" w:rsidRPr="00B846AF" w:rsidRDefault="00423C58" w:rsidP="00B846AF">
            <w:pPr>
              <w:spacing w:after="0" w:line="360" w:lineRule="auto"/>
              <w:rPr>
                <w:rFonts w:ascii="Times New Roman" w:eastAsia="Times New Roman" w:hAnsi="Times New Roman" w:cs="Times New Roman"/>
                <w:kern w:val="0"/>
                <w14:ligatures w14:val="none"/>
              </w:rPr>
            </w:pPr>
          </w:p>
        </w:tc>
        <w:tc>
          <w:tcPr>
            <w:tcW w:w="2825" w:type="dxa"/>
            <w:tcBorders>
              <w:top w:val="nil"/>
            </w:tcBorders>
            <w:noWrap/>
            <w:vAlign w:val="center"/>
            <w:hideMark/>
          </w:tcPr>
          <w:p w14:paraId="2876F394"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CO</w:t>
            </w:r>
            <w:r w:rsidRPr="00B846AF">
              <w:rPr>
                <w:rFonts w:ascii="Times New Roman" w:eastAsia="Times New Roman" w:hAnsi="Times New Roman" w:cs="Times New Roman"/>
                <w:kern w:val="0"/>
                <w:vertAlign w:val="subscript"/>
                <w14:ligatures w14:val="none"/>
              </w:rPr>
              <w:t>2</w:t>
            </w:r>
            <w:r w:rsidRPr="00B846AF">
              <w:rPr>
                <w:rFonts w:ascii="Times New Roman" w:eastAsia="Times New Roman" w:hAnsi="Times New Roman" w:cs="Times New Roman"/>
                <w:kern w:val="0"/>
                <w14:ligatures w14:val="none"/>
              </w:rPr>
              <w:t xml:space="preserve"> price</w:t>
            </w:r>
          </w:p>
        </w:tc>
        <w:tc>
          <w:tcPr>
            <w:tcW w:w="1364" w:type="dxa"/>
            <w:tcBorders>
              <w:top w:val="nil"/>
            </w:tcBorders>
            <w:noWrap/>
            <w:vAlign w:val="center"/>
            <w:hideMark/>
          </w:tcPr>
          <w:p w14:paraId="766B2ADC"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$/t</w:t>
            </w:r>
          </w:p>
        </w:tc>
        <w:tc>
          <w:tcPr>
            <w:tcW w:w="709" w:type="dxa"/>
            <w:tcBorders>
              <w:top w:val="nil"/>
            </w:tcBorders>
            <w:noWrap/>
            <w:vAlign w:val="center"/>
            <w:hideMark/>
          </w:tcPr>
          <w:p w14:paraId="08583FAC"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720</w:t>
            </w:r>
          </w:p>
        </w:tc>
        <w:tc>
          <w:tcPr>
            <w:tcW w:w="850" w:type="dxa"/>
            <w:tcBorders>
              <w:top w:val="nil"/>
            </w:tcBorders>
            <w:noWrap/>
            <w:vAlign w:val="center"/>
            <w:hideMark/>
          </w:tcPr>
          <w:p w14:paraId="3C8F65CD"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285</w:t>
            </w:r>
          </w:p>
        </w:tc>
        <w:tc>
          <w:tcPr>
            <w:tcW w:w="696" w:type="dxa"/>
            <w:tcBorders>
              <w:top w:val="nil"/>
            </w:tcBorders>
            <w:noWrap/>
            <w:vAlign w:val="center"/>
            <w:hideMark/>
          </w:tcPr>
          <w:p w14:paraId="64414BC7"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1500</w:t>
            </w:r>
          </w:p>
        </w:tc>
        <w:tc>
          <w:tcPr>
            <w:tcW w:w="726" w:type="dxa"/>
            <w:tcBorders>
              <w:top w:val="nil"/>
            </w:tcBorders>
            <w:vAlign w:val="center"/>
            <w:hideMark/>
          </w:tcPr>
          <w:p w14:paraId="3804F71F"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w:t>
            </w:r>
          </w:p>
        </w:tc>
        <w:tc>
          <w:tcPr>
            <w:tcW w:w="5169" w:type="dxa"/>
            <w:gridSpan w:val="4"/>
            <w:vMerge/>
            <w:vAlign w:val="center"/>
            <w:hideMark/>
          </w:tcPr>
          <w:p w14:paraId="31893455" w14:textId="0F8DBD51" w:rsidR="00423C58" w:rsidRPr="00B846AF" w:rsidRDefault="00423C58" w:rsidP="00B846AF">
            <w:pPr>
              <w:spacing w:after="0" w:line="360" w:lineRule="auto"/>
              <w:rPr>
                <w:rFonts w:ascii="Times New Roman" w:eastAsia="Times New Roman" w:hAnsi="Times New Roman" w:cs="Times New Roman"/>
                <w:kern w:val="0"/>
                <w14:ligatures w14:val="none"/>
              </w:rPr>
            </w:pPr>
          </w:p>
        </w:tc>
      </w:tr>
      <w:tr w:rsidR="00423C58" w:rsidRPr="00B846AF" w14:paraId="3B110807" w14:textId="77777777" w:rsidTr="00B0699D">
        <w:trPr>
          <w:trHeight w:val="312"/>
        </w:trPr>
        <w:tc>
          <w:tcPr>
            <w:tcW w:w="1619" w:type="dxa"/>
            <w:vMerge/>
            <w:tcBorders>
              <w:top w:val="nil"/>
            </w:tcBorders>
            <w:vAlign w:val="center"/>
            <w:hideMark/>
          </w:tcPr>
          <w:p w14:paraId="3AB083B5" w14:textId="77777777" w:rsidR="00423C58" w:rsidRPr="00B846AF" w:rsidRDefault="00423C58" w:rsidP="00B846AF">
            <w:pPr>
              <w:spacing w:after="0" w:line="360" w:lineRule="auto"/>
              <w:rPr>
                <w:rFonts w:ascii="Times New Roman" w:eastAsia="Times New Roman" w:hAnsi="Times New Roman" w:cs="Times New Roman"/>
                <w:kern w:val="0"/>
                <w14:ligatures w14:val="none"/>
              </w:rPr>
            </w:pPr>
          </w:p>
        </w:tc>
        <w:tc>
          <w:tcPr>
            <w:tcW w:w="2825" w:type="dxa"/>
            <w:tcBorders>
              <w:top w:val="nil"/>
            </w:tcBorders>
            <w:noWrap/>
            <w:vAlign w:val="center"/>
            <w:hideMark/>
          </w:tcPr>
          <w:p w14:paraId="20B98E7F"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Base price (NaOH)</w:t>
            </w:r>
          </w:p>
        </w:tc>
        <w:tc>
          <w:tcPr>
            <w:tcW w:w="1364" w:type="dxa"/>
            <w:tcBorders>
              <w:top w:val="nil"/>
            </w:tcBorders>
            <w:noWrap/>
            <w:vAlign w:val="center"/>
            <w:hideMark/>
          </w:tcPr>
          <w:p w14:paraId="099C6C84"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$/t</w:t>
            </w:r>
          </w:p>
        </w:tc>
        <w:tc>
          <w:tcPr>
            <w:tcW w:w="709" w:type="dxa"/>
            <w:tcBorders>
              <w:top w:val="nil"/>
            </w:tcBorders>
            <w:noWrap/>
            <w:vAlign w:val="center"/>
            <w:hideMark/>
          </w:tcPr>
          <w:p w14:paraId="50FBB747"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100</w:t>
            </w:r>
          </w:p>
        </w:tc>
        <w:tc>
          <w:tcPr>
            <w:tcW w:w="850" w:type="dxa"/>
            <w:tcBorders>
              <w:top w:val="nil"/>
            </w:tcBorders>
            <w:noWrap/>
            <w:vAlign w:val="center"/>
            <w:hideMark/>
          </w:tcPr>
          <w:p w14:paraId="63B308E4"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w:t>
            </w:r>
          </w:p>
        </w:tc>
        <w:tc>
          <w:tcPr>
            <w:tcW w:w="696" w:type="dxa"/>
            <w:tcBorders>
              <w:top w:val="nil"/>
            </w:tcBorders>
            <w:noWrap/>
            <w:vAlign w:val="center"/>
            <w:hideMark/>
          </w:tcPr>
          <w:p w14:paraId="6668F475"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300</w:t>
            </w:r>
          </w:p>
        </w:tc>
        <w:tc>
          <w:tcPr>
            <w:tcW w:w="726" w:type="dxa"/>
            <w:tcBorders>
              <w:top w:val="nil"/>
            </w:tcBorders>
            <w:vAlign w:val="center"/>
            <w:hideMark/>
          </w:tcPr>
          <w:p w14:paraId="63772057"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42</w:t>
            </w:r>
          </w:p>
        </w:tc>
        <w:tc>
          <w:tcPr>
            <w:tcW w:w="5169" w:type="dxa"/>
            <w:gridSpan w:val="4"/>
            <w:vMerge/>
            <w:vAlign w:val="center"/>
            <w:hideMark/>
          </w:tcPr>
          <w:p w14:paraId="6C20A2C3" w14:textId="78F0653C" w:rsidR="00423C58" w:rsidRPr="00B846AF" w:rsidRDefault="00423C58" w:rsidP="00B846AF">
            <w:pPr>
              <w:spacing w:after="0" w:line="360" w:lineRule="auto"/>
              <w:rPr>
                <w:rFonts w:ascii="Times New Roman" w:eastAsia="Times New Roman" w:hAnsi="Times New Roman" w:cs="Times New Roman"/>
                <w:kern w:val="0"/>
                <w14:ligatures w14:val="none"/>
              </w:rPr>
            </w:pPr>
          </w:p>
        </w:tc>
      </w:tr>
      <w:tr w:rsidR="00423C58" w:rsidRPr="00B846AF" w14:paraId="66AC0211" w14:textId="77777777" w:rsidTr="00B0699D">
        <w:trPr>
          <w:trHeight w:val="312"/>
        </w:trPr>
        <w:tc>
          <w:tcPr>
            <w:tcW w:w="1619" w:type="dxa"/>
            <w:vMerge/>
            <w:tcBorders>
              <w:top w:val="nil"/>
            </w:tcBorders>
            <w:vAlign w:val="center"/>
            <w:hideMark/>
          </w:tcPr>
          <w:p w14:paraId="176DD1AE" w14:textId="77777777" w:rsidR="00423C58" w:rsidRPr="00B846AF" w:rsidRDefault="00423C58" w:rsidP="00B846AF">
            <w:pPr>
              <w:spacing w:after="0" w:line="360" w:lineRule="auto"/>
              <w:rPr>
                <w:rFonts w:ascii="Times New Roman" w:eastAsia="Times New Roman" w:hAnsi="Times New Roman" w:cs="Times New Roman"/>
                <w:kern w:val="0"/>
                <w14:ligatures w14:val="none"/>
              </w:rPr>
            </w:pPr>
          </w:p>
        </w:tc>
        <w:tc>
          <w:tcPr>
            <w:tcW w:w="2825" w:type="dxa"/>
            <w:tcBorders>
              <w:top w:val="nil"/>
            </w:tcBorders>
            <w:noWrap/>
            <w:vAlign w:val="center"/>
            <w:hideMark/>
          </w:tcPr>
          <w:p w14:paraId="6B11D195"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Magnesium Carbonate Price</w:t>
            </w:r>
          </w:p>
        </w:tc>
        <w:tc>
          <w:tcPr>
            <w:tcW w:w="1364" w:type="dxa"/>
            <w:tcBorders>
              <w:top w:val="nil"/>
            </w:tcBorders>
            <w:noWrap/>
            <w:vAlign w:val="center"/>
            <w:hideMark/>
          </w:tcPr>
          <w:p w14:paraId="25A22503"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$/kg</w:t>
            </w:r>
          </w:p>
        </w:tc>
        <w:tc>
          <w:tcPr>
            <w:tcW w:w="709" w:type="dxa"/>
            <w:tcBorders>
              <w:top w:val="nil"/>
            </w:tcBorders>
            <w:noWrap/>
            <w:vAlign w:val="center"/>
            <w:hideMark/>
          </w:tcPr>
          <w:p w14:paraId="58729C82"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0.1</w:t>
            </w:r>
          </w:p>
        </w:tc>
        <w:tc>
          <w:tcPr>
            <w:tcW w:w="850" w:type="dxa"/>
            <w:tcBorders>
              <w:top w:val="nil"/>
            </w:tcBorders>
            <w:noWrap/>
            <w:vAlign w:val="center"/>
            <w:hideMark/>
          </w:tcPr>
          <w:p w14:paraId="3FEB1ED0"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0.05</w:t>
            </w:r>
          </w:p>
        </w:tc>
        <w:tc>
          <w:tcPr>
            <w:tcW w:w="696" w:type="dxa"/>
            <w:tcBorders>
              <w:top w:val="nil"/>
            </w:tcBorders>
            <w:noWrap/>
            <w:vAlign w:val="center"/>
            <w:hideMark/>
          </w:tcPr>
          <w:p w14:paraId="3A09E782"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c>
          <w:tcPr>
            <w:tcW w:w="726" w:type="dxa"/>
            <w:tcBorders>
              <w:top w:val="nil"/>
            </w:tcBorders>
            <w:vAlign w:val="center"/>
            <w:hideMark/>
          </w:tcPr>
          <w:p w14:paraId="290326D1"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0.03</w:t>
            </w:r>
          </w:p>
        </w:tc>
        <w:tc>
          <w:tcPr>
            <w:tcW w:w="5169" w:type="dxa"/>
            <w:gridSpan w:val="4"/>
            <w:vMerge/>
            <w:vAlign w:val="center"/>
            <w:hideMark/>
          </w:tcPr>
          <w:p w14:paraId="78F4E96D" w14:textId="018BC42E" w:rsidR="00423C58" w:rsidRPr="00B846AF" w:rsidRDefault="00423C58" w:rsidP="00B846AF">
            <w:pPr>
              <w:spacing w:after="0" w:line="360" w:lineRule="auto"/>
              <w:rPr>
                <w:rFonts w:ascii="Times New Roman" w:eastAsia="Times New Roman" w:hAnsi="Times New Roman" w:cs="Times New Roman"/>
                <w:kern w:val="0"/>
                <w14:ligatures w14:val="none"/>
              </w:rPr>
            </w:pPr>
          </w:p>
        </w:tc>
      </w:tr>
      <w:tr w:rsidR="00423C58" w:rsidRPr="00B846AF" w14:paraId="7F027D32" w14:textId="77777777" w:rsidTr="00B0699D">
        <w:trPr>
          <w:trHeight w:val="372"/>
        </w:trPr>
        <w:tc>
          <w:tcPr>
            <w:tcW w:w="1619" w:type="dxa"/>
            <w:vMerge/>
            <w:tcBorders>
              <w:top w:val="nil"/>
            </w:tcBorders>
            <w:vAlign w:val="center"/>
            <w:hideMark/>
          </w:tcPr>
          <w:p w14:paraId="6FD82F99" w14:textId="77777777" w:rsidR="00423C58" w:rsidRPr="00B846AF" w:rsidRDefault="00423C58" w:rsidP="00B846AF">
            <w:pPr>
              <w:spacing w:after="0" w:line="360" w:lineRule="auto"/>
              <w:rPr>
                <w:rFonts w:ascii="Times New Roman" w:eastAsia="Times New Roman" w:hAnsi="Times New Roman" w:cs="Times New Roman"/>
                <w:kern w:val="0"/>
                <w14:ligatures w14:val="none"/>
              </w:rPr>
            </w:pPr>
          </w:p>
        </w:tc>
        <w:tc>
          <w:tcPr>
            <w:tcW w:w="2825" w:type="dxa"/>
            <w:tcBorders>
              <w:top w:val="nil"/>
            </w:tcBorders>
            <w:noWrap/>
            <w:vAlign w:val="center"/>
            <w:hideMark/>
          </w:tcPr>
          <w:p w14:paraId="53A6F039"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Make-up water price</w:t>
            </w:r>
          </w:p>
        </w:tc>
        <w:tc>
          <w:tcPr>
            <w:tcW w:w="1364" w:type="dxa"/>
            <w:tcBorders>
              <w:top w:val="nil"/>
            </w:tcBorders>
            <w:noWrap/>
            <w:vAlign w:val="center"/>
            <w:hideMark/>
          </w:tcPr>
          <w:p w14:paraId="465AAD6C"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$/m</w:t>
            </w:r>
            <w:r w:rsidRPr="00B846AF">
              <w:rPr>
                <w:rFonts w:ascii="Times New Roman" w:eastAsia="Times New Roman" w:hAnsi="Times New Roman" w:cs="Times New Roman"/>
                <w:kern w:val="0"/>
                <w:vertAlign w:val="superscript"/>
                <w14:ligatures w14:val="none"/>
              </w:rPr>
              <w:t>3</w:t>
            </w:r>
          </w:p>
        </w:tc>
        <w:tc>
          <w:tcPr>
            <w:tcW w:w="709" w:type="dxa"/>
            <w:tcBorders>
              <w:top w:val="nil"/>
            </w:tcBorders>
            <w:noWrap/>
            <w:vAlign w:val="center"/>
            <w:hideMark/>
          </w:tcPr>
          <w:p w14:paraId="1FBBE599"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c>
          <w:tcPr>
            <w:tcW w:w="850" w:type="dxa"/>
            <w:tcBorders>
              <w:top w:val="nil"/>
            </w:tcBorders>
            <w:noWrap/>
            <w:vAlign w:val="center"/>
            <w:hideMark/>
          </w:tcPr>
          <w:p w14:paraId="0663DE80"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0.1</w:t>
            </w:r>
          </w:p>
        </w:tc>
        <w:tc>
          <w:tcPr>
            <w:tcW w:w="696" w:type="dxa"/>
            <w:tcBorders>
              <w:top w:val="nil"/>
            </w:tcBorders>
            <w:noWrap/>
            <w:vAlign w:val="center"/>
            <w:hideMark/>
          </w:tcPr>
          <w:p w14:paraId="405B85A7"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726" w:type="dxa"/>
            <w:tcBorders>
              <w:top w:val="nil"/>
            </w:tcBorders>
            <w:vAlign w:val="center"/>
            <w:hideMark/>
          </w:tcPr>
          <w:p w14:paraId="12233781"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0.07</w:t>
            </w:r>
          </w:p>
        </w:tc>
        <w:tc>
          <w:tcPr>
            <w:tcW w:w="5169" w:type="dxa"/>
            <w:gridSpan w:val="4"/>
            <w:vMerge/>
            <w:vAlign w:val="center"/>
            <w:hideMark/>
          </w:tcPr>
          <w:p w14:paraId="6C150F8D" w14:textId="0FE541CA" w:rsidR="00423C58" w:rsidRPr="00B846AF" w:rsidRDefault="00423C58" w:rsidP="00B846AF">
            <w:pPr>
              <w:spacing w:after="0" w:line="360" w:lineRule="auto"/>
              <w:rPr>
                <w:rFonts w:ascii="Times New Roman" w:eastAsia="Times New Roman" w:hAnsi="Times New Roman" w:cs="Times New Roman"/>
                <w:kern w:val="0"/>
                <w14:ligatures w14:val="none"/>
              </w:rPr>
            </w:pPr>
          </w:p>
        </w:tc>
      </w:tr>
      <w:tr w:rsidR="00423C58" w:rsidRPr="00B846AF" w14:paraId="29337D3E" w14:textId="77777777" w:rsidTr="00B0699D">
        <w:trPr>
          <w:trHeight w:val="312"/>
        </w:trPr>
        <w:tc>
          <w:tcPr>
            <w:tcW w:w="1619" w:type="dxa"/>
            <w:vMerge/>
            <w:tcBorders>
              <w:top w:val="nil"/>
            </w:tcBorders>
            <w:vAlign w:val="center"/>
            <w:hideMark/>
          </w:tcPr>
          <w:p w14:paraId="1D89D370" w14:textId="77777777" w:rsidR="00423C58" w:rsidRPr="00B846AF" w:rsidRDefault="00423C58" w:rsidP="00B846AF">
            <w:pPr>
              <w:spacing w:after="0" w:line="360" w:lineRule="auto"/>
              <w:rPr>
                <w:rFonts w:ascii="Times New Roman" w:eastAsia="Times New Roman" w:hAnsi="Times New Roman" w:cs="Times New Roman"/>
                <w:kern w:val="0"/>
                <w14:ligatures w14:val="none"/>
              </w:rPr>
            </w:pPr>
          </w:p>
        </w:tc>
        <w:tc>
          <w:tcPr>
            <w:tcW w:w="2825" w:type="dxa"/>
            <w:tcBorders>
              <w:top w:val="nil"/>
            </w:tcBorders>
            <w:noWrap/>
            <w:vAlign w:val="center"/>
            <w:hideMark/>
          </w:tcPr>
          <w:p w14:paraId="4B81354C"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Discount rate</w:t>
            </w:r>
          </w:p>
        </w:tc>
        <w:tc>
          <w:tcPr>
            <w:tcW w:w="1364" w:type="dxa"/>
            <w:tcBorders>
              <w:top w:val="nil"/>
            </w:tcBorders>
            <w:noWrap/>
            <w:vAlign w:val="center"/>
            <w:hideMark/>
          </w:tcPr>
          <w:p w14:paraId="36E674A2"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w:t>
            </w:r>
          </w:p>
        </w:tc>
        <w:tc>
          <w:tcPr>
            <w:tcW w:w="709" w:type="dxa"/>
            <w:tcBorders>
              <w:top w:val="nil"/>
            </w:tcBorders>
            <w:noWrap/>
            <w:vAlign w:val="center"/>
            <w:hideMark/>
          </w:tcPr>
          <w:p w14:paraId="42154464"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w:t>
            </w:r>
          </w:p>
        </w:tc>
        <w:tc>
          <w:tcPr>
            <w:tcW w:w="850" w:type="dxa"/>
            <w:tcBorders>
              <w:top w:val="nil"/>
            </w:tcBorders>
            <w:noWrap/>
            <w:vAlign w:val="center"/>
            <w:hideMark/>
          </w:tcPr>
          <w:p w14:paraId="44ED8C7D"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w:t>
            </w:r>
          </w:p>
        </w:tc>
        <w:tc>
          <w:tcPr>
            <w:tcW w:w="696" w:type="dxa"/>
            <w:tcBorders>
              <w:top w:val="nil"/>
            </w:tcBorders>
            <w:noWrap/>
            <w:vAlign w:val="center"/>
            <w:hideMark/>
          </w:tcPr>
          <w:p w14:paraId="68338148"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w:t>
            </w:r>
          </w:p>
        </w:tc>
        <w:tc>
          <w:tcPr>
            <w:tcW w:w="726" w:type="dxa"/>
            <w:tcBorders>
              <w:top w:val="nil"/>
            </w:tcBorders>
            <w:vAlign w:val="center"/>
            <w:hideMark/>
          </w:tcPr>
          <w:p w14:paraId="1AF39A40"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0.01</w:t>
            </w:r>
          </w:p>
        </w:tc>
        <w:tc>
          <w:tcPr>
            <w:tcW w:w="5169" w:type="dxa"/>
            <w:gridSpan w:val="4"/>
            <w:vMerge/>
            <w:vAlign w:val="center"/>
            <w:hideMark/>
          </w:tcPr>
          <w:p w14:paraId="0E713CBB" w14:textId="03E610F9" w:rsidR="00423C58" w:rsidRPr="00B846AF" w:rsidRDefault="00423C58" w:rsidP="00B846AF">
            <w:pPr>
              <w:spacing w:after="0" w:line="360" w:lineRule="auto"/>
              <w:rPr>
                <w:rFonts w:ascii="Times New Roman" w:eastAsia="Times New Roman" w:hAnsi="Times New Roman" w:cs="Times New Roman"/>
                <w:kern w:val="0"/>
                <w14:ligatures w14:val="none"/>
              </w:rPr>
            </w:pPr>
          </w:p>
        </w:tc>
      </w:tr>
      <w:tr w:rsidR="00423C58" w:rsidRPr="00B846AF" w14:paraId="4A29C120" w14:textId="77777777" w:rsidTr="00B0699D">
        <w:trPr>
          <w:trHeight w:val="312"/>
        </w:trPr>
        <w:tc>
          <w:tcPr>
            <w:tcW w:w="1619" w:type="dxa"/>
            <w:vMerge/>
            <w:tcBorders>
              <w:top w:val="nil"/>
              <w:bottom w:val="single" w:sz="4" w:space="0" w:color="BFBFBF" w:themeColor="background1" w:themeShade="BF"/>
            </w:tcBorders>
            <w:vAlign w:val="center"/>
            <w:hideMark/>
          </w:tcPr>
          <w:p w14:paraId="37588CEA" w14:textId="77777777" w:rsidR="00423C58" w:rsidRPr="00B846AF" w:rsidRDefault="00423C58" w:rsidP="00B846AF">
            <w:pPr>
              <w:spacing w:after="0" w:line="360" w:lineRule="auto"/>
              <w:rPr>
                <w:rFonts w:ascii="Times New Roman" w:eastAsia="Times New Roman" w:hAnsi="Times New Roman" w:cs="Times New Roman"/>
                <w:kern w:val="0"/>
                <w14:ligatures w14:val="none"/>
              </w:rPr>
            </w:pPr>
          </w:p>
        </w:tc>
        <w:tc>
          <w:tcPr>
            <w:tcW w:w="2825" w:type="dxa"/>
            <w:tcBorders>
              <w:top w:val="nil"/>
              <w:bottom w:val="single" w:sz="4" w:space="0" w:color="BFBFBF" w:themeColor="background1" w:themeShade="BF"/>
            </w:tcBorders>
            <w:noWrap/>
            <w:vAlign w:val="center"/>
            <w:hideMark/>
          </w:tcPr>
          <w:p w14:paraId="5B22BB3B"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MRV cost share</w:t>
            </w:r>
          </w:p>
        </w:tc>
        <w:tc>
          <w:tcPr>
            <w:tcW w:w="1364" w:type="dxa"/>
            <w:tcBorders>
              <w:top w:val="nil"/>
              <w:bottom w:val="single" w:sz="4" w:space="0" w:color="BFBFBF" w:themeColor="background1" w:themeShade="BF"/>
            </w:tcBorders>
            <w:noWrap/>
            <w:vAlign w:val="center"/>
            <w:hideMark/>
          </w:tcPr>
          <w:p w14:paraId="5E75B88C"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w:t>
            </w:r>
          </w:p>
        </w:tc>
        <w:tc>
          <w:tcPr>
            <w:tcW w:w="709" w:type="dxa"/>
            <w:tcBorders>
              <w:top w:val="nil"/>
              <w:bottom w:val="single" w:sz="4" w:space="0" w:color="BFBFBF" w:themeColor="background1" w:themeShade="BF"/>
            </w:tcBorders>
            <w:noWrap/>
            <w:vAlign w:val="center"/>
            <w:hideMark/>
          </w:tcPr>
          <w:p w14:paraId="6535C533"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w:t>
            </w:r>
          </w:p>
        </w:tc>
        <w:tc>
          <w:tcPr>
            <w:tcW w:w="850" w:type="dxa"/>
            <w:tcBorders>
              <w:top w:val="nil"/>
              <w:bottom w:val="single" w:sz="4" w:space="0" w:color="BFBFBF" w:themeColor="background1" w:themeShade="BF"/>
            </w:tcBorders>
            <w:noWrap/>
            <w:vAlign w:val="center"/>
            <w:hideMark/>
          </w:tcPr>
          <w:p w14:paraId="5ADB1669"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w:t>
            </w:r>
          </w:p>
        </w:tc>
        <w:tc>
          <w:tcPr>
            <w:tcW w:w="696" w:type="dxa"/>
            <w:tcBorders>
              <w:top w:val="nil"/>
              <w:bottom w:val="single" w:sz="4" w:space="0" w:color="BFBFBF" w:themeColor="background1" w:themeShade="BF"/>
            </w:tcBorders>
            <w:noWrap/>
            <w:vAlign w:val="center"/>
            <w:hideMark/>
          </w:tcPr>
          <w:p w14:paraId="21F78EAA"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726" w:type="dxa"/>
            <w:tcBorders>
              <w:top w:val="nil"/>
              <w:bottom w:val="single" w:sz="4" w:space="0" w:color="BFBFBF" w:themeColor="background1" w:themeShade="BF"/>
            </w:tcBorders>
            <w:vAlign w:val="center"/>
            <w:hideMark/>
          </w:tcPr>
          <w:p w14:paraId="3128E567"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0.02</w:t>
            </w:r>
          </w:p>
        </w:tc>
        <w:tc>
          <w:tcPr>
            <w:tcW w:w="5169" w:type="dxa"/>
            <w:gridSpan w:val="4"/>
            <w:vMerge/>
            <w:tcBorders>
              <w:bottom w:val="single" w:sz="4" w:space="0" w:color="BFBFBF" w:themeColor="background1" w:themeShade="BF"/>
            </w:tcBorders>
            <w:vAlign w:val="center"/>
            <w:hideMark/>
          </w:tcPr>
          <w:p w14:paraId="08F56B80" w14:textId="6A51ECE9" w:rsidR="00423C58" w:rsidRPr="00B846AF" w:rsidRDefault="00423C58" w:rsidP="00B846AF">
            <w:pPr>
              <w:spacing w:after="0" w:line="360" w:lineRule="auto"/>
              <w:rPr>
                <w:rFonts w:ascii="Times New Roman" w:eastAsia="Times New Roman" w:hAnsi="Times New Roman" w:cs="Times New Roman"/>
                <w:kern w:val="0"/>
                <w14:ligatures w14:val="none"/>
              </w:rPr>
            </w:pPr>
          </w:p>
        </w:tc>
      </w:tr>
      <w:tr w:rsidR="00423C58" w:rsidRPr="00B846AF" w14:paraId="270B97C6" w14:textId="77777777" w:rsidTr="002D191E">
        <w:trPr>
          <w:trHeight w:val="360"/>
        </w:trPr>
        <w:tc>
          <w:tcPr>
            <w:tcW w:w="1619" w:type="dxa"/>
            <w:vMerge w:val="restart"/>
            <w:tcBorders>
              <w:top w:val="single" w:sz="4" w:space="0" w:color="BFBFBF" w:themeColor="background1" w:themeShade="BF"/>
            </w:tcBorders>
            <w:vAlign w:val="center"/>
            <w:hideMark/>
          </w:tcPr>
          <w:p w14:paraId="3EE2C83C"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Carbon</w:t>
            </w:r>
          </w:p>
        </w:tc>
        <w:tc>
          <w:tcPr>
            <w:tcW w:w="2825" w:type="dxa"/>
            <w:tcBorders>
              <w:top w:val="single" w:sz="4" w:space="0" w:color="BFBFBF" w:themeColor="background1" w:themeShade="BF"/>
            </w:tcBorders>
            <w:noWrap/>
            <w:vAlign w:val="center"/>
            <w:hideMark/>
          </w:tcPr>
          <w:p w14:paraId="1D2876F2"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Carbon intensity of electricity</w:t>
            </w:r>
          </w:p>
        </w:tc>
        <w:tc>
          <w:tcPr>
            <w:tcW w:w="1364" w:type="dxa"/>
            <w:tcBorders>
              <w:top w:val="single" w:sz="4" w:space="0" w:color="BFBFBF" w:themeColor="background1" w:themeShade="BF"/>
            </w:tcBorders>
            <w:noWrap/>
            <w:vAlign w:val="center"/>
            <w:hideMark/>
          </w:tcPr>
          <w:p w14:paraId="3467F0E4"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gCO</w:t>
            </w:r>
            <w:r w:rsidRPr="00B846AF">
              <w:rPr>
                <w:rFonts w:ascii="Times New Roman" w:eastAsia="Times New Roman" w:hAnsi="Times New Roman" w:cs="Times New Roman"/>
                <w:kern w:val="0"/>
                <w:vertAlign w:val="subscript"/>
                <w14:ligatures w14:val="none"/>
              </w:rPr>
              <w:t>2</w:t>
            </w:r>
            <w:r w:rsidRPr="00B846AF">
              <w:rPr>
                <w:rFonts w:ascii="Times New Roman" w:eastAsia="Times New Roman" w:hAnsi="Times New Roman" w:cs="Times New Roman"/>
                <w:kern w:val="0"/>
                <w14:ligatures w14:val="none"/>
              </w:rPr>
              <w:t>/kWh</w:t>
            </w:r>
          </w:p>
        </w:tc>
        <w:tc>
          <w:tcPr>
            <w:tcW w:w="709" w:type="dxa"/>
            <w:tcBorders>
              <w:top w:val="single" w:sz="4" w:space="0" w:color="BFBFBF" w:themeColor="background1" w:themeShade="BF"/>
            </w:tcBorders>
            <w:noWrap/>
            <w:vAlign w:val="center"/>
            <w:hideMark/>
          </w:tcPr>
          <w:p w14:paraId="12911F8A"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120</w:t>
            </w:r>
          </w:p>
        </w:tc>
        <w:tc>
          <w:tcPr>
            <w:tcW w:w="850" w:type="dxa"/>
            <w:tcBorders>
              <w:top w:val="single" w:sz="4" w:space="0" w:color="BFBFBF" w:themeColor="background1" w:themeShade="BF"/>
            </w:tcBorders>
            <w:noWrap/>
            <w:vAlign w:val="center"/>
            <w:hideMark/>
          </w:tcPr>
          <w:p w14:paraId="6473BA43"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w:t>
            </w:r>
          </w:p>
        </w:tc>
        <w:tc>
          <w:tcPr>
            <w:tcW w:w="696" w:type="dxa"/>
            <w:tcBorders>
              <w:top w:val="single" w:sz="4" w:space="0" w:color="BFBFBF" w:themeColor="background1" w:themeShade="BF"/>
            </w:tcBorders>
            <w:noWrap/>
            <w:vAlign w:val="center"/>
            <w:hideMark/>
          </w:tcPr>
          <w:p w14:paraId="46BD80F8"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500</w:t>
            </w:r>
          </w:p>
        </w:tc>
        <w:tc>
          <w:tcPr>
            <w:tcW w:w="726" w:type="dxa"/>
            <w:tcBorders>
              <w:top w:val="single" w:sz="4" w:space="0" w:color="BFBFBF" w:themeColor="background1" w:themeShade="BF"/>
            </w:tcBorders>
            <w:vAlign w:val="center"/>
            <w:hideMark/>
          </w:tcPr>
          <w:p w14:paraId="6F0981C2"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83</w:t>
            </w:r>
          </w:p>
        </w:tc>
        <w:tc>
          <w:tcPr>
            <w:tcW w:w="5169" w:type="dxa"/>
            <w:gridSpan w:val="4"/>
            <w:vMerge w:val="restart"/>
            <w:tcBorders>
              <w:top w:val="single" w:sz="4" w:space="0" w:color="BFBFBF" w:themeColor="background1" w:themeShade="BF"/>
            </w:tcBorders>
            <w:vAlign w:val="center"/>
            <w:hideMark/>
          </w:tcPr>
          <w:p w14:paraId="5AC3DD3F" w14:textId="7BB3CE92" w:rsidR="00423C58" w:rsidRPr="00B846AF" w:rsidRDefault="00423C58" w:rsidP="00B846AF">
            <w:pPr>
              <w:spacing w:after="0" w:line="360" w:lineRule="auto"/>
              <w:rPr>
                <w:rFonts w:ascii="Times New Roman" w:eastAsia="Times New Roman" w:hAnsi="Times New Roman" w:cs="Times New Roman"/>
                <w:kern w:val="0"/>
                <w14:ligatures w14:val="none"/>
              </w:rPr>
            </w:pPr>
          </w:p>
        </w:tc>
      </w:tr>
      <w:tr w:rsidR="00423C58" w:rsidRPr="00B846AF" w14:paraId="6C861839" w14:textId="77777777" w:rsidTr="002D191E">
        <w:trPr>
          <w:trHeight w:val="360"/>
        </w:trPr>
        <w:tc>
          <w:tcPr>
            <w:tcW w:w="1619" w:type="dxa"/>
            <w:vMerge/>
            <w:tcBorders>
              <w:bottom w:val="single" w:sz="4" w:space="0" w:color="auto"/>
            </w:tcBorders>
            <w:vAlign w:val="center"/>
            <w:hideMark/>
          </w:tcPr>
          <w:p w14:paraId="02CA5143" w14:textId="77777777" w:rsidR="00423C58" w:rsidRPr="00B846AF" w:rsidRDefault="00423C58" w:rsidP="00B846AF">
            <w:pPr>
              <w:spacing w:after="0" w:line="360" w:lineRule="auto"/>
              <w:rPr>
                <w:rFonts w:ascii="Times New Roman" w:eastAsia="Times New Roman" w:hAnsi="Times New Roman" w:cs="Times New Roman"/>
                <w:kern w:val="0"/>
                <w14:ligatures w14:val="none"/>
              </w:rPr>
            </w:pPr>
          </w:p>
        </w:tc>
        <w:tc>
          <w:tcPr>
            <w:tcW w:w="2825" w:type="dxa"/>
            <w:tcBorders>
              <w:bottom w:val="single" w:sz="4" w:space="0" w:color="auto"/>
            </w:tcBorders>
            <w:noWrap/>
            <w:vAlign w:val="center"/>
            <w:hideMark/>
          </w:tcPr>
          <w:p w14:paraId="269C3203"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Carbon intensity of water</w:t>
            </w:r>
          </w:p>
        </w:tc>
        <w:tc>
          <w:tcPr>
            <w:tcW w:w="1364" w:type="dxa"/>
            <w:tcBorders>
              <w:bottom w:val="single" w:sz="4" w:space="0" w:color="auto"/>
            </w:tcBorders>
            <w:noWrap/>
            <w:vAlign w:val="center"/>
            <w:hideMark/>
          </w:tcPr>
          <w:p w14:paraId="5137592F"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gCO</w:t>
            </w:r>
            <w:r w:rsidRPr="00B846AF">
              <w:rPr>
                <w:rFonts w:ascii="Times New Roman" w:eastAsia="Times New Roman" w:hAnsi="Times New Roman" w:cs="Times New Roman"/>
                <w:kern w:val="0"/>
                <w:vertAlign w:val="subscript"/>
                <w14:ligatures w14:val="none"/>
              </w:rPr>
              <w:t>2</w:t>
            </w:r>
            <w:r w:rsidRPr="00B846AF">
              <w:rPr>
                <w:rFonts w:ascii="Times New Roman" w:eastAsia="Times New Roman" w:hAnsi="Times New Roman" w:cs="Times New Roman"/>
                <w:kern w:val="0"/>
                <w14:ligatures w14:val="none"/>
              </w:rPr>
              <w:t>/t</w:t>
            </w:r>
          </w:p>
        </w:tc>
        <w:tc>
          <w:tcPr>
            <w:tcW w:w="709" w:type="dxa"/>
            <w:tcBorders>
              <w:bottom w:val="single" w:sz="4" w:space="0" w:color="auto"/>
            </w:tcBorders>
            <w:noWrap/>
            <w:vAlign w:val="center"/>
            <w:hideMark/>
          </w:tcPr>
          <w:p w14:paraId="5365447A"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500</w:t>
            </w:r>
          </w:p>
        </w:tc>
        <w:tc>
          <w:tcPr>
            <w:tcW w:w="850" w:type="dxa"/>
            <w:tcBorders>
              <w:bottom w:val="single" w:sz="4" w:space="0" w:color="auto"/>
            </w:tcBorders>
            <w:noWrap/>
            <w:vAlign w:val="center"/>
            <w:hideMark/>
          </w:tcPr>
          <w:p w14:paraId="6F00E571"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100</w:t>
            </w:r>
          </w:p>
        </w:tc>
        <w:tc>
          <w:tcPr>
            <w:tcW w:w="696" w:type="dxa"/>
            <w:tcBorders>
              <w:bottom w:val="single" w:sz="4" w:space="0" w:color="auto"/>
            </w:tcBorders>
            <w:noWrap/>
            <w:vAlign w:val="center"/>
            <w:hideMark/>
          </w:tcPr>
          <w:p w14:paraId="106F1A30"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1000</w:t>
            </w:r>
          </w:p>
        </w:tc>
        <w:tc>
          <w:tcPr>
            <w:tcW w:w="726" w:type="dxa"/>
            <w:tcBorders>
              <w:bottom w:val="single" w:sz="4" w:space="0" w:color="auto"/>
            </w:tcBorders>
            <w:vAlign w:val="center"/>
            <w:hideMark/>
          </w:tcPr>
          <w:p w14:paraId="114C59EA" w14:textId="77777777" w:rsidR="00423C58" w:rsidRPr="00B846AF" w:rsidRDefault="00423C58" w:rsidP="00B846AF">
            <w:pPr>
              <w:spacing w:after="0" w:line="360" w:lineRule="auto"/>
              <w:jc w:val="center"/>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150</w:t>
            </w:r>
          </w:p>
        </w:tc>
        <w:tc>
          <w:tcPr>
            <w:tcW w:w="5169" w:type="dxa"/>
            <w:gridSpan w:val="4"/>
            <w:vMerge/>
            <w:tcBorders>
              <w:bottom w:val="single" w:sz="4" w:space="0" w:color="auto"/>
            </w:tcBorders>
            <w:vAlign w:val="center"/>
            <w:hideMark/>
          </w:tcPr>
          <w:p w14:paraId="39221B82" w14:textId="3866A3E2" w:rsidR="00423C58" w:rsidRPr="00B846AF" w:rsidRDefault="00423C58" w:rsidP="00B846AF">
            <w:pPr>
              <w:spacing w:after="0" w:line="360" w:lineRule="auto"/>
              <w:rPr>
                <w:rFonts w:ascii="Times New Roman" w:eastAsia="Times New Roman" w:hAnsi="Times New Roman" w:cs="Times New Roman"/>
                <w:kern w:val="0"/>
                <w14:ligatures w14:val="none"/>
              </w:rPr>
            </w:pPr>
          </w:p>
        </w:tc>
      </w:tr>
    </w:tbl>
    <w:p w14:paraId="6F5C4647" w14:textId="77777777" w:rsidR="00B846AF" w:rsidRPr="00B846AF" w:rsidRDefault="00B846AF" w:rsidP="00B846AF">
      <w:pPr>
        <w:spacing w:line="360" w:lineRule="auto"/>
        <w:jc w:val="both"/>
        <w:rPr>
          <w:rFonts w:ascii="Times New Roman" w:hAnsi="Times New Roman" w:cs="Times New Roman"/>
        </w:rPr>
      </w:pPr>
      <w:r w:rsidRPr="00B846AF">
        <w:rPr>
          <w:rFonts w:ascii="Times New Roman" w:hAnsi="Times New Roman" w:cs="Times New Roman"/>
        </w:rPr>
        <w:lastRenderedPageBreak/>
        <w:t>*Nickel mass percent in serpentine</w:t>
      </w:r>
    </w:p>
    <w:p w14:paraId="4201107F" w14:textId="77777777" w:rsidR="00B846AF" w:rsidRPr="00B846AF" w:rsidRDefault="00B846AF" w:rsidP="00B846AF">
      <w:pPr>
        <w:spacing w:line="360" w:lineRule="auto"/>
        <w:jc w:val="both"/>
        <w:rPr>
          <w:rFonts w:ascii="Times New Roman" w:hAnsi="Times New Roman" w:cs="Times New Roman"/>
          <w:i/>
          <w:iCs/>
        </w:rPr>
      </w:pPr>
      <w:r w:rsidRPr="00B846AF">
        <w:rPr>
          <w:rFonts w:ascii="Times New Roman" w:hAnsi="Times New Roman" w:cs="Times New Roman"/>
        </w:rPr>
        <w:t>** Physical removal percent of laterites from the reacted ore</w:t>
      </w:r>
    </w:p>
    <w:p w14:paraId="3DE2B7F8" w14:textId="77777777" w:rsidR="00B846AF" w:rsidRDefault="00B846AF" w:rsidP="00B846AF">
      <w:pPr>
        <w:spacing w:line="360" w:lineRule="auto"/>
        <w:jc w:val="both"/>
        <w:rPr>
          <w:rFonts w:ascii="Times New Roman" w:hAnsi="Times New Roman" w:cs="Times New Roman"/>
        </w:rPr>
      </w:pPr>
      <w:r w:rsidRPr="00B846AF">
        <w:rPr>
          <w:rFonts w:ascii="Times New Roman" w:hAnsi="Times New Roman" w:cs="Times New Roman"/>
        </w:rPr>
        <w:t>*** Excludes fixed OPEX that is calculated as a percentage of CAPEX and decreases as CAPEX declines.</w:t>
      </w:r>
    </w:p>
    <w:p w14:paraId="1336926D" w14:textId="5B73EABA" w:rsidR="009A4792" w:rsidRDefault="009A4792" w:rsidP="00B846AF">
      <w:pPr>
        <w:spacing w:after="0" w:line="360" w:lineRule="auto"/>
        <w:jc w:val="both"/>
        <w:rPr>
          <w:rFonts w:ascii="Times New Roman" w:eastAsia="Times New Roman" w:hAnsi="Times New Roman" w:cs="Times New Roman"/>
          <w:kern w:val="0"/>
          <w14:ligatures w14:val="none"/>
        </w:rPr>
      </w:pPr>
      <w:r w:rsidRPr="009A4792">
        <w:rPr>
          <w:rFonts w:ascii="Times New Roman" w:eastAsia="Times New Roman" w:hAnsi="Times New Roman" w:cs="Times New Roman"/>
          <w:kern w:val="0"/>
          <w14:ligatures w14:val="none"/>
        </w:rPr>
        <w:t xml:space="preserve">For global deployment projections, we apply optimized design variables, including tailings treatment capacity, excess acid ratio in heap leaching, acid molarity from bipolar membrane electrodialysis (BPMED), and the liquid-to-gas ratio of the air contactor. Region-specific parameters include temperature, electricity price, CO₂ price, electricity and water carbon intensities, nickel demand, location factor, </w:t>
      </w:r>
      <w:r w:rsidR="00E463B7">
        <w:rPr>
          <w:rFonts w:ascii="Times New Roman" w:eastAsia="Times New Roman" w:hAnsi="Times New Roman" w:cs="Times New Roman"/>
          <w:kern w:val="0"/>
          <w14:ligatures w14:val="none"/>
        </w:rPr>
        <w:t xml:space="preserve">installation factor </w:t>
      </w:r>
      <w:r w:rsidRPr="009A4792">
        <w:rPr>
          <w:rFonts w:ascii="Times New Roman" w:eastAsia="Times New Roman" w:hAnsi="Times New Roman" w:cs="Times New Roman"/>
          <w:kern w:val="0"/>
          <w14:ligatures w14:val="none"/>
        </w:rPr>
        <w:t xml:space="preserve">and </w:t>
      </w:r>
      <w:proofErr w:type="spellStart"/>
      <w:r w:rsidRPr="009A4792">
        <w:rPr>
          <w:rFonts w:ascii="Times New Roman" w:eastAsia="Times New Roman" w:hAnsi="Times New Roman" w:cs="Times New Roman"/>
          <w:kern w:val="0"/>
          <w14:ligatures w14:val="none"/>
        </w:rPr>
        <w:t>labor</w:t>
      </w:r>
      <w:proofErr w:type="spellEnd"/>
      <w:r w:rsidRPr="009A4792">
        <w:rPr>
          <w:rFonts w:ascii="Times New Roman" w:eastAsia="Times New Roman" w:hAnsi="Times New Roman" w:cs="Times New Roman"/>
          <w:kern w:val="0"/>
          <w14:ligatures w14:val="none"/>
        </w:rPr>
        <w:t xml:space="preserve"> cost. Uncertainty is characterized through Monte Carlo simulations (1,000 samples per variable), covering feedstock and process performance (nickel content in serpentine, physical removal efficiency, nickel recovery, current density, C/Mg ratio, Mg reaction rate), techno-economic factors (membrane price, waste/sediment treatment fee, nickel price, NaOH price, magnesium carbonate price, make-up water price, nanofiltration salt rejection rate, discount rate), and monitoring, reporting, and verification (MRV) share</w:t>
      </w:r>
      <w:r>
        <w:rPr>
          <w:rFonts w:ascii="Times New Roman" w:eastAsia="Times New Roman" w:hAnsi="Times New Roman" w:cs="Times New Roman"/>
          <w:kern w:val="0"/>
          <w14:ligatures w14:val="none"/>
        </w:rPr>
        <w:t>.</w:t>
      </w:r>
    </w:p>
    <w:p w14:paraId="3DB88B26" w14:textId="462EF9EB" w:rsidR="00B846AF" w:rsidRPr="00B846AF" w:rsidRDefault="00B846AF" w:rsidP="00B846AF">
      <w:pPr>
        <w:spacing w:after="0" w:line="360" w:lineRule="auto"/>
        <w:jc w:val="both"/>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 xml:space="preserve">Equivalent starting capacity </w:t>
      </w:r>
      <w:proofErr w:type="spellStart"/>
      <w:r w:rsidRPr="00B846AF">
        <w:rPr>
          <w:rFonts w:ascii="Times New Roman" w:eastAsia="Times New Roman" w:hAnsi="Times New Roman" w:cs="Times New Roman"/>
          <w:b/>
          <w:bCs/>
          <w:kern w:val="0"/>
          <w14:ligatures w14:val="none"/>
        </w:rPr>
        <w:t>C_min</w:t>
      </w:r>
      <w:proofErr w:type="spellEnd"/>
      <w:r w:rsidRPr="00B846AF">
        <w:rPr>
          <w:rFonts w:ascii="Times New Roman" w:eastAsia="Times New Roman" w:hAnsi="Times New Roman" w:cs="Times New Roman"/>
          <w:b/>
          <w:bCs/>
          <w:kern w:val="0"/>
          <w14:ligatures w14:val="none"/>
        </w:rPr>
        <w:t xml:space="preserve"> applied in the hybrid cost curve.</w:t>
      </w:r>
    </w:p>
    <w:p w14:paraId="6BBEF36A" w14:textId="5385A990" w:rsidR="00B846AF" w:rsidRPr="00B846AF" w:rsidRDefault="00B846AF" w:rsidP="00B846AF">
      <w:pPr>
        <w:spacing w:line="360" w:lineRule="auto"/>
        <w:jc w:val="both"/>
        <w:rPr>
          <w:rFonts w:ascii="Times New Roman" w:hAnsi="Times New Roman" w:cs="Times New Roman"/>
        </w:rPr>
      </w:pPr>
      <w:r w:rsidRPr="00B846AF">
        <w:rPr>
          <w:rFonts w:ascii="Times New Roman" w:eastAsia="Times New Roman" w:hAnsi="Times New Roman" w:cs="Times New Roman"/>
          <w:kern w:val="0"/>
          <w14:ligatures w14:val="none"/>
        </w:rPr>
        <w:t>Heap leaching is well established process that ramp up to steady state production. Global Nickel laterite heap leaching has been demonstrated over the past 10–20 years on a large scale by almost all major mining companies and several juniors</w:t>
      </w:r>
      <w:r w:rsidRPr="00B846AF">
        <w:rPr>
          <w:rFonts w:ascii="Times New Roman" w:hAnsi="Times New Roman" w:cs="Times New Roman"/>
        </w:rPr>
        <w:fldChar w:fldCharType="begin"/>
      </w:r>
      <w:r w:rsidR="007C2590">
        <w:rPr>
          <w:rFonts w:ascii="Times New Roman" w:hAnsi="Times New Roman" w:cs="Times New Roman"/>
        </w:rPr>
        <w:instrText xml:space="preserve"> ADDIN ZOTERO_ITEM CSL_CITATION {"citationID":"UN92nPCz","properties":{"formattedCitation":"\\super 13\\nosupersub{}","plainCitation":"13","noteIndex":0},"citationItems":[{"id":303,"uris":["http://zotero.org/users/12559992/items/MK2DCCRA"],"itemData":{"id":303,"type":"article-journal","abstract":"With the majority of nickel naturally occurring in laterite ores but the majority of production still in sulphides, it is high time there was a standalone commercial nickel laterite heap leach operation. The broad success of heap leaching of other metals has allowed hitherto uneconomic deposits to undergo successful economic exploitation, and heap leaching now accounts for at least one third of global copper and gold production. Nickel laterites are no different, every major and several junior nickel miners have evaluated nickel laterite heap leaching over the past decade and shown projects to have robust economics, with much lower capital costs than alternative hydrometallurgical options which have in general been dismal failures, both technically and commercially. Nickel Laterite Heap leaching is simple and flexible, and can be applied to the many laterite deposits that currently have no realistic path to production. This paper aims to review the current state of nickel laterite processing and aims to show that heap leaching of nickel laterites is a viable and economically attractive alternative.","collection-title":"Processing of Nickel Ores &amp; Concentrates","container-title":"Minerals Engineering","DOI":"10.1016/j.mineng.2015.09.018","ISSN":"0892-6875","journalAbbreviation":"Minerals Engineering","page":"53-60","source":"ScienceDirect","title":"Why heap leach nickel laterites?","volume":"88","author":[{"family":"Oxley","given":"Anne"},{"family":"Smith","given":"Mark E."},{"family":"Caceres","given":"Omar"}],"issued":{"date-parts":[["2016",3,15]]}}}],"schema":"https://github.com/citation-style-language/schema/raw/master/csl-citation.json"} </w:instrText>
      </w:r>
      <w:r w:rsidRPr="00B846AF">
        <w:rPr>
          <w:rFonts w:ascii="Times New Roman" w:hAnsi="Times New Roman" w:cs="Times New Roman"/>
        </w:rPr>
        <w:fldChar w:fldCharType="separate"/>
      </w:r>
      <w:r w:rsidR="007C2590" w:rsidRPr="007C2590">
        <w:rPr>
          <w:rFonts w:ascii="Times New Roman" w:hAnsi="Times New Roman" w:cs="Times New Roman"/>
          <w:kern w:val="0"/>
          <w:vertAlign w:val="superscript"/>
        </w:rPr>
        <w:t>13</w:t>
      </w:r>
      <w:r w:rsidRPr="00B846AF">
        <w:rPr>
          <w:rFonts w:ascii="Times New Roman" w:hAnsi="Times New Roman" w:cs="Times New Roman"/>
        </w:rPr>
        <w:fldChar w:fldCharType="end"/>
      </w:r>
      <w:r w:rsidRPr="00B846AF">
        <w:rPr>
          <w:rFonts w:ascii="Times New Roman" w:eastAsia="Times New Roman" w:hAnsi="Times New Roman" w:cs="Times New Roman"/>
          <w:kern w:val="0"/>
          <w14:ligatures w14:val="none"/>
        </w:rPr>
        <w:t>.</w:t>
      </w:r>
    </w:p>
    <w:p w14:paraId="178D15B5" w14:textId="001FB3F4"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hAnsi="Times New Roman" w:cs="Times New Roman"/>
        </w:rPr>
        <w:t>The global Bipolar Membranes market is projected to be $ 356.2 million in 2024, with estimated NaOH production cost of $118-310 per ton NaOH</w:t>
      </w:r>
      <w:r w:rsidRPr="00B846AF">
        <w:rPr>
          <w:rFonts w:ascii="Times New Roman" w:eastAsia="Times New Roman" w:hAnsi="Times New Roman" w:cs="Times New Roman"/>
          <w:u w:val="single"/>
        </w:rPr>
        <w:fldChar w:fldCharType="begin"/>
      </w:r>
      <w:r w:rsidR="007C2590">
        <w:rPr>
          <w:rFonts w:ascii="Times New Roman" w:eastAsia="Times New Roman" w:hAnsi="Times New Roman" w:cs="Times New Roman"/>
          <w:u w:val="single"/>
        </w:rPr>
        <w:instrText xml:space="preserve"> ADDIN ZOTERO_ITEM CSL_CITATION {"citationID":"qFUJtwSl","properties":{"formattedCitation":"\\super 14,15\\nosupersub{}","plainCitation":"14,15","noteIndex":0},"citationItems":[{"id":669,"uris":["http://zotero.org/users/12559992/items/AJEE8J9H"],"itemData":{"id":669,"type":"webpage","abstract":"Bipolar Membranes Market was US$ 356.2 million in 2024 and is expected to reach US$ 757.5 million by 2030, at a CAGR of 13.4 during the years 2024 - 2030. Pages: 95, Tables &amp; Figures: 110, Product: Bipolar Membranes, Product-Type: Homogeneous Bipolar Membranes_x000D_, Heterogeneous Bipolar Membranes_x000D_, Application: Chlor-Alkali Processing_x000D_, Energy_x000D_, Water Treatment_x000D_, Others_x000D_, Published-date: Jul-24-2024, Price: Single User = $4900, Multi User = $7350, Enterprise User = $9800.","container-title":"Valuates Reports","language":"en","title":"Bipolar Membranes Market, Report Size, Worth, Revenue, Growth, Industry Value, Share 2024","URL":"https://reports.valuates.com/market-reports/QYRE-Auto-32U2344/global-bipolar-membranes","author":[{"family":"Valuates Reports","given":""}],"accessed":{"date-parts":[["2025",1,28]]},"issued":{"date-parts":[["2024"]]}}},{"id":671,"uris":["http://zotero.org/users/12559992/items/TSJAWUMX"],"itemData":{"id":671,"type":"article-journal","abstract":"Sodium hydroxide and hydrochloric acid are widely used chemicals in different industrial sectors. To minimize costs and risks associated with transportation, handling and storage, these hazardous chemicals can be produced in situ employing electrodialysis with bipolar membranes (EDBM). This work presents a multi-scale model capable of simulating large scale EDBM units with complex stack configuration (i.e., internal staging) that can be used to design and optimize the process. The model was validated in two different process configurations using experimental results obtained from an EDBM pilot plant. Discrepancies between model and experimental results in the range of 2–11 % were obtained. The validated model was used to conduct a techno-economic evaluation adopting the feed and bleed configuration. Results show that current efficiency increases as the current density rises. At 600 A m−2, values of current efficiency between 72 % and 96 % were found for sodium hydroxide concentration in the range of 0.5–1 mol L−1. The levelized cost of sodium hydroxide (LCoNaOH) was evaluated, in the same range of concentrations, demonstrating that values between 280 and 370 € ton−1 can be obtained, fixing the electricity prince (0.1 kWh kg−1) and the triplet specific cost (600 US$ m−2). Moreover, assuming a reduced cost of electricity and triplet to 0.05 kWh kg−1 and 300 US$ m−2, respectively, an absolute minimum of 140 € ton−1 was found for the target 0.5 mol L−1. A double stage EDBM configuration was simulated to show the scale-up potentials of the multi-scale model. A reduction in the LcoNaOH of 10 % was obtained for a target concentration of 1 mol L−1. These results prove the attractiveness of the EDBM technology for producing in situ chemicals.","container-title":"Desalination","DOI":"10.1016/j.desal.2024.117724","ISSN":"0011-9164","journalAbbreviation":"Desalination","page":"117724","source":"ScienceDirect","title":"Multi-scale modelling of an electrodialysis with bipolar membranes pilot plant and economic evaluation of its potential","volume":"583","author":[{"family":"Virruso","given":"Giovanni"},{"family":"Cassaro","given":"Calogero"},{"family":"Culcasi","given":"Andrea"},{"family":"Cipollina","given":"Andrea"},{"family":"Tamburini","given":"Alessandro"},{"family":"Bogle","given":"I. David L."},{"family":"Micale","given":"Giorgio D. M."}],"issued":{"date-parts":[["2024",8,19]]}}}],"schema":"https://github.com/citation-style-language/schema/raw/master/csl-citation.json"} </w:instrText>
      </w:r>
      <w:r w:rsidRPr="00B846AF">
        <w:rPr>
          <w:rFonts w:ascii="Times New Roman" w:eastAsia="Times New Roman" w:hAnsi="Times New Roman" w:cs="Times New Roman"/>
          <w:u w:val="single"/>
        </w:rPr>
        <w:fldChar w:fldCharType="separate"/>
      </w:r>
      <w:r w:rsidR="007C2590" w:rsidRPr="007C2590">
        <w:rPr>
          <w:rFonts w:ascii="Times New Roman" w:hAnsi="Times New Roman" w:cs="Times New Roman"/>
          <w:kern w:val="0"/>
          <w:vertAlign w:val="superscript"/>
        </w:rPr>
        <w:t>14,15</w:t>
      </w:r>
      <w:r w:rsidRPr="00B846AF">
        <w:rPr>
          <w:rFonts w:ascii="Times New Roman" w:eastAsia="Times New Roman" w:hAnsi="Times New Roman" w:cs="Times New Roman"/>
          <w:u w:val="single"/>
        </w:rPr>
        <w:fldChar w:fldCharType="end"/>
      </w:r>
      <w:r w:rsidRPr="00B846AF">
        <w:rPr>
          <w:rFonts w:ascii="Times New Roman" w:hAnsi="Times New Roman" w:cs="Times New Roman"/>
        </w:rPr>
        <w:t>, using theoretical solid-liquid ratio of 1mol serpentine (tailings): 6 mol  HCl (then NaOH), with serpentine molecular weight of 287 g mol</w:t>
      </w:r>
      <w:r w:rsidRPr="00B846AF">
        <w:rPr>
          <w:rFonts w:ascii="Times New Roman" w:hAnsi="Times New Roman" w:cs="Times New Roman"/>
          <w:vertAlign w:val="superscript"/>
        </w:rPr>
        <w:t>-1</w:t>
      </w:r>
      <w:r w:rsidRPr="00B846AF">
        <w:rPr>
          <w:rFonts w:ascii="Times New Roman" w:hAnsi="Times New Roman" w:cs="Times New Roman"/>
        </w:rPr>
        <w:t>, the equivalent tailings capacity for BPMED is 3.7 million tonnes tailings.</w:t>
      </w:r>
    </w:p>
    <w:p w14:paraId="1A867F52" w14:textId="3DE52FEF" w:rsidR="00B846AF" w:rsidRPr="00B846AF" w:rsidRDefault="00B846AF" w:rsidP="00B846AF">
      <w:pPr>
        <w:spacing w:line="360" w:lineRule="auto"/>
        <w:jc w:val="both"/>
        <w:rPr>
          <w:rFonts w:ascii="Times New Roman" w:hAnsi="Times New Roman" w:cs="Times New Roman"/>
        </w:rPr>
      </w:pPr>
      <w:r w:rsidRPr="00B846AF">
        <w:rPr>
          <w:rFonts w:ascii="Times New Roman" w:hAnsi="Times New Roman" w:cs="Times New Roman"/>
        </w:rPr>
        <w:t>Nickel extraction through Fe(II)-catalysed recrystallization has been demonstrated at lab scale</w:t>
      </w:r>
      <w:r w:rsidRPr="00B846AF">
        <w:rPr>
          <w:rFonts w:ascii="Times New Roman" w:hAnsi="Times New Roman" w:cs="Times New Roman"/>
        </w:rPr>
        <w:fldChar w:fldCharType="begin"/>
      </w:r>
      <w:r w:rsidR="007C2590">
        <w:rPr>
          <w:rFonts w:ascii="Times New Roman" w:hAnsi="Times New Roman" w:cs="Times New Roman"/>
        </w:rPr>
        <w:instrText xml:space="preserve"> ADDIN ZOTERO_ITEM CSL_CITATION {"citationID":"OFptMWNM","properties":{"formattedCitation":"\\super 16\\nosupersub{}","plainCitation":"16","noteIndex":0},"citationItems":[{"id":238,"uris":["http://zotero.org/users/12559992/items/ULR49UID"],"itemData":{"id":238,"type":"article-journal","abstract":"Goethite is dispersed throughout Earth’s surficial environment and is a major host of Ni. Here we explore Ni cycling and its negative feedback on Fe(II)-catalyzed recrystallization of goethite by (i) suspending Ni-substituted goethite in Ni(II)-free solutions and (ii) reacting pure goethite with Ni(II)aq in the presence and absence of 57Fe-enriched Fe(II)aq at pH 7.5. Roughly 10% of substituted Ni is released from the crystal structure of goethite by Fe(II)aq and accumulates in solution and at the mineral surface, whereas only 1% of Ni release occurs in Fe(II)-free controls after 41 days of reaction. Dissolved Ni readily sorbs onto pure goethite and is mostly recovered through an acid extraction, but in the presence of Fe(II)aq, a significant fraction of Ni incorporates into the mineral and is only recoverable after complete dissolution of the solid. Sequential dissolution of goethite suggests that Ni penetrates deep into the bulk structure when there are extensive amounts of recrystallization, as evidenced by the near congruent dissolution of Ni and Fe. Changes in the tracer isotope (57Fe) composition of Fe(II)aq and (Ni-substituted) goethite, along with an increase in the goethite crystallite size, show that Ni cycling is connected to Fe(II)-catalyzed recrystallization. The extent of recrystallization decreases as Ni substitution (compared to pure goethite having the same initial crystallinity) and Ni(II)aq concentration increase. Inhibition, however, is more pronounced when Ni accumulates at the mineral surface. These findings show that Fe(II)-catalyzed recrystallization can redistribute Ni among iron oxide lattices, surfaces, and aqueous solutions, but negative feedback by sorbed Ni diminishes such reactivity. Goethite recrystallization may be enhanced in open systems where labile Ni is periodically leached.","container-title":"ACS Earth and Space Chemistry","DOI":"10.1021/acsearthspacechem.9b00137","issue":"9","journalAbbreviation":"ACS Earth Space Chem.","note":"publisher: American Chemical Society","page":"1932-1941","source":"ACS Publications","title":"Nickel Cycling and Negative Feedback on Fe(II)-Catalyzed Recrystallization of Goethite","volume":"3","author":[{"family":"Frierdich","given":"Andrew J."},{"family":"McBride","given":"Adam"},{"family":"Tomkinson","given":"Samuel"},{"family":"Southall","given":"Scarlett C."}],"issued":{"date-parts":[["2019",9,19]]}}}],"schema":"https://github.com/citation-style-language/schema/raw/master/csl-citation.json"} </w:instrText>
      </w:r>
      <w:r w:rsidRPr="00B846AF">
        <w:rPr>
          <w:rFonts w:ascii="Times New Roman" w:hAnsi="Times New Roman" w:cs="Times New Roman"/>
        </w:rPr>
        <w:fldChar w:fldCharType="separate"/>
      </w:r>
      <w:r w:rsidR="007C2590" w:rsidRPr="007C2590">
        <w:rPr>
          <w:rFonts w:ascii="Times New Roman" w:hAnsi="Times New Roman" w:cs="Times New Roman"/>
          <w:kern w:val="0"/>
          <w:vertAlign w:val="superscript"/>
        </w:rPr>
        <w:t>16</w:t>
      </w:r>
      <w:r w:rsidRPr="00B846AF">
        <w:rPr>
          <w:rFonts w:ascii="Times New Roman" w:hAnsi="Times New Roman" w:cs="Times New Roman"/>
        </w:rPr>
        <w:fldChar w:fldCharType="end"/>
      </w:r>
      <w:r w:rsidRPr="00B846AF">
        <w:rPr>
          <w:rFonts w:ascii="Times New Roman" w:hAnsi="Times New Roman" w:cs="Times New Roman"/>
        </w:rPr>
        <w:t xml:space="preserve"> and its application with artificial laterites is still under the proof of concept at the time of writing (as part of the research project). </w:t>
      </w:r>
    </w:p>
    <w:p w14:paraId="34CF39F7" w14:textId="4ED55416" w:rsidR="00B846AF" w:rsidRPr="00B846AF" w:rsidRDefault="00B846AF" w:rsidP="00B846AF">
      <w:pPr>
        <w:spacing w:line="360" w:lineRule="auto"/>
        <w:jc w:val="both"/>
        <w:rPr>
          <w:rFonts w:ascii="Times New Roman" w:hAnsi="Times New Roman" w:cs="Times New Roman"/>
        </w:rPr>
      </w:pPr>
      <w:r w:rsidRPr="00B846AF">
        <w:rPr>
          <w:rFonts w:ascii="Times New Roman" w:hAnsi="Times New Roman" w:cs="Times New Roman"/>
        </w:rPr>
        <w:t>It is estimated that the CO</w:t>
      </w:r>
      <w:r w:rsidRPr="00B846AF">
        <w:rPr>
          <w:rFonts w:ascii="Times New Roman" w:hAnsi="Times New Roman" w:cs="Times New Roman"/>
          <w:vertAlign w:val="subscript"/>
        </w:rPr>
        <w:t>2</w:t>
      </w:r>
      <w:r w:rsidRPr="00B846AF">
        <w:rPr>
          <w:rFonts w:ascii="Times New Roman" w:hAnsi="Times New Roman" w:cs="Times New Roman"/>
        </w:rPr>
        <w:t xml:space="preserve"> capture capacity by DAC is 59ktone CO</w:t>
      </w:r>
      <w:r w:rsidRPr="00B846AF">
        <w:rPr>
          <w:rFonts w:ascii="Times New Roman" w:hAnsi="Times New Roman" w:cs="Times New Roman"/>
          <w:vertAlign w:val="subscript"/>
        </w:rPr>
        <w:t xml:space="preserve">2 </w:t>
      </w:r>
      <w:r w:rsidRPr="00B846AF">
        <w:rPr>
          <w:rFonts w:ascii="Times New Roman" w:hAnsi="Times New Roman" w:cs="Times New Roman"/>
        </w:rPr>
        <w:t>yr</w:t>
      </w:r>
      <w:r w:rsidRPr="00B846AF">
        <w:rPr>
          <w:rFonts w:ascii="Times New Roman" w:hAnsi="Times New Roman" w:cs="Times New Roman"/>
          <w:vertAlign w:val="superscript"/>
        </w:rPr>
        <w:t>-1</w:t>
      </w:r>
      <w:r w:rsidRPr="00B846AF">
        <w:rPr>
          <w:rFonts w:ascii="Times New Roman" w:hAnsi="Times New Roman" w:cs="Times New Roman"/>
        </w:rPr>
        <w:t xml:space="preserve"> </w:t>
      </w:r>
      <w:r w:rsidRPr="00B846AF">
        <w:rPr>
          <w:rFonts w:ascii="Times New Roman" w:hAnsi="Times New Roman" w:cs="Times New Roman"/>
        </w:rPr>
        <w:fldChar w:fldCharType="begin"/>
      </w:r>
      <w:r w:rsidR="007C2590">
        <w:rPr>
          <w:rFonts w:ascii="Times New Roman" w:hAnsi="Times New Roman" w:cs="Times New Roman"/>
        </w:rPr>
        <w:instrText xml:space="preserve"> ADDIN ZOTERO_ITEM CSL_CITATION {"citationID":"ZYgAWYu4","properties":{"formattedCitation":"\\super 17\\nosupersub{}","plainCitation":"17","noteIndex":0},"citationItems":[{"id":675,"uris":["http://zotero.org/users/12559992/items/P7B3TBVX"],"itemData":{"id":675,"type":"webpage","abstract":"AlliedOffsets and Direct Air Capture Coalition mapped 93 DAC facilities worldwide by 2024, driven by a rise in global investments and a 7.8x capacity growth.","language":"en","title":"Tracking Global DAC Deployments","URL":"https://blog.alliedoffsets.com/tracking-global-dac-deployments","author":[{"family":"Allied offsets","given":""}],"accessed":{"date-parts":[["2025",1,28]]},"issued":{"date-parts":[["2024"]]}}}],"schema":"https://github.com/citation-style-language/schema/raw/master/csl-citation.json"} </w:instrText>
      </w:r>
      <w:r w:rsidRPr="00B846AF">
        <w:rPr>
          <w:rFonts w:ascii="Times New Roman" w:hAnsi="Times New Roman" w:cs="Times New Roman"/>
        </w:rPr>
        <w:fldChar w:fldCharType="separate"/>
      </w:r>
      <w:r w:rsidR="007C2590" w:rsidRPr="007C2590">
        <w:rPr>
          <w:rFonts w:ascii="Times New Roman" w:hAnsi="Times New Roman" w:cs="Times New Roman"/>
          <w:kern w:val="0"/>
          <w:vertAlign w:val="superscript"/>
        </w:rPr>
        <w:t>17</w:t>
      </w:r>
      <w:r w:rsidRPr="00B846AF">
        <w:rPr>
          <w:rFonts w:ascii="Times New Roman" w:hAnsi="Times New Roman" w:cs="Times New Roman"/>
        </w:rPr>
        <w:fldChar w:fldCharType="end"/>
      </w:r>
      <w:r w:rsidRPr="00B846AF">
        <w:rPr>
          <w:rFonts w:ascii="Times New Roman" w:hAnsi="Times New Roman" w:cs="Times New Roman"/>
        </w:rPr>
        <w:t>; based on the FOAK scald of 33kt tailings/8365 tonne CO</w:t>
      </w:r>
      <w:r w:rsidRPr="00B846AF">
        <w:rPr>
          <w:rFonts w:ascii="Times New Roman" w:hAnsi="Times New Roman" w:cs="Times New Roman"/>
          <w:vertAlign w:val="subscript"/>
        </w:rPr>
        <w:t>2</w:t>
      </w:r>
      <w:r w:rsidRPr="00B846AF">
        <w:rPr>
          <w:rFonts w:ascii="Times New Roman" w:hAnsi="Times New Roman" w:cs="Times New Roman"/>
        </w:rPr>
        <w:t xml:space="preserve"> capture, the equivalent tailings capacity for DAC is 0.2million tonnes tailings.</w:t>
      </w:r>
    </w:p>
    <w:p w14:paraId="0CEF9605" w14:textId="77777777" w:rsidR="00B846AF" w:rsidRPr="00B846AF" w:rsidRDefault="00B846AF" w:rsidP="00B846AF">
      <w:pPr>
        <w:spacing w:line="360" w:lineRule="auto"/>
        <w:jc w:val="both"/>
        <w:rPr>
          <w:rFonts w:ascii="Times New Roman" w:hAnsi="Times New Roman" w:cs="Times New Roman"/>
        </w:rPr>
      </w:pPr>
      <w:r w:rsidRPr="00B846AF">
        <w:rPr>
          <w:rFonts w:ascii="Times New Roman" w:hAnsi="Times New Roman" w:cs="Times New Roman"/>
        </w:rPr>
        <w:lastRenderedPageBreak/>
        <w:t>Global mineralization capacity by the end of 2024 is 200k tonne CO</w:t>
      </w:r>
      <w:r w:rsidRPr="00B846AF">
        <w:rPr>
          <w:rFonts w:ascii="Times New Roman" w:hAnsi="Times New Roman" w:cs="Times New Roman"/>
          <w:vertAlign w:val="subscript"/>
        </w:rPr>
        <w:t>2</w:t>
      </w:r>
      <w:r w:rsidRPr="00B846AF">
        <w:rPr>
          <w:rFonts w:ascii="Times New Roman" w:hAnsi="Times New Roman" w:cs="Times New Roman"/>
        </w:rPr>
        <w:t xml:space="preserve"> (based on mineralization purchased from </w:t>
      </w:r>
      <w:proofErr w:type="spellStart"/>
      <w:r w:rsidRPr="00B846AF">
        <w:rPr>
          <w:rFonts w:ascii="Times New Roman" w:hAnsi="Times New Roman" w:cs="Times New Roman"/>
        </w:rPr>
        <w:t>CDR.fyi</w:t>
      </w:r>
      <w:proofErr w:type="spellEnd"/>
      <w:r w:rsidRPr="00B846AF">
        <w:rPr>
          <w:rFonts w:ascii="Times New Roman" w:hAnsi="Times New Roman" w:cs="Times New Roman"/>
        </w:rPr>
        <w:t>. Based on the FOAK scald of 33kt tailings/8365 tonne CO</w:t>
      </w:r>
      <w:r w:rsidRPr="00B846AF">
        <w:rPr>
          <w:rFonts w:ascii="Times New Roman" w:hAnsi="Times New Roman" w:cs="Times New Roman"/>
          <w:vertAlign w:val="subscript"/>
        </w:rPr>
        <w:t>2</w:t>
      </w:r>
      <w:r w:rsidRPr="00B846AF">
        <w:rPr>
          <w:rFonts w:ascii="Times New Roman" w:hAnsi="Times New Roman" w:cs="Times New Roman"/>
        </w:rPr>
        <w:t xml:space="preserve"> capture, the equivalent tailings treatment capacity could be 0.8 million tonne tailings.</w:t>
      </w:r>
    </w:p>
    <w:p w14:paraId="5E5AF6C3" w14:textId="148D0913" w:rsidR="00B846AF" w:rsidRPr="00B846AF" w:rsidRDefault="00B846AF" w:rsidP="00B846AF">
      <w:pPr>
        <w:spacing w:line="360" w:lineRule="auto"/>
        <w:jc w:val="both"/>
        <w:rPr>
          <w:rFonts w:ascii="Times New Roman" w:hAnsi="Times New Roman" w:cs="Times New Roman"/>
        </w:rPr>
      </w:pPr>
      <w:r w:rsidRPr="00B846AF">
        <w:rPr>
          <w:rFonts w:ascii="Times New Roman" w:hAnsi="Times New Roman" w:cs="Times New Roman"/>
        </w:rPr>
        <w:t>The worldwide brine desalination capacity is estimated to be 34.8 billion tone by 2019</w:t>
      </w:r>
      <w:r w:rsidRPr="00B846AF">
        <w:rPr>
          <w:rFonts w:ascii="Times New Roman" w:hAnsi="Times New Roman" w:cs="Times New Roman"/>
        </w:rPr>
        <w:fldChar w:fldCharType="begin"/>
      </w:r>
      <w:r w:rsidR="007C2590">
        <w:rPr>
          <w:rFonts w:ascii="Times New Roman" w:hAnsi="Times New Roman" w:cs="Times New Roman"/>
        </w:rPr>
        <w:instrText xml:space="preserve"> ADDIN ZOTERO_ITEM CSL_CITATION {"citationID":"X5uHcCX7","properties":{"formattedCitation":"\\super 18\\nosupersub{}","plainCitation":"18","noteIndex":0},"citationItems":[{"id":677,"uris":["http://zotero.org/users/12559992/items/MYUNLNC8"],"itemData":{"id":677,"type":"article-journal","abstract":"Rising water demands and diminishing water supplies are exacerbating water scarcity in most world regions. Conventional approaches relying on rainfall and river runoff in water scarce areas are no longer sufficient to meet human demands. Unconventional water resources, such as desalinated water, are expected to play a key role in narrowing the water demand-supply gap. Our synthesis of desalination data suggests that there are 15,906 operational desalination plants producing around 95 million m3/day of desalinated water for human use, of which 48% is produced in the Middle East and North Africa region. A major challenge associated with desalination technologies is the production of a typically hypersaline concentrate (termed ‘brine’) discharge that requires disposal, which is both costly and associated with negative environmental impacts. Our estimates reveal brine production to be around 142 million m3/day, approximately 50% greater than previous quantifications. Brine production in Saudi Arabia, UAE, Kuwait and Qatar accounts for 55% of the total global share. Improved brine management strategies are required to limit the negative environmental impacts and reduce the economic cost of disposal, thereby stimulating further developments in desalination facilities to safeguard water supplies for current and future generations.","container-title":"Science of The Total Environment","DOI":"10.1016/j.scitotenv.2018.12.076","ISSN":"0048-9697","journalAbbreviation":"Science of The Total Environment","page":"1343-1356","source":"ScienceDirect","title":"The state of desalination and brine production: A global outlook","title-short":"The state of desalination and brine production","volume":"657","author":[{"family":"Jones","given":"Edward"},{"family":"Qadir","given":"Manzoor"},{"family":"Vliet","given":"Michelle T. H.","non-dropping-particle":"van"},{"family":"Smakhtin","given":"Vladimir"},{"family":"Kang","given":"Seong-mu"}],"issued":{"date-parts":[["2019",3,20]]}}}],"schema":"https://github.com/citation-style-language/schema/raw/master/csl-citation.json"} </w:instrText>
      </w:r>
      <w:r w:rsidRPr="00B846AF">
        <w:rPr>
          <w:rFonts w:ascii="Times New Roman" w:hAnsi="Times New Roman" w:cs="Times New Roman"/>
        </w:rPr>
        <w:fldChar w:fldCharType="separate"/>
      </w:r>
      <w:r w:rsidR="007C2590" w:rsidRPr="007C2590">
        <w:rPr>
          <w:rFonts w:ascii="Times New Roman" w:hAnsi="Times New Roman" w:cs="Times New Roman"/>
          <w:kern w:val="0"/>
          <w:vertAlign w:val="superscript"/>
        </w:rPr>
        <w:t>18</w:t>
      </w:r>
      <w:r w:rsidRPr="00B846AF">
        <w:rPr>
          <w:rFonts w:ascii="Times New Roman" w:hAnsi="Times New Roman" w:cs="Times New Roman"/>
        </w:rPr>
        <w:fldChar w:fldCharType="end"/>
      </w:r>
      <w:r w:rsidRPr="00B846AF">
        <w:rPr>
          <w:rFonts w:ascii="Times New Roman" w:hAnsi="Times New Roman" w:cs="Times New Roman"/>
        </w:rPr>
        <w:t>;  Based on the FOAK case with 1million tonne brine/33ktonne tailings, the equivalent tailings treatment capacity is 33*34.8*1000/1000 = 1148 million tonne tailings.</w:t>
      </w:r>
    </w:p>
    <w:p w14:paraId="62B9727A" w14:textId="77777777" w:rsidR="00B846AF" w:rsidRDefault="00B846AF" w:rsidP="00B846AF">
      <w:pPr>
        <w:spacing w:line="360" w:lineRule="auto"/>
        <w:jc w:val="both"/>
        <w:rPr>
          <w:rFonts w:ascii="Times New Roman" w:hAnsi="Times New Roman" w:cs="Times New Roman"/>
        </w:rPr>
      </w:pPr>
      <w:r w:rsidRPr="00B846AF">
        <w:rPr>
          <w:rFonts w:ascii="Times New Roman" w:hAnsi="Times New Roman" w:cs="Times New Roman"/>
        </w:rPr>
        <w:t>The equivalent tailing treatment capacity of MRV could be estimated close to the carbon mineralization capacity, which is around 0.8 million tonne tailings.</w:t>
      </w:r>
    </w:p>
    <w:p w14:paraId="58AE6307" w14:textId="77777777" w:rsidR="0083399D" w:rsidRPr="00B846AF" w:rsidRDefault="0083399D" w:rsidP="00B846AF">
      <w:pPr>
        <w:spacing w:line="360" w:lineRule="auto"/>
        <w:jc w:val="both"/>
        <w:rPr>
          <w:rFonts w:ascii="Times New Roman" w:hAnsi="Times New Roman" w:cs="Times New Roman"/>
        </w:rPr>
      </w:pPr>
    </w:p>
    <w:p w14:paraId="7F6991C7" w14:textId="77777777" w:rsidR="00B846AF" w:rsidRPr="00B846AF" w:rsidRDefault="00B846AF" w:rsidP="00B846AF">
      <w:pPr>
        <w:spacing w:line="360" w:lineRule="auto"/>
        <w:rPr>
          <w:rFonts w:ascii="Times New Roman" w:hAnsi="Times New Roman" w:cs="Times New Roman"/>
        </w:rPr>
      </w:pPr>
    </w:p>
    <w:p w14:paraId="100A68DF" w14:textId="77777777" w:rsidR="00B846AF" w:rsidRPr="00B846AF" w:rsidRDefault="00B846AF" w:rsidP="00B846AF">
      <w:pPr>
        <w:spacing w:line="360" w:lineRule="auto"/>
        <w:rPr>
          <w:rFonts w:ascii="Times New Roman" w:hAnsi="Times New Roman" w:cs="Times New Roman"/>
        </w:rPr>
      </w:pPr>
    </w:p>
    <w:p w14:paraId="7A65E3F0" w14:textId="77777777" w:rsidR="00B846AF" w:rsidRPr="00B846AF" w:rsidRDefault="00B846AF" w:rsidP="00B846AF">
      <w:pPr>
        <w:spacing w:line="360" w:lineRule="auto"/>
        <w:rPr>
          <w:rFonts w:ascii="Times New Roman" w:hAnsi="Times New Roman" w:cs="Times New Roman"/>
        </w:rPr>
      </w:pPr>
    </w:p>
    <w:p w14:paraId="31E65F7B" w14:textId="77777777" w:rsidR="00B846AF" w:rsidRPr="00B846AF" w:rsidRDefault="00B846AF" w:rsidP="00B846AF">
      <w:pPr>
        <w:spacing w:line="360" w:lineRule="auto"/>
        <w:rPr>
          <w:rFonts w:ascii="Times New Roman" w:hAnsi="Times New Roman" w:cs="Times New Roman"/>
        </w:rPr>
      </w:pPr>
    </w:p>
    <w:p w14:paraId="6DE9BDBC" w14:textId="77777777" w:rsidR="00B846AF" w:rsidRPr="00B846AF" w:rsidRDefault="00B846AF" w:rsidP="00B846AF">
      <w:pPr>
        <w:spacing w:line="360" w:lineRule="auto"/>
        <w:rPr>
          <w:rFonts w:ascii="Times New Roman" w:eastAsiaTheme="majorEastAsia" w:hAnsi="Times New Roman" w:cs="Times New Roman"/>
        </w:rPr>
      </w:pPr>
    </w:p>
    <w:p w14:paraId="3B20BD26" w14:textId="77777777" w:rsidR="00B846AF" w:rsidRPr="00B846AF" w:rsidRDefault="00B846AF" w:rsidP="00B846AF">
      <w:pPr>
        <w:pStyle w:val="Heading2"/>
        <w:spacing w:line="360" w:lineRule="auto"/>
        <w:jc w:val="both"/>
        <w:rPr>
          <w:rFonts w:ascii="Times New Roman" w:hAnsi="Times New Roman" w:cs="Times New Roman"/>
          <w:color w:val="auto"/>
          <w:sz w:val="24"/>
          <w:szCs w:val="24"/>
          <w:highlight w:val="yellow"/>
        </w:rPr>
        <w:sectPr w:rsidR="00B846AF" w:rsidRPr="00B846AF" w:rsidSect="00B846AF">
          <w:pgSz w:w="16838" w:h="11906" w:orient="landscape"/>
          <w:pgMar w:top="1440" w:right="1440" w:bottom="1440" w:left="1440" w:header="708" w:footer="708" w:gutter="0"/>
          <w:cols w:space="708"/>
          <w:docGrid w:linePitch="360"/>
        </w:sectPr>
      </w:pPr>
    </w:p>
    <w:p w14:paraId="349C96DE" w14:textId="232B2858" w:rsidR="003242C7" w:rsidRPr="00A44333" w:rsidRDefault="00CE7650" w:rsidP="00A44333">
      <w:pPr>
        <w:pStyle w:val="Heading2"/>
        <w:spacing w:line="360" w:lineRule="auto"/>
        <w:jc w:val="both"/>
        <w:rPr>
          <w:rFonts w:ascii="Times New Roman" w:hAnsi="Times New Roman" w:cs="Times New Roman"/>
          <w:color w:val="auto"/>
          <w:sz w:val="24"/>
          <w:szCs w:val="24"/>
        </w:rPr>
      </w:pPr>
      <w:r w:rsidRPr="00A44333">
        <w:rPr>
          <w:rFonts w:ascii="Times New Roman" w:hAnsi="Times New Roman" w:cs="Times New Roman"/>
          <w:color w:val="auto"/>
          <w:sz w:val="24"/>
          <w:szCs w:val="24"/>
        </w:rPr>
        <w:lastRenderedPageBreak/>
        <w:t xml:space="preserve">Supplementary Table S3 | </w:t>
      </w:r>
      <w:r w:rsidR="009C1D59" w:rsidRPr="003242C7">
        <w:rPr>
          <w:rFonts w:ascii="Times New Roman" w:hAnsi="Times New Roman" w:cs="Times New Roman"/>
          <w:color w:val="auto"/>
          <w:sz w:val="24"/>
          <w:szCs w:val="24"/>
        </w:rPr>
        <w:t>Summary of mineralogy and formula used in the reactive transport model</w:t>
      </w:r>
      <w:r w:rsidR="00B43498">
        <w:rPr>
          <w:rFonts w:ascii="Times New Roman" w:hAnsi="Times New Roman" w:cs="Times New Roman"/>
          <w:color w:val="auto"/>
          <w:sz w:val="24"/>
          <w:szCs w:val="24"/>
        </w:rPr>
        <w:t>, as reported in Wang et al., (2025),</w:t>
      </w:r>
      <w:r w:rsidR="009C1D59" w:rsidRPr="003242C7">
        <w:rPr>
          <w:rFonts w:ascii="Times New Roman" w:hAnsi="Times New Roman" w:cs="Times New Roman"/>
          <w:color w:val="auto"/>
          <w:sz w:val="24"/>
          <w:szCs w:val="24"/>
        </w:rPr>
        <w:t xml:space="preserve"> and measured surface area</w:t>
      </w:r>
      <w:r w:rsidR="00B43498">
        <w:rPr>
          <w:rFonts w:ascii="Times New Roman" w:hAnsi="Times New Roman" w:cs="Times New Roman"/>
          <w:color w:val="auto"/>
          <w:sz w:val="24"/>
          <w:szCs w:val="24"/>
        </w:rPr>
        <w:t>, as reported in Turvey et al., (in prep).</w:t>
      </w:r>
      <w:r w:rsidR="000061C1">
        <w:rPr>
          <w:rFonts w:ascii="Times New Roman" w:hAnsi="Times New Roman" w:cs="Times New Roman"/>
          <w:color w:val="auto"/>
          <w:sz w:val="24"/>
          <w:szCs w:val="24"/>
        </w:rPr>
        <w:t xml:space="preserve"> </w:t>
      </w:r>
      <w:r w:rsidR="009C1D59" w:rsidRPr="003242C7">
        <w:rPr>
          <w:rFonts w:ascii="Times New Roman" w:hAnsi="Times New Roman" w:cs="Times New Roman"/>
          <w:color w:val="auto"/>
          <w:sz w:val="24"/>
          <w:szCs w:val="24"/>
        </w:rPr>
        <w:t xml:space="preserve">Methods stating how these data were collected are found in Supporting </w:t>
      </w:r>
      <w:r w:rsidR="00187C85">
        <w:rPr>
          <w:rFonts w:ascii="Times New Roman" w:hAnsi="Times New Roman" w:cs="Times New Roman"/>
          <w:color w:val="auto"/>
          <w:sz w:val="24"/>
          <w:szCs w:val="24"/>
        </w:rPr>
        <w:t>Information</w:t>
      </w:r>
      <w:r w:rsidR="009C1D59" w:rsidRPr="003242C7">
        <w:rPr>
          <w:rFonts w:ascii="Times New Roman" w:hAnsi="Times New Roman" w:cs="Times New Roman"/>
          <w:color w:val="auto"/>
          <w:sz w:val="24"/>
          <w:szCs w:val="24"/>
        </w:rPr>
        <w:t>.</w:t>
      </w:r>
      <w:r w:rsidR="00187C85">
        <w:rPr>
          <w:rFonts w:ascii="Times New Roman" w:hAnsi="Times New Roman" w:cs="Times New Roman"/>
          <w:color w:val="auto"/>
          <w:sz w:val="24"/>
          <w:szCs w:val="24"/>
        </w:rPr>
        <w:t xml:space="preserve"> </w:t>
      </w:r>
      <w:r w:rsidR="00187C85" w:rsidRPr="00187C85">
        <w:rPr>
          <w:rFonts w:ascii="Times New Roman" w:hAnsi="Times New Roman" w:cs="Times New Roman"/>
          <w:color w:val="auto"/>
          <w:sz w:val="24"/>
          <w:szCs w:val="24"/>
        </w:rPr>
        <w:t>The weighted pattern residual (</w:t>
      </w:r>
      <w:proofErr w:type="spellStart"/>
      <w:r w:rsidR="00187C85" w:rsidRPr="00187C85">
        <w:rPr>
          <w:rFonts w:ascii="Times New Roman" w:hAnsi="Times New Roman" w:cs="Times New Roman"/>
          <w:color w:val="auto"/>
          <w:sz w:val="24"/>
          <w:szCs w:val="24"/>
        </w:rPr>
        <w:t>Rpw</w:t>
      </w:r>
      <w:proofErr w:type="spellEnd"/>
      <w:r w:rsidR="00187C85" w:rsidRPr="00187C85">
        <w:rPr>
          <w:rFonts w:ascii="Times New Roman" w:hAnsi="Times New Roman" w:cs="Times New Roman"/>
          <w:color w:val="auto"/>
          <w:sz w:val="24"/>
          <w:szCs w:val="24"/>
        </w:rPr>
        <w:t>) for the mineralogy fit to raw data was 6.3</w:t>
      </w:r>
      <w:r w:rsidR="00187C85">
        <w:rPr>
          <w:rFonts w:ascii="Times New Roman" w:hAnsi="Times New Roman" w:cs="Times New Roman"/>
          <w:color w:val="auto"/>
          <w:sz w:val="24"/>
          <w:szCs w:val="24"/>
        </w:rPr>
        <w:t>.</w:t>
      </w:r>
      <w:r w:rsidR="009C1D59" w:rsidRPr="003242C7">
        <w:rPr>
          <w:rFonts w:ascii="Times New Roman" w:hAnsi="Times New Roman" w:cs="Times New Roman"/>
          <w:color w:val="auto"/>
          <w:sz w:val="24"/>
          <w:szCs w:val="24"/>
        </w:rPr>
        <w:t xml:space="preserve"> </w:t>
      </w:r>
    </w:p>
    <w:tbl>
      <w:tblPr>
        <w:tblW w:w="7352" w:type="dxa"/>
        <w:tblLook w:val="04A0" w:firstRow="1" w:lastRow="0" w:firstColumn="1" w:lastColumn="0" w:noHBand="0" w:noVBand="1"/>
      </w:tblPr>
      <w:tblGrid>
        <w:gridCol w:w="1843"/>
        <w:gridCol w:w="1559"/>
        <w:gridCol w:w="3950"/>
      </w:tblGrid>
      <w:tr w:rsidR="00A67C6C" w:rsidRPr="00A67C6C" w14:paraId="1F96A5C9" w14:textId="77777777" w:rsidTr="009C1D59">
        <w:trPr>
          <w:trHeight w:val="288"/>
        </w:trPr>
        <w:tc>
          <w:tcPr>
            <w:tcW w:w="1843" w:type="dxa"/>
            <w:tcBorders>
              <w:top w:val="single" w:sz="4" w:space="0" w:color="auto"/>
              <w:left w:val="nil"/>
              <w:bottom w:val="single" w:sz="4" w:space="0" w:color="auto"/>
              <w:right w:val="nil"/>
            </w:tcBorders>
            <w:noWrap/>
            <w:vAlign w:val="bottom"/>
            <w:hideMark/>
          </w:tcPr>
          <w:p w14:paraId="54679D4D" w14:textId="77777777" w:rsidR="00A67C6C" w:rsidRPr="003242C7" w:rsidRDefault="00A67C6C" w:rsidP="0061480E">
            <w:pPr>
              <w:pStyle w:val="Heading2"/>
              <w:spacing w:line="360" w:lineRule="auto"/>
              <w:jc w:val="both"/>
              <w:rPr>
                <w:rFonts w:ascii="Times New Roman" w:hAnsi="Times New Roman" w:cs="Times New Roman"/>
                <w:b/>
                <w:bCs/>
                <w:color w:val="auto"/>
                <w:sz w:val="24"/>
                <w:szCs w:val="24"/>
              </w:rPr>
            </w:pPr>
            <w:r w:rsidRPr="003242C7">
              <w:rPr>
                <w:rFonts w:ascii="Times New Roman" w:hAnsi="Times New Roman" w:cs="Times New Roman"/>
                <w:b/>
                <w:bCs/>
                <w:color w:val="auto"/>
                <w:sz w:val="24"/>
                <w:szCs w:val="24"/>
              </w:rPr>
              <w:t>Mineralogy</w:t>
            </w:r>
          </w:p>
        </w:tc>
        <w:tc>
          <w:tcPr>
            <w:tcW w:w="1559" w:type="dxa"/>
            <w:tcBorders>
              <w:top w:val="single" w:sz="4" w:space="0" w:color="auto"/>
              <w:left w:val="nil"/>
              <w:bottom w:val="single" w:sz="4" w:space="0" w:color="auto"/>
              <w:right w:val="nil"/>
            </w:tcBorders>
            <w:noWrap/>
            <w:vAlign w:val="bottom"/>
            <w:hideMark/>
          </w:tcPr>
          <w:p w14:paraId="260A6E76" w14:textId="77777777" w:rsidR="00A67C6C" w:rsidRPr="003242C7" w:rsidRDefault="00A67C6C" w:rsidP="0061480E">
            <w:pPr>
              <w:pStyle w:val="Heading2"/>
              <w:spacing w:line="360" w:lineRule="auto"/>
              <w:jc w:val="both"/>
              <w:rPr>
                <w:rFonts w:ascii="Times New Roman" w:hAnsi="Times New Roman" w:cs="Times New Roman"/>
                <w:b/>
                <w:bCs/>
                <w:color w:val="auto"/>
                <w:sz w:val="24"/>
                <w:szCs w:val="24"/>
              </w:rPr>
            </w:pPr>
            <w:r w:rsidRPr="003242C7">
              <w:rPr>
                <w:rFonts w:ascii="Times New Roman" w:hAnsi="Times New Roman" w:cs="Times New Roman"/>
                <w:b/>
                <w:bCs/>
                <w:color w:val="auto"/>
                <w:sz w:val="24"/>
                <w:szCs w:val="24"/>
              </w:rPr>
              <w:t>wt.%</w:t>
            </w:r>
          </w:p>
        </w:tc>
        <w:tc>
          <w:tcPr>
            <w:tcW w:w="3950" w:type="dxa"/>
            <w:tcBorders>
              <w:top w:val="single" w:sz="4" w:space="0" w:color="auto"/>
              <w:left w:val="nil"/>
              <w:bottom w:val="single" w:sz="4" w:space="0" w:color="auto"/>
              <w:right w:val="nil"/>
            </w:tcBorders>
            <w:noWrap/>
            <w:vAlign w:val="bottom"/>
            <w:hideMark/>
          </w:tcPr>
          <w:p w14:paraId="793C7663" w14:textId="77777777" w:rsidR="00A67C6C" w:rsidRPr="003242C7" w:rsidRDefault="00A67C6C" w:rsidP="0061480E">
            <w:pPr>
              <w:pStyle w:val="Heading2"/>
              <w:spacing w:line="360" w:lineRule="auto"/>
              <w:jc w:val="both"/>
              <w:rPr>
                <w:rFonts w:ascii="Times New Roman" w:hAnsi="Times New Roman" w:cs="Times New Roman"/>
                <w:b/>
                <w:bCs/>
                <w:color w:val="auto"/>
                <w:sz w:val="24"/>
                <w:szCs w:val="24"/>
              </w:rPr>
            </w:pPr>
            <w:r w:rsidRPr="003242C7">
              <w:rPr>
                <w:rFonts w:ascii="Times New Roman" w:hAnsi="Times New Roman" w:cs="Times New Roman"/>
                <w:b/>
                <w:bCs/>
                <w:color w:val="auto"/>
                <w:sz w:val="24"/>
                <w:szCs w:val="24"/>
              </w:rPr>
              <w:t>Formula</w:t>
            </w:r>
          </w:p>
        </w:tc>
      </w:tr>
      <w:tr w:rsidR="00560BD4" w:rsidRPr="00A67C6C" w14:paraId="3A6B3BFA" w14:textId="77777777" w:rsidTr="00560BD4">
        <w:trPr>
          <w:trHeight w:val="288"/>
        </w:trPr>
        <w:tc>
          <w:tcPr>
            <w:tcW w:w="1843" w:type="dxa"/>
            <w:tcBorders>
              <w:top w:val="single" w:sz="4" w:space="0" w:color="auto"/>
              <w:bottom w:val="single" w:sz="4" w:space="0" w:color="BFBFBF" w:themeColor="background1" w:themeShade="BF"/>
            </w:tcBorders>
            <w:noWrap/>
            <w:vAlign w:val="bottom"/>
            <w:hideMark/>
          </w:tcPr>
          <w:p w14:paraId="7162C032"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Serpentine</w:t>
            </w:r>
          </w:p>
        </w:tc>
        <w:tc>
          <w:tcPr>
            <w:tcW w:w="1559" w:type="dxa"/>
            <w:tcBorders>
              <w:top w:val="single" w:sz="4" w:space="0" w:color="auto"/>
              <w:bottom w:val="single" w:sz="4" w:space="0" w:color="BFBFBF" w:themeColor="background1" w:themeShade="BF"/>
            </w:tcBorders>
            <w:noWrap/>
            <w:vAlign w:val="bottom"/>
          </w:tcPr>
          <w:p w14:paraId="7474367F" w14:textId="5CDBB48E"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53.</w:t>
            </w:r>
            <w:r>
              <w:rPr>
                <w:rFonts w:ascii="Times New Roman" w:hAnsi="Times New Roman" w:cs="Times New Roman"/>
                <w:color w:val="auto"/>
                <w:sz w:val="24"/>
                <w:szCs w:val="24"/>
              </w:rPr>
              <w:t>5</w:t>
            </w:r>
          </w:p>
        </w:tc>
        <w:tc>
          <w:tcPr>
            <w:tcW w:w="3950" w:type="dxa"/>
            <w:tcBorders>
              <w:top w:val="single" w:sz="4" w:space="0" w:color="auto"/>
              <w:bottom w:val="single" w:sz="4" w:space="0" w:color="BFBFBF" w:themeColor="background1" w:themeShade="BF"/>
            </w:tcBorders>
            <w:noWrap/>
            <w:vAlign w:val="bottom"/>
            <w:hideMark/>
          </w:tcPr>
          <w:p w14:paraId="295B9B8D"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Mg</w:t>
            </w:r>
            <w:r w:rsidRPr="003242C7">
              <w:rPr>
                <w:rFonts w:ascii="Times New Roman" w:hAnsi="Times New Roman" w:cs="Times New Roman"/>
                <w:color w:val="auto"/>
                <w:sz w:val="24"/>
                <w:szCs w:val="24"/>
                <w:vertAlign w:val="subscript"/>
              </w:rPr>
              <w:t>2.9795</w:t>
            </w:r>
            <w:r w:rsidRPr="003242C7">
              <w:rPr>
                <w:rFonts w:ascii="Times New Roman" w:hAnsi="Times New Roman" w:cs="Times New Roman"/>
                <w:color w:val="auto"/>
                <w:sz w:val="24"/>
                <w:szCs w:val="24"/>
              </w:rPr>
              <w:t>Ni</w:t>
            </w:r>
            <w:r w:rsidRPr="003242C7">
              <w:rPr>
                <w:rFonts w:ascii="Times New Roman" w:hAnsi="Times New Roman" w:cs="Times New Roman"/>
                <w:color w:val="auto"/>
                <w:sz w:val="24"/>
                <w:szCs w:val="24"/>
                <w:vertAlign w:val="subscript"/>
              </w:rPr>
              <w:t>0.0205</w:t>
            </w:r>
            <w:r w:rsidRPr="003242C7">
              <w:rPr>
                <w:rFonts w:ascii="Times New Roman" w:hAnsi="Times New Roman" w:cs="Times New Roman"/>
                <w:color w:val="auto"/>
                <w:sz w:val="24"/>
                <w:szCs w:val="24"/>
              </w:rPr>
              <w:t>Si</w:t>
            </w:r>
            <w:r w:rsidRPr="003242C7">
              <w:rPr>
                <w:rFonts w:ascii="Times New Roman" w:hAnsi="Times New Roman" w:cs="Times New Roman"/>
                <w:color w:val="auto"/>
                <w:sz w:val="24"/>
                <w:szCs w:val="24"/>
                <w:vertAlign w:val="subscript"/>
              </w:rPr>
              <w:t>2</w:t>
            </w:r>
            <w:r w:rsidRPr="003242C7">
              <w:rPr>
                <w:rFonts w:ascii="Times New Roman" w:hAnsi="Times New Roman" w:cs="Times New Roman"/>
                <w:color w:val="auto"/>
                <w:sz w:val="24"/>
                <w:szCs w:val="24"/>
              </w:rPr>
              <w:t>O</w:t>
            </w:r>
            <w:r w:rsidRPr="003242C7">
              <w:rPr>
                <w:rFonts w:ascii="Times New Roman" w:hAnsi="Times New Roman" w:cs="Times New Roman"/>
                <w:color w:val="auto"/>
                <w:sz w:val="24"/>
                <w:szCs w:val="24"/>
                <w:vertAlign w:val="subscript"/>
              </w:rPr>
              <w:t>5</w:t>
            </w:r>
            <w:r w:rsidRPr="003242C7">
              <w:rPr>
                <w:rFonts w:ascii="Times New Roman" w:hAnsi="Times New Roman" w:cs="Times New Roman"/>
                <w:color w:val="auto"/>
                <w:sz w:val="24"/>
                <w:szCs w:val="24"/>
              </w:rPr>
              <w:t>(OH)</w:t>
            </w:r>
            <w:r w:rsidRPr="003242C7">
              <w:rPr>
                <w:rFonts w:ascii="Times New Roman" w:hAnsi="Times New Roman" w:cs="Times New Roman"/>
                <w:color w:val="auto"/>
                <w:sz w:val="24"/>
                <w:szCs w:val="24"/>
                <w:vertAlign w:val="subscript"/>
              </w:rPr>
              <w:t>4</w:t>
            </w:r>
          </w:p>
        </w:tc>
      </w:tr>
      <w:tr w:rsidR="00560BD4" w:rsidRPr="00A67C6C" w14:paraId="689A0C63" w14:textId="77777777" w:rsidTr="00560BD4">
        <w:trPr>
          <w:trHeight w:val="288"/>
        </w:trPr>
        <w:tc>
          <w:tcPr>
            <w:tcW w:w="1843" w:type="dxa"/>
            <w:tcBorders>
              <w:top w:val="single" w:sz="4" w:space="0" w:color="BFBFBF" w:themeColor="background1" w:themeShade="BF"/>
              <w:bottom w:val="single" w:sz="4" w:space="0" w:color="BFBFBF" w:themeColor="background1" w:themeShade="BF"/>
            </w:tcBorders>
            <w:noWrap/>
            <w:vAlign w:val="bottom"/>
            <w:hideMark/>
          </w:tcPr>
          <w:p w14:paraId="3EE8B1CC"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Forsterite</w:t>
            </w:r>
          </w:p>
        </w:tc>
        <w:tc>
          <w:tcPr>
            <w:tcW w:w="1559" w:type="dxa"/>
            <w:tcBorders>
              <w:top w:val="single" w:sz="4" w:space="0" w:color="BFBFBF" w:themeColor="background1" w:themeShade="BF"/>
              <w:bottom w:val="single" w:sz="4" w:space="0" w:color="BFBFBF" w:themeColor="background1" w:themeShade="BF"/>
            </w:tcBorders>
            <w:noWrap/>
            <w:vAlign w:val="bottom"/>
          </w:tcPr>
          <w:p w14:paraId="7FF9BFFD" w14:textId="73AA9442"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18.4</w:t>
            </w:r>
          </w:p>
        </w:tc>
        <w:tc>
          <w:tcPr>
            <w:tcW w:w="3950" w:type="dxa"/>
            <w:tcBorders>
              <w:top w:val="single" w:sz="4" w:space="0" w:color="BFBFBF" w:themeColor="background1" w:themeShade="BF"/>
              <w:bottom w:val="single" w:sz="4" w:space="0" w:color="BFBFBF" w:themeColor="background1" w:themeShade="BF"/>
            </w:tcBorders>
            <w:noWrap/>
            <w:vAlign w:val="bottom"/>
            <w:hideMark/>
          </w:tcPr>
          <w:p w14:paraId="2B4747CB"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Mg</w:t>
            </w:r>
            <w:r w:rsidRPr="003242C7">
              <w:rPr>
                <w:rFonts w:ascii="Times New Roman" w:hAnsi="Times New Roman" w:cs="Times New Roman"/>
                <w:color w:val="auto"/>
                <w:sz w:val="24"/>
                <w:szCs w:val="24"/>
                <w:vertAlign w:val="subscript"/>
              </w:rPr>
              <w:t>2</w:t>
            </w:r>
            <w:r w:rsidRPr="003242C7">
              <w:rPr>
                <w:rFonts w:ascii="Times New Roman" w:hAnsi="Times New Roman" w:cs="Times New Roman"/>
                <w:color w:val="auto"/>
                <w:sz w:val="24"/>
                <w:szCs w:val="24"/>
              </w:rPr>
              <w:t>SiO</w:t>
            </w:r>
            <w:r w:rsidRPr="003242C7">
              <w:rPr>
                <w:rFonts w:ascii="Times New Roman" w:hAnsi="Times New Roman" w:cs="Times New Roman"/>
                <w:color w:val="auto"/>
                <w:sz w:val="24"/>
                <w:szCs w:val="24"/>
                <w:vertAlign w:val="subscript"/>
              </w:rPr>
              <w:t>4</w:t>
            </w:r>
          </w:p>
        </w:tc>
      </w:tr>
      <w:tr w:rsidR="00560BD4" w:rsidRPr="00A67C6C" w14:paraId="7D5BF65D" w14:textId="77777777" w:rsidTr="00560BD4">
        <w:trPr>
          <w:trHeight w:val="288"/>
        </w:trPr>
        <w:tc>
          <w:tcPr>
            <w:tcW w:w="1843" w:type="dxa"/>
            <w:tcBorders>
              <w:top w:val="single" w:sz="4" w:space="0" w:color="BFBFBF" w:themeColor="background1" w:themeShade="BF"/>
              <w:bottom w:val="single" w:sz="4" w:space="0" w:color="BFBFBF" w:themeColor="background1" w:themeShade="BF"/>
            </w:tcBorders>
            <w:noWrap/>
            <w:vAlign w:val="bottom"/>
            <w:hideMark/>
          </w:tcPr>
          <w:p w14:paraId="78DA2367"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Magnetite</w:t>
            </w:r>
          </w:p>
        </w:tc>
        <w:tc>
          <w:tcPr>
            <w:tcW w:w="1559" w:type="dxa"/>
            <w:tcBorders>
              <w:top w:val="single" w:sz="4" w:space="0" w:color="BFBFBF" w:themeColor="background1" w:themeShade="BF"/>
              <w:bottom w:val="single" w:sz="4" w:space="0" w:color="BFBFBF" w:themeColor="background1" w:themeShade="BF"/>
            </w:tcBorders>
            <w:noWrap/>
            <w:vAlign w:val="bottom"/>
          </w:tcPr>
          <w:p w14:paraId="638D26C5" w14:textId="72069EA9"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8.</w:t>
            </w:r>
            <w:r>
              <w:rPr>
                <w:rFonts w:ascii="Times New Roman" w:hAnsi="Times New Roman" w:cs="Times New Roman"/>
                <w:color w:val="auto"/>
                <w:sz w:val="24"/>
                <w:szCs w:val="24"/>
              </w:rPr>
              <w:t>9</w:t>
            </w:r>
          </w:p>
        </w:tc>
        <w:tc>
          <w:tcPr>
            <w:tcW w:w="3950" w:type="dxa"/>
            <w:tcBorders>
              <w:top w:val="single" w:sz="4" w:space="0" w:color="BFBFBF" w:themeColor="background1" w:themeShade="BF"/>
              <w:bottom w:val="single" w:sz="4" w:space="0" w:color="BFBFBF" w:themeColor="background1" w:themeShade="BF"/>
            </w:tcBorders>
            <w:noWrap/>
            <w:vAlign w:val="bottom"/>
            <w:hideMark/>
          </w:tcPr>
          <w:p w14:paraId="39153340"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Fe</w:t>
            </w:r>
            <w:r w:rsidRPr="003242C7">
              <w:rPr>
                <w:rFonts w:ascii="Times New Roman" w:hAnsi="Times New Roman" w:cs="Times New Roman"/>
                <w:color w:val="auto"/>
                <w:sz w:val="24"/>
                <w:szCs w:val="24"/>
                <w:vertAlign w:val="subscript"/>
              </w:rPr>
              <w:t>3</w:t>
            </w:r>
            <w:r w:rsidRPr="003242C7">
              <w:rPr>
                <w:rFonts w:ascii="Times New Roman" w:hAnsi="Times New Roman" w:cs="Times New Roman"/>
                <w:color w:val="auto"/>
                <w:sz w:val="24"/>
                <w:szCs w:val="24"/>
              </w:rPr>
              <w:t>O</w:t>
            </w:r>
            <w:r w:rsidRPr="003242C7">
              <w:rPr>
                <w:rFonts w:ascii="Times New Roman" w:hAnsi="Times New Roman" w:cs="Times New Roman"/>
                <w:color w:val="auto"/>
                <w:sz w:val="24"/>
                <w:szCs w:val="24"/>
                <w:vertAlign w:val="subscript"/>
              </w:rPr>
              <w:t>4</w:t>
            </w:r>
          </w:p>
        </w:tc>
      </w:tr>
      <w:tr w:rsidR="00560BD4" w:rsidRPr="00A67C6C" w14:paraId="056E2AE2" w14:textId="77777777" w:rsidTr="00560BD4">
        <w:trPr>
          <w:trHeight w:val="288"/>
        </w:trPr>
        <w:tc>
          <w:tcPr>
            <w:tcW w:w="1843" w:type="dxa"/>
            <w:tcBorders>
              <w:top w:val="single" w:sz="4" w:space="0" w:color="BFBFBF" w:themeColor="background1" w:themeShade="BF"/>
              <w:bottom w:val="single" w:sz="4" w:space="0" w:color="BFBFBF" w:themeColor="background1" w:themeShade="BF"/>
            </w:tcBorders>
            <w:noWrap/>
            <w:vAlign w:val="bottom"/>
            <w:hideMark/>
          </w:tcPr>
          <w:p w14:paraId="4C073F00"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Dolomite</w:t>
            </w:r>
          </w:p>
        </w:tc>
        <w:tc>
          <w:tcPr>
            <w:tcW w:w="1559" w:type="dxa"/>
            <w:tcBorders>
              <w:top w:val="single" w:sz="4" w:space="0" w:color="BFBFBF" w:themeColor="background1" w:themeShade="BF"/>
              <w:bottom w:val="single" w:sz="4" w:space="0" w:color="BFBFBF" w:themeColor="background1" w:themeShade="BF"/>
            </w:tcBorders>
            <w:noWrap/>
            <w:vAlign w:val="bottom"/>
          </w:tcPr>
          <w:p w14:paraId="4D08CE86" w14:textId="0301AED0"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1.</w:t>
            </w:r>
            <w:r>
              <w:rPr>
                <w:rFonts w:ascii="Times New Roman" w:hAnsi="Times New Roman" w:cs="Times New Roman"/>
                <w:color w:val="auto"/>
                <w:sz w:val="24"/>
                <w:szCs w:val="24"/>
              </w:rPr>
              <w:t>1</w:t>
            </w:r>
          </w:p>
        </w:tc>
        <w:tc>
          <w:tcPr>
            <w:tcW w:w="3950" w:type="dxa"/>
            <w:tcBorders>
              <w:top w:val="single" w:sz="4" w:space="0" w:color="BFBFBF" w:themeColor="background1" w:themeShade="BF"/>
              <w:bottom w:val="single" w:sz="4" w:space="0" w:color="BFBFBF" w:themeColor="background1" w:themeShade="BF"/>
            </w:tcBorders>
            <w:noWrap/>
            <w:vAlign w:val="bottom"/>
            <w:hideMark/>
          </w:tcPr>
          <w:p w14:paraId="65E7B741"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proofErr w:type="spellStart"/>
            <w:proofErr w:type="gramStart"/>
            <w:r w:rsidRPr="003242C7">
              <w:rPr>
                <w:rFonts w:ascii="Times New Roman" w:hAnsi="Times New Roman" w:cs="Times New Roman"/>
                <w:color w:val="auto"/>
                <w:sz w:val="24"/>
                <w:szCs w:val="24"/>
              </w:rPr>
              <w:t>CaMg</w:t>
            </w:r>
            <w:proofErr w:type="spellEnd"/>
            <w:r w:rsidRPr="003242C7">
              <w:rPr>
                <w:rFonts w:ascii="Times New Roman" w:hAnsi="Times New Roman" w:cs="Times New Roman"/>
                <w:color w:val="auto"/>
                <w:sz w:val="24"/>
                <w:szCs w:val="24"/>
              </w:rPr>
              <w:t>(</w:t>
            </w:r>
            <w:proofErr w:type="gramEnd"/>
            <w:r w:rsidRPr="003242C7">
              <w:rPr>
                <w:rFonts w:ascii="Times New Roman" w:hAnsi="Times New Roman" w:cs="Times New Roman"/>
                <w:color w:val="auto"/>
                <w:sz w:val="24"/>
                <w:szCs w:val="24"/>
              </w:rPr>
              <w:t>CO</w:t>
            </w:r>
            <w:r w:rsidRPr="003242C7">
              <w:rPr>
                <w:rFonts w:ascii="Times New Roman" w:hAnsi="Times New Roman" w:cs="Times New Roman"/>
                <w:color w:val="auto"/>
                <w:sz w:val="24"/>
                <w:szCs w:val="24"/>
                <w:vertAlign w:val="subscript"/>
              </w:rPr>
              <w:t>3</w:t>
            </w:r>
            <w:r w:rsidRPr="003242C7">
              <w:rPr>
                <w:rFonts w:ascii="Times New Roman" w:hAnsi="Times New Roman" w:cs="Times New Roman"/>
                <w:color w:val="auto"/>
                <w:sz w:val="24"/>
                <w:szCs w:val="24"/>
              </w:rPr>
              <w:t>)</w:t>
            </w:r>
            <w:r w:rsidRPr="003242C7">
              <w:rPr>
                <w:rFonts w:ascii="Times New Roman" w:hAnsi="Times New Roman" w:cs="Times New Roman"/>
                <w:color w:val="auto"/>
                <w:sz w:val="24"/>
                <w:szCs w:val="24"/>
                <w:vertAlign w:val="subscript"/>
              </w:rPr>
              <w:t>2</w:t>
            </w:r>
          </w:p>
        </w:tc>
      </w:tr>
      <w:tr w:rsidR="00560BD4" w:rsidRPr="00A67C6C" w14:paraId="31F32D91" w14:textId="77777777" w:rsidTr="00560BD4">
        <w:trPr>
          <w:trHeight w:val="288"/>
        </w:trPr>
        <w:tc>
          <w:tcPr>
            <w:tcW w:w="1843" w:type="dxa"/>
            <w:tcBorders>
              <w:top w:val="single" w:sz="4" w:space="0" w:color="BFBFBF" w:themeColor="background1" w:themeShade="BF"/>
              <w:bottom w:val="single" w:sz="4" w:space="0" w:color="BFBFBF" w:themeColor="background1" w:themeShade="BF"/>
            </w:tcBorders>
            <w:noWrap/>
            <w:vAlign w:val="bottom"/>
            <w:hideMark/>
          </w:tcPr>
          <w:p w14:paraId="6E6FD3A6"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Magnesite</w:t>
            </w:r>
          </w:p>
        </w:tc>
        <w:tc>
          <w:tcPr>
            <w:tcW w:w="1559" w:type="dxa"/>
            <w:tcBorders>
              <w:top w:val="single" w:sz="4" w:space="0" w:color="BFBFBF" w:themeColor="background1" w:themeShade="BF"/>
              <w:bottom w:val="single" w:sz="4" w:space="0" w:color="BFBFBF" w:themeColor="background1" w:themeShade="BF"/>
            </w:tcBorders>
            <w:noWrap/>
            <w:vAlign w:val="bottom"/>
          </w:tcPr>
          <w:p w14:paraId="5317864F" w14:textId="729C06F3"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0.5</w:t>
            </w:r>
            <w:r>
              <w:rPr>
                <w:rFonts w:ascii="Times New Roman" w:hAnsi="Times New Roman" w:cs="Times New Roman"/>
                <w:color w:val="auto"/>
                <w:sz w:val="24"/>
                <w:szCs w:val="24"/>
              </w:rPr>
              <w:t>1</w:t>
            </w:r>
          </w:p>
        </w:tc>
        <w:tc>
          <w:tcPr>
            <w:tcW w:w="3950" w:type="dxa"/>
            <w:tcBorders>
              <w:top w:val="single" w:sz="4" w:space="0" w:color="BFBFBF" w:themeColor="background1" w:themeShade="BF"/>
              <w:bottom w:val="single" w:sz="4" w:space="0" w:color="BFBFBF" w:themeColor="background1" w:themeShade="BF"/>
            </w:tcBorders>
            <w:noWrap/>
            <w:vAlign w:val="bottom"/>
            <w:hideMark/>
          </w:tcPr>
          <w:p w14:paraId="48885A0B"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MgCO</w:t>
            </w:r>
            <w:r w:rsidRPr="003242C7">
              <w:rPr>
                <w:rFonts w:ascii="Times New Roman" w:hAnsi="Times New Roman" w:cs="Times New Roman"/>
                <w:color w:val="auto"/>
                <w:sz w:val="24"/>
                <w:szCs w:val="24"/>
                <w:vertAlign w:val="subscript"/>
              </w:rPr>
              <w:t>3</w:t>
            </w:r>
          </w:p>
        </w:tc>
      </w:tr>
      <w:tr w:rsidR="00560BD4" w:rsidRPr="00A67C6C" w14:paraId="7CDD245F" w14:textId="77777777" w:rsidTr="00560BD4">
        <w:trPr>
          <w:trHeight w:val="288"/>
        </w:trPr>
        <w:tc>
          <w:tcPr>
            <w:tcW w:w="1843" w:type="dxa"/>
            <w:tcBorders>
              <w:top w:val="single" w:sz="4" w:space="0" w:color="BFBFBF" w:themeColor="background1" w:themeShade="BF"/>
              <w:bottom w:val="single" w:sz="4" w:space="0" w:color="BFBFBF" w:themeColor="background1" w:themeShade="BF"/>
            </w:tcBorders>
            <w:noWrap/>
            <w:vAlign w:val="bottom"/>
            <w:hideMark/>
          </w:tcPr>
          <w:p w14:paraId="5927D7C9"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Amphibole</w:t>
            </w:r>
          </w:p>
        </w:tc>
        <w:tc>
          <w:tcPr>
            <w:tcW w:w="1559" w:type="dxa"/>
            <w:tcBorders>
              <w:top w:val="single" w:sz="4" w:space="0" w:color="BFBFBF" w:themeColor="background1" w:themeShade="BF"/>
              <w:bottom w:val="single" w:sz="4" w:space="0" w:color="BFBFBF" w:themeColor="background1" w:themeShade="BF"/>
            </w:tcBorders>
            <w:noWrap/>
            <w:vAlign w:val="bottom"/>
          </w:tcPr>
          <w:p w14:paraId="688E1821" w14:textId="66C38A9E"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6.</w:t>
            </w:r>
            <w:r>
              <w:rPr>
                <w:rFonts w:ascii="Times New Roman" w:hAnsi="Times New Roman" w:cs="Times New Roman"/>
                <w:color w:val="auto"/>
                <w:sz w:val="24"/>
                <w:szCs w:val="24"/>
              </w:rPr>
              <w:t>2</w:t>
            </w:r>
          </w:p>
        </w:tc>
        <w:tc>
          <w:tcPr>
            <w:tcW w:w="3950" w:type="dxa"/>
            <w:tcBorders>
              <w:top w:val="single" w:sz="4" w:space="0" w:color="BFBFBF" w:themeColor="background1" w:themeShade="BF"/>
              <w:bottom w:val="single" w:sz="4" w:space="0" w:color="BFBFBF" w:themeColor="background1" w:themeShade="BF"/>
            </w:tcBorders>
            <w:noWrap/>
            <w:vAlign w:val="bottom"/>
            <w:hideMark/>
          </w:tcPr>
          <w:p w14:paraId="2E408939"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Ca</w:t>
            </w:r>
            <w:r w:rsidRPr="003242C7">
              <w:rPr>
                <w:rFonts w:ascii="Times New Roman" w:hAnsi="Times New Roman" w:cs="Times New Roman"/>
                <w:color w:val="auto"/>
                <w:sz w:val="24"/>
                <w:szCs w:val="24"/>
                <w:vertAlign w:val="subscript"/>
              </w:rPr>
              <w:t>1.7</w:t>
            </w:r>
            <w:r w:rsidRPr="003242C7">
              <w:rPr>
                <w:rFonts w:ascii="Times New Roman" w:hAnsi="Times New Roman" w:cs="Times New Roman"/>
                <w:color w:val="auto"/>
                <w:sz w:val="24"/>
                <w:szCs w:val="24"/>
              </w:rPr>
              <w:t>Fe</w:t>
            </w:r>
            <w:r w:rsidRPr="003242C7">
              <w:rPr>
                <w:rFonts w:ascii="Times New Roman" w:hAnsi="Times New Roman" w:cs="Times New Roman"/>
                <w:color w:val="auto"/>
                <w:sz w:val="24"/>
                <w:szCs w:val="24"/>
                <w:vertAlign w:val="subscript"/>
              </w:rPr>
              <w:t>0.1</w:t>
            </w:r>
            <w:r w:rsidRPr="003242C7">
              <w:rPr>
                <w:rFonts w:ascii="Times New Roman" w:hAnsi="Times New Roman" w:cs="Times New Roman"/>
                <w:color w:val="auto"/>
                <w:sz w:val="24"/>
                <w:szCs w:val="24"/>
              </w:rPr>
              <w:t>K</w:t>
            </w:r>
            <w:r w:rsidRPr="003242C7">
              <w:rPr>
                <w:rFonts w:ascii="Times New Roman" w:hAnsi="Times New Roman" w:cs="Times New Roman"/>
                <w:color w:val="auto"/>
                <w:sz w:val="24"/>
                <w:szCs w:val="24"/>
                <w:vertAlign w:val="subscript"/>
              </w:rPr>
              <w:t>0.14</w:t>
            </w:r>
            <w:r w:rsidRPr="003242C7">
              <w:rPr>
                <w:rFonts w:ascii="Times New Roman" w:hAnsi="Times New Roman" w:cs="Times New Roman"/>
                <w:color w:val="auto"/>
                <w:sz w:val="24"/>
                <w:szCs w:val="24"/>
              </w:rPr>
              <w:t>Mg</w:t>
            </w:r>
            <w:r w:rsidRPr="003242C7">
              <w:rPr>
                <w:rFonts w:ascii="Times New Roman" w:hAnsi="Times New Roman" w:cs="Times New Roman"/>
                <w:color w:val="auto"/>
                <w:sz w:val="24"/>
                <w:szCs w:val="24"/>
                <w:vertAlign w:val="subscript"/>
              </w:rPr>
              <w:t>4.985</w:t>
            </w:r>
            <w:r w:rsidRPr="003242C7">
              <w:rPr>
                <w:rFonts w:ascii="Times New Roman" w:hAnsi="Times New Roman" w:cs="Times New Roman"/>
                <w:color w:val="auto"/>
                <w:sz w:val="24"/>
                <w:szCs w:val="24"/>
              </w:rPr>
              <w:t>Na</w:t>
            </w:r>
            <w:r w:rsidRPr="003242C7">
              <w:rPr>
                <w:rFonts w:ascii="Times New Roman" w:hAnsi="Times New Roman" w:cs="Times New Roman"/>
                <w:color w:val="auto"/>
                <w:sz w:val="24"/>
                <w:szCs w:val="24"/>
                <w:vertAlign w:val="subscript"/>
              </w:rPr>
              <w:t>0.29</w:t>
            </w:r>
            <w:r w:rsidRPr="003242C7">
              <w:rPr>
                <w:rFonts w:ascii="Times New Roman" w:hAnsi="Times New Roman" w:cs="Times New Roman"/>
                <w:color w:val="auto"/>
                <w:sz w:val="24"/>
                <w:szCs w:val="24"/>
              </w:rPr>
              <w:t>Si</w:t>
            </w:r>
            <w:r w:rsidRPr="003242C7">
              <w:rPr>
                <w:rFonts w:ascii="Times New Roman" w:hAnsi="Times New Roman" w:cs="Times New Roman"/>
                <w:color w:val="auto"/>
                <w:sz w:val="24"/>
                <w:szCs w:val="24"/>
                <w:vertAlign w:val="subscript"/>
              </w:rPr>
              <w:t>8</w:t>
            </w:r>
            <w:r w:rsidRPr="003242C7">
              <w:rPr>
                <w:rFonts w:ascii="Times New Roman" w:hAnsi="Times New Roman" w:cs="Times New Roman"/>
                <w:color w:val="auto"/>
                <w:sz w:val="24"/>
                <w:szCs w:val="24"/>
              </w:rPr>
              <w:t>O</w:t>
            </w:r>
            <w:r w:rsidRPr="003242C7">
              <w:rPr>
                <w:rFonts w:ascii="Times New Roman" w:hAnsi="Times New Roman" w:cs="Times New Roman"/>
                <w:color w:val="auto"/>
                <w:sz w:val="24"/>
                <w:szCs w:val="24"/>
                <w:vertAlign w:val="subscript"/>
              </w:rPr>
              <w:t>22</w:t>
            </w:r>
            <w:r w:rsidRPr="003242C7">
              <w:rPr>
                <w:rFonts w:ascii="Times New Roman" w:hAnsi="Times New Roman" w:cs="Times New Roman"/>
                <w:color w:val="auto"/>
                <w:sz w:val="24"/>
                <w:szCs w:val="24"/>
              </w:rPr>
              <w:t>(OH)</w:t>
            </w:r>
          </w:p>
        </w:tc>
      </w:tr>
      <w:tr w:rsidR="00560BD4" w:rsidRPr="00A67C6C" w14:paraId="4906EB6D" w14:textId="77777777" w:rsidTr="00560BD4">
        <w:trPr>
          <w:trHeight w:val="288"/>
        </w:trPr>
        <w:tc>
          <w:tcPr>
            <w:tcW w:w="1843" w:type="dxa"/>
            <w:tcBorders>
              <w:top w:val="single" w:sz="4" w:space="0" w:color="BFBFBF" w:themeColor="background1" w:themeShade="BF"/>
              <w:bottom w:val="single" w:sz="4" w:space="0" w:color="BFBFBF" w:themeColor="background1" w:themeShade="BF"/>
            </w:tcBorders>
            <w:noWrap/>
            <w:vAlign w:val="bottom"/>
            <w:hideMark/>
          </w:tcPr>
          <w:p w14:paraId="4AC95A74"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Brucite</w:t>
            </w:r>
          </w:p>
        </w:tc>
        <w:tc>
          <w:tcPr>
            <w:tcW w:w="1559" w:type="dxa"/>
            <w:tcBorders>
              <w:top w:val="single" w:sz="4" w:space="0" w:color="BFBFBF" w:themeColor="background1" w:themeShade="BF"/>
              <w:bottom w:val="single" w:sz="4" w:space="0" w:color="BFBFBF" w:themeColor="background1" w:themeShade="BF"/>
            </w:tcBorders>
            <w:noWrap/>
            <w:vAlign w:val="bottom"/>
          </w:tcPr>
          <w:p w14:paraId="299FFD6B" w14:textId="76A9C75B"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1.</w:t>
            </w:r>
            <w:r>
              <w:rPr>
                <w:rFonts w:ascii="Times New Roman" w:hAnsi="Times New Roman" w:cs="Times New Roman"/>
                <w:color w:val="auto"/>
                <w:sz w:val="24"/>
                <w:szCs w:val="24"/>
              </w:rPr>
              <w:t>2</w:t>
            </w:r>
          </w:p>
        </w:tc>
        <w:tc>
          <w:tcPr>
            <w:tcW w:w="3950" w:type="dxa"/>
            <w:tcBorders>
              <w:top w:val="single" w:sz="4" w:space="0" w:color="BFBFBF" w:themeColor="background1" w:themeShade="BF"/>
              <w:bottom w:val="single" w:sz="4" w:space="0" w:color="BFBFBF" w:themeColor="background1" w:themeShade="BF"/>
            </w:tcBorders>
            <w:noWrap/>
            <w:vAlign w:val="bottom"/>
            <w:hideMark/>
          </w:tcPr>
          <w:p w14:paraId="79C9AD36"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proofErr w:type="gramStart"/>
            <w:r w:rsidRPr="003242C7">
              <w:rPr>
                <w:rFonts w:ascii="Times New Roman" w:hAnsi="Times New Roman" w:cs="Times New Roman"/>
                <w:color w:val="auto"/>
                <w:sz w:val="24"/>
                <w:szCs w:val="24"/>
              </w:rPr>
              <w:t>Mg(</w:t>
            </w:r>
            <w:proofErr w:type="gramEnd"/>
            <w:r w:rsidRPr="003242C7">
              <w:rPr>
                <w:rFonts w:ascii="Times New Roman" w:hAnsi="Times New Roman" w:cs="Times New Roman"/>
                <w:color w:val="auto"/>
                <w:sz w:val="24"/>
                <w:szCs w:val="24"/>
              </w:rPr>
              <w:t>OH)</w:t>
            </w:r>
            <w:r w:rsidRPr="003242C7">
              <w:rPr>
                <w:rFonts w:ascii="Times New Roman" w:hAnsi="Times New Roman" w:cs="Times New Roman"/>
                <w:color w:val="auto"/>
                <w:sz w:val="24"/>
                <w:szCs w:val="24"/>
                <w:vertAlign w:val="subscript"/>
              </w:rPr>
              <w:t>2</w:t>
            </w:r>
          </w:p>
        </w:tc>
      </w:tr>
      <w:tr w:rsidR="00560BD4" w:rsidRPr="00A67C6C" w14:paraId="633325C7" w14:textId="77777777" w:rsidTr="00560BD4">
        <w:trPr>
          <w:trHeight w:val="288"/>
        </w:trPr>
        <w:tc>
          <w:tcPr>
            <w:tcW w:w="1843" w:type="dxa"/>
            <w:tcBorders>
              <w:top w:val="single" w:sz="4" w:space="0" w:color="BFBFBF" w:themeColor="background1" w:themeShade="BF"/>
              <w:bottom w:val="single" w:sz="4" w:space="0" w:color="BFBFBF" w:themeColor="background1" w:themeShade="BF"/>
            </w:tcBorders>
            <w:noWrap/>
            <w:vAlign w:val="bottom"/>
            <w:hideMark/>
          </w:tcPr>
          <w:p w14:paraId="29828359"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Calcite</w:t>
            </w:r>
          </w:p>
        </w:tc>
        <w:tc>
          <w:tcPr>
            <w:tcW w:w="1559" w:type="dxa"/>
            <w:tcBorders>
              <w:top w:val="single" w:sz="4" w:space="0" w:color="BFBFBF" w:themeColor="background1" w:themeShade="BF"/>
              <w:bottom w:val="single" w:sz="4" w:space="0" w:color="BFBFBF" w:themeColor="background1" w:themeShade="BF"/>
            </w:tcBorders>
            <w:noWrap/>
            <w:vAlign w:val="bottom"/>
          </w:tcPr>
          <w:p w14:paraId="0EF5C381" w14:textId="6A51E6D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0.3</w:t>
            </w:r>
          </w:p>
        </w:tc>
        <w:tc>
          <w:tcPr>
            <w:tcW w:w="3950" w:type="dxa"/>
            <w:tcBorders>
              <w:top w:val="single" w:sz="4" w:space="0" w:color="BFBFBF" w:themeColor="background1" w:themeShade="BF"/>
              <w:bottom w:val="single" w:sz="4" w:space="0" w:color="BFBFBF" w:themeColor="background1" w:themeShade="BF"/>
            </w:tcBorders>
            <w:noWrap/>
            <w:vAlign w:val="bottom"/>
            <w:hideMark/>
          </w:tcPr>
          <w:p w14:paraId="0559DAFF"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CaCO</w:t>
            </w:r>
            <w:r w:rsidRPr="003242C7">
              <w:rPr>
                <w:rFonts w:ascii="Times New Roman" w:hAnsi="Times New Roman" w:cs="Times New Roman"/>
                <w:color w:val="auto"/>
                <w:sz w:val="24"/>
                <w:szCs w:val="24"/>
                <w:vertAlign w:val="subscript"/>
              </w:rPr>
              <w:t>3</w:t>
            </w:r>
          </w:p>
        </w:tc>
      </w:tr>
      <w:tr w:rsidR="00560BD4" w:rsidRPr="00A67C6C" w14:paraId="4E8A73F9" w14:textId="77777777" w:rsidTr="00560BD4">
        <w:trPr>
          <w:trHeight w:val="288"/>
        </w:trPr>
        <w:tc>
          <w:tcPr>
            <w:tcW w:w="1843" w:type="dxa"/>
            <w:tcBorders>
              <w:top w:val="single" w:sz="4" w:space="0" w:color="BFBFBF" w:themeColor="background1" w:themeShade="BF"/>
              <w:bottom w:val="single" w:sz="4" w:space="0" w:color="BFBFBF" w:themeColor="background1" w:themeShade="BF"/>
            </w:tcBorders>
            <w:noWrap/>
            <w:vAlign w:val="bottom"/>
            <w:hideMark/>
          </w:tcPr>
          <w:p w14:paraId="3C3D2586"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Chlorite</w:t>
            </w:r>
          </w:p>
        </w:tc>
        <w:tc>
          <w:tcPr>
            <w:tcW w:w="1559" w:type="dxa"/>
            <w:tcBorders>
              <w:top w:val="single" w:sz="4" w:space="0" w:color="BFBFBF" w:themeColor="background1" w:themeShade="BF"/>
              <w:bottom w:val="single" w:sz="4" w:space="0" w:color="BFBFBF" w:themeColor="background1" w:themeShade="BF"/>
            </w:tcBorders>
            <w:noWrap/>
            <w:vAlign w:val="bottom"/>
          </w:tcPr>
          <w:p w14:paraId="10D5648B" w14:textId="6311BED0"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6.</w:t>
            </w:r>
            <w:r>
              <w:rPr>
                <w:rFonts w:ascii="Times New Roman" w:hAnsi="Times New Roman" w:cs="Times New Roman"/>
                <w:color w:val="auto"/>
                <w:sz w:val="24"/>
                <w:szCs w:val="24"/>
              </w:rPr>
              <w:t>8</w:t>
            </w:r>
          </w:p>
        </w:tc>
        <w:tc>
          <w:tcPr>
            <w:tcW w:w="3950" w:type="dxa"/>
            <w:tcBorders>
              <w:top w:val="single" w:sz="4" w:space="0" w:color="BFBFBF" w:themeColor="background1" w:themeShade="BF"/>
              <w:bottom w:val="single" w:sz="4" w:space="0" w:color="BFBFBF" w:themeColor="background1" w:themeShade="BF"/>
            </w:tcBorders>
            <w:noWrap/>
            <w:vAlign w:val="bottom"/>
            <w:hideMark/>
          </w:tcPr>
          <w:p w14:paraId="657EDA52"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Mg</w:t>
            </w:r>
            <w:r w:rsidRPr="003242C7">
              <w:rPr>
                <w:rFonts w:ascii="Times New Roman" w:hAnsi="Times New Roman" w:cs="Times New Roman"/>
                <w:color w:val="auto"/>
                <w:sz w:val="24"/>
                <w:szCs w:val="24"/>
                <w:vertAlign w:val="subscript"/>
              </w:rPr>
              <w:t>3.75</w:t>
            </w:r>
            <w:r w:rsidRPr="003242C7">
              <w:rPr>
                <w:rFonts w:ascii="Times New Roman" w:hAnsi="Times New Roman" w:cs="Times New Roman"/>
                <w:color w:val="auto"/>
                <w:sz w:val="24"/>
                <w:szCs w:val="24"/>
              </w:rPr>
              <w:t>Fe</w:t>
            </w:r>
            <w:r w:rsidRPr="003242C7">
              <w:rPr>
                <w:rFonts w:ascii="Times New Roman" w:hAnsi="Times New Roman" w:cs="Times New Roman"/>
                <w:color w:val="auto"/>
                <w:sz w:val="24"/>
                <w:szCs w:val="24"/>
                <w:vertAlign w:val="superscript"/>
              </w:rPr>
              <w:t>2+</w:t>
            </w:r>
            <w:r w:rsidRPr="003242C7">
              <w:rPr>
                <w:rFonts w:ascii="Times New Roman" w:hAnsi="Times New Roman" w:cs="Times New Roman"/>
                <w:color w:val="auto"/>
                <w:sz w:val="24"/>
                <w:szCs w:val="24"/>
                <w:vertAlign w:val="subscript"/>
              </w:rPr>
              <w:t>1.25</w:t>
            </w:r>
            <w:r w:rsidRPr="003242C7">
              <w:rPr>
                <w:rFonts w:ascii="Times New Roman" w:hAnsi="Times New Roman" w:cs="Times New Roman"/>
                <w:color w:val="auto"/>
                <w:sz w:val="24"/>
                <w:szCs w:val="24"/>
              </w:rPr>
              <w:t>Si</w:t>
            </w:r>
            <w:r w:rsidRPr="003242C7">
              <w:rPr>
                <w:rFonts w:ascii="Times New Roman" w:hAnsi="Times New Roman" w:cs="Times New Roman"/>
                <w:color w:val="auto"/>
                <w:sz w:val="24"/>
                <w:szCs w:val="24"/>
                <w:vertAlign w:val="subscript"/>
              </w:rPr>
              <w:t>3</w:t>
            </w:r>
            <w:r w:rsidRPr="003242C7">
              <w:rPr>
                <w:rFonts w:ascii="Times New Roman" w:hAnsi="Times New Roman" w:cs="Times New Roman"/>
                <w:color w:val="auto"/>
                <w:sz w:val="24"/>
                <w:szCs w:val="24"/>
              </w:rPr>
              <w:t>Al</w:t>
            </w:r>
            <w:r w:rsidRPr="003242C7">
              <w:rPr>
                <w:rFonts w:ascii="Times New Roman" w:hAnsi="Times New Roman" w:cs="Times New Roman"/>
                <w:color w:val="auto"/>
                <w:sz w:val="24"/>
                <w:szCs w:val="24"/>
                <w:vertAlign w:val="subscript"/>
              </w:rPr>
              <w:t>2</w:t>
            </w:r>
            <w:r w:rsidRPr="003242C7">
              <w:rPr>
                <w:rFonts w:ascii="Times New Roman" w:hAnsi="Times New Roman" w:cs="Times New Roman"/>
                <w:color w:val="auto"/>
                <w:sz w:val="24"/>
                <w:szCs w:val="24"/>
              </w:rPr>
              <w:t>O</w:t>
            </w:r>
            <w:r w:rsidRPr="003242C7">
              <w:rPr>
                <w:rFonts w:ascii="Times New Roman" w:hAnsi="Times New Roman" w:cs="Times New Roman"/>
                <w:color w:val="auto"/>
                <w:sz w:val="24"/>
                <w:szCs w:val="24"/>
                <w:vertAlign w:val="subscript"/>
              </w:rPr>
              <w:t>10</w:t>
            </w:r>
            <w:r w:rsidRPr="003242C7">
              <w:rPr>
                <w:rFonts w:ascii="Times New Roman" w:hAnsi="Times New Roman" w:cs="Times New Roman"/>
                <w:color w:val="auto"/>
                <w:sz w:val="24"/>
                <w:szCs w:val="24"/>
              </w:rPr>
              <w:t>(OH)</w:t>
            </w:r>
            <w:r w:rsidRPr="003242C7">
              <w:rPr>
                <w:rFonts w:ascii="Times New Roman" w:hAnsi="Times New Roman" w:cs="Times New Roman"/>
                <w:color w:val="auto"/>
                <w:sz w:val="24"/>
                <w:szCs w:val="24"/>
                <w:vertAlign w:val="subscript"/>
              </w:rPr>
              <w:t>8</w:t>
            </w:r>
          </w:p>
        </w:tc>
      </w:tr>
      <w:tr w:rsidR="00560BD4" w:rsidRPr="00A67C6C" w14:paraId="00CCB696" w14:textId="77777777" w:rsidTr="00560BD4">
        <w:trPr>
          <w:trHeight w:val="288"/>
        </w:trPr>
        <w:tc>
          <w:tcPr>
            <w:tcW w:w="1843" w:type="dxa"/>
            <w:tcBorders>
              <w:top w:val="single" w:sz="4" w:space="0" w:color="BFBFBF" w:themeColor="background1" w:themeShade="BF"/>
              <w:left w:val="nil"/>
              <w:bottom w:val="single" w:sz="4" w:space="0" w:color="auto"/>
              <w:right w:val="nil"/>
            </w:tcBorders>
            <w:noWrap/>
            <w:vAlign w:val="bottom"/>
            <w:hideMark/>
          </w:tcPr>
          <w:p w14:paraId="308FFEC9"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Talc</w:t>
            </w:r>
          </w:p>
        </w:tc>
        <w:tc>
          <w:tcPr>
            <w:tcW w:w="1559" w:type="dxa"/>
            <w:tcBorders>
              <w:top w:val="single" w:sz="4" w:space="0" w:color="BFBFBF" w:themeColor="background1" w:themeShade="BF"/>
              <w:left w:val="nil"/>
              <w:bottom w:val="single" w:sz="4" w:space="0" w:color="auto"/>
              <w:right w:val="nil"/>
            </w:tcBorders>
            <w:noWrap/>
            <w:vAlign w:val="bottom"/>
          </w:tcPr>
          <w:p w14:paraId="1F2E2B01" w14:textId="3AD2234E"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3.</w:t>
            </w:r>
            <w:r>
              <w:rPr>
                <w:rFonts w:ascii="Times New Roman" w:hAnsi="Times New Roman" w:cs="Times New Roman"/>
                <w:color w:val="auto"/>
                <w:sz w:val="24"/>
                <w:szCs w:val="24"/>
              </w:rPr>
              <w:t>2</w:t>
            </w:r>
          </w:p>
        </w:tc>
        <w:tc>
          <w:tcPr>
            <w:tcW w:w="3950" w:type="dxa"/>
            <w:tcBorders>
              <w:top w:val="single" w:sz="4" w:space="0" w:color="BFBFBF" w:themeColor="background1" w:themeShade="BF"/>
              <w:left w:val="nil"/>
              <w:bottom w:val="single" w:sz="4" w:space="0" w:color="auto"/>
              <w:right w:val="nil"/>
            </w:tcBorders>
            <w:noWrap/>
            <w:vAlign w:val="bottom"/>
            <w:hideMark/>
          </w:tcPr>
          <w:p w14:paraId="493491DD"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Mg</w:t>
            </w:r>
            <w:r w:rsidRPr="003242C7">
              <w:rPr>
                <w:rFonts w:ascii="Times New Roman" w:hAnsi="Times New Roman" w:cs="Times New Roman"/>
                <w:color w:val="auto"/>
                <w:sz w:val="24"/>
                <w:szCs w:val="24"/>
                <w:vertAlign w:val="subscript"/>
              </w:rPr>
              <w:t>3</w:t>
            </w:r>
            <w:r w:rsidRPr="003242C7">
              <w:rPr>
                <w:rFonts w:ascii="Times New Roman" w:hAnsi="Times New Roman" w:cs="Times New Roman"/>
                <w:color w:val="auto"/>
                <w:sz w:val="24"/>
                <w:szCs w:val="24"/>
              </w:rPr>
              <w:t>Si</w:t>
            </w:r>
            <w:r w:rsidRPr="003242C7">
              <w:rPr>
                <w:rFonts w:ascii="Times New Roman" w:hAnsi="Times New Roman" w:cs="Times New Roman"/>
                <w:color w:val="auto"/>
                <w:sz w:val="24"/>
                <w:szCs w:val="24"/>
                <w:vertAlign w:val="subscript"/>
              </w:rPr>
              <w:t>4</w:t>
            </w:r>
            <w:r w:rsidRPr="003242C7">
              <w:rPr>
                <w:rFonts w:ascii="Times New Roman" w:hAnsi="Times New Roman" w:cs="Times New Roman"/>
                <w:color w:val="auto"/>
                <w:sz w:val="24"/>
                <w:szCs w:val="24"/>
              </w:rPr>
              <w:t>O</w:t>
            </w:r>
            <w:r w:rsidRPr="003242C7">
              <w:rPr>
                <w:rFonts w:ascii="Times New Roman" w:hAnsi="Times New Roman" w:cs="Times New Roman"/>
                <w:color w:val="auto"/>
                <w:sz w:val="24"/>
                <w:szCs w:val="24"/>
                <w:vertAlign w:val="subscript"/>
              </w:rPr>
              <w:t>10</w:t>
            </w:r>
            <w:r w:rsidRPr="003242C7">
              <w:rPr>
                <w:rFonts w:ascii="Times New Roman" w:hAnsi="Times New Roman" w:cs="Times New Roman"/>
                <w:color w:val="auto"/>
                <w:sz w:val="24"/>
                <w:szCs w:val="24"/>
              </w:rPr>
              <w:t>(OH)</w:t>
            </w:r>
            <w:r w:rsidRPr="003242C7">
              <w:rPr>
                <w:rFonts w:ascii="Times New Roman" w:hAnsi="Times New Roman" w:cs="Times New Roman"/>
                <w:color w:val="auto"/>
                <w:sz w:val="24"/>
                <w:szCs w:val="24"/>
                <w:vertAlign w:val="subscript"/>
              </w:rPr>
              <w:t>2</w:t>
            </w:r>
          </w:p>
        </w:tc>
      </w:tr>
      <w:tr w:rsidR="00560BD4" w:rsidRPr="00A67C6C" w14:paraId="5BF2CF03" w14:textId="77777777" w:rsidTr="00A67C6C">
        <w:trPr>
          <w:trHeight w:val="288"/>
        </w:trPr>
        <w:tc>
          <w:tcPr>
            <w:tcW w:w="1843" w:type="dxa"/>
            <w:tcBorders>
              <w:top w:val="single" w:sz="4" w:space="0" w:color="auto"/>
              <w:left w:val="nil"/>
              <w:bottom w:val="single" w:sz="4" w:space="0" w:color="auto"/>
              <w:right w:val="nil"/>
            </w:tcBorders>
            <w:noWrap/>
            <w:vAlign w:val="bottom"/>
            <w:hideMark/>
          </w:tcPr>
          <w:p w14:paraId="4885502A" w14:textId="77777777" w:rsidR="00560BD4" w:rsidRPr="003242C7" w:rsidRDefault="00560BD4" w:rsidP="00560BD4">
            <w:pPr>
              <w:pStyle w:val="Heading2"/>
              <w:spacing w:line="360" w:lineRule="auto"/>
              <w:jc w:val="both"/>
              <w:rPr>
                <w:rFonts w:ascii="Times New Roman" w:hAnsi="Times New Roman" w:cs="Times New Roman"/>
                <w:b/>
                <w:bCs/>
                <w:color w:val="auto"/>
                <w:sz w:val="24"/>
                <w:szCs w:val="24"/>
              </w:rPr>
            </w:pPr>
            <w:r w:rsidRPr="003242C7">
              <w:rPr>
                <w:rFonts w:ascii="Times New Roman" w:hAnsi="Times New Roman" w:cs="Times New Roman"/>
                <w:b/>
                <w:bCs/>
                <w:color w:val="auto"/>
                <w:sz w:val="24"/>
                <w:szCs w:val="24"/>
              </w:rPr>
              <w:t>Surface Area</w:t>
            </w:r>
          </w:p>
        </w:tc>
        <w:tc>
          <w:tcPr>
            <w:tcW w:w="1559" w:type="dxa"/>
            <w:tcBorders>
              <w:top w:val="single" w:sz="4" w:space="0" w:color="auto"/>
              <w:left w:val="nil"/>
              <w:bottom w:val="single" w:sz="4" w:space="0" w:color="auto"/>
              <w:right w:val="nil"/>
            </w:tcBorders>
            <w:noWrap/>
            <w:hideMark/>
          </w:tcPr>
          <w:p w14:paraId="3D613386"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r w:rsidRPr="003242C7">
              <w:rPr>
                <w:rFonts w:ascii="Times New Roman" w:hAnsi="Times New Roman" w:cs="Times New Roman"/>
                <w:color w:val="auto"/>
                <w:sz w:val="24"/>
                <w:szCs w:val="24"/>
              </w:rPr>
              <w:t>8.67 m</w:t>
            </w:r>
            <w:r w:rsidRPr="003242C7">
              <w:rPr>
                <w:rFonts w:ascii="Times New Roman" w:hAnsi="Times New Roman" w:cs="Times New Roman"/>
                <w:color w:val="auto"/>
                <w:sz w:val="24"/>
                <w:szCs w:val="24"/>
                <w:vertAlign w:val="superscript"/>
              </w:rPr>
              <w:t>2</w:t>
            </w:r>
            <w:r w:rsidRPr="003242C7">
              <w:rPr>
                <w:rFonts w:ascii="Times New Roman" w:hAnsi="Times New Roman" w:cs="Times New Roman"/>
                <w:color w:val="auto"/>
                <w:sz w:val="24"/>
                <w:szCs w:val="24"/>
              </w:rPr>
              <w:t xml:space="preserve"> g</w:t>
            </w:r>
            <w:r w:rsidRPr="003242C7">
              <w:rPr>
                <w:rFonts w:ascii="Times New Roman" w:hAnsi="Times New Roman" w:cs="Times New Roman"/>
                <w:color w:val="auto"/>
                <w:sz w:val="24"/>
                <w:szCs w:val="24"/>
                <w:vertAlign w:val="superscript"/>
              </w:rPr>
              <w:t>-1</w:t>
            </w:r>
          </w:p>
        </w:tc>
        <w:tc>
          <w:tcPr>
            <w:tcW w:w="3950" w:type="dxa"/>
            <w:tcBorders>
              <w:top w:val="single" w:sz="4" w:space="0" w:color="auto"/>
              <w:left w:val="nil"/>
              <w:bottom w:val="single" w:sz="4" w:space="0" w:color="auto"/>
              <w:right w:val="nil"/>
            </w:tcBorders>
            <w:noWrap/>
            <w:vAlign w:val="bottom"/>
          </w:tcPr>
          <w:p w14:paraId="55027FEF" w14:textId="77777777" w:rsidR="00560BD4" w:rsidRPr="003242C7" w:rsidRDefault="00560BD4" w:rsidP="00560BD4">
            <w:pPr>
              <w:pStyle w:val="Heading2"/>
              <w:spacing w:line="360" w:lineRule="auto"/>
              <w:jc w:val="both"/>
              <w:rPr>
                <w:rFonts w:ascii="Times New Roman" w:hAnsi="Times New Roman" w:cs="Times New Roman"/>
                <w:color w:val="auto"/>
                <w:sz w:val="24"/>
                <w:szCs w:val="24"/>
              </w:rPr>
            </w:pPr>
          </w:p>
        </w:tc>
      </w:tr>
    </w:tbl>
    <w:p w14:paraId="49C63838" w14:textId="77777777" w:rsidR="00A67C6C" w:rsidRPr="00A67C6C" w:rsidRDefault="00A67C6C" w:rsidP="00A67C6C"/>
    <w:p w14:paraId="7DD3894C" w14:textId="77777777" w:rsidR="00A67C6C" w:rsidRPr="00A67C6C" w:rsidRDefault="00A67C6C" w:rsidP="00A67C6C"/>
    <w:p w14:paraId="23F8C9B0" w14:textId="15713F78" w:rsidR="00CE7650" w:rsidRDefault="00CE7650" w:rsidP="0051796D">
      <w:pPr>
        <w:rPr>
          <w:rFonts w:ascii="Times New Roman" w:eastAsiaTheme="majorEastAsia" w:hAnsi="Times New Roman" w:cs="Times New Roman"/>
          <w:highlight w:val="yellow"/>
        </w:rPr>
      </w:pPr>
      <w:r>
        <w:rPr>
          <w:rFonts w:ascii="Times New Roman" w:hAnsi="Times New Roman" w:cs="Times New Roman"/>
          <w:highlight w:val="yellow"/>
        </w:rPr>
        <w:br w:type="page"/>
      </w:r>
    </w:p>
    <w:p w14:paraId="4B5CFFA6" w14:textId="0B98B25B" w:rsidR="00B846AF" w:rsidRPr="00A44333" w:rsidRDefault="00B846AF" w:rsidP="00A44333">
      <w:pPr>
        <w:pStyle w:val="Heading2"/>
        <w:spacing w:line="360" w:lineRule="auto"/>
        <w:jc w:val="both"/>
        <w:rPr>
          <w:rFonts w:ascii="Times New Roman" w:hAnsi="Times New Roman" w:cs="Times New Roman"/>
          <w:color w:val="auto"/>
          <w:sz w:val="24"/>
          <w:szCs w:val="24"/>
        </w:rPr>
      </w:pPr>
      <w:r w:rsidRPr="00A44333">
        <w:rPr>
          <w:rFonts w:ascii="Times New Roman" w:hAnsi="Times New Roman" w:cs="Times New Roman"/>
          <w:color w:val="auto"/>
          <w:sz w:val="24"/>
          <w:szCs w:val="24"/>
        </w:rPr>
        <w:lastRenderedPageBreak/>
        <w:t>Supplementary Table S</w:t>
      </w:r>
      <w:r w:rsidR="00821323" w:rsidRPr="00A44333">
        <w:rPr>
          <w:rFonts w:ascii="Times New Roman" w:hAnsi="Times New Roman" w:cs="Times New Roman"/>
          <w:color w:val="auto"/>
          <w:sz w:val="24"/>
          <w:szCs w:val="24"/>
        </w:rPr>
        <w:t>4</w:t>
      </w:r>
      <w:r w:rsidRPr="00A44333">
        <w:rPr>
          <w:rFonts w:ascii="Times New Roman" w:hAnsi="Times New Roman" w:cs="Times New Roman"/>
          <w:color w:val="auto"/>
          <w:sz w:val="24"/>
          <w:szCs w:val="24"/>
        </w:rPr>
        <w:t xml:space="preserve"> | Regional nickel production shares, ore-type proportions, and maximum tailing capacities.</w:t>
      </w:r>
      <w:r w:rsidR="00A44333" w:rsidRPr="00A44333">
        <w:rPr>
          <w:rFonts w:ascii="Times New Roman" w:hAnsi="Times New Roman" w:cs="Times New Roman"/>
          <w:color w:val="auto"/>
          <w:sz w:val="24"/>
          <w:szCs w:val="24"/>
        </w:rPr>
        <w:t xml:space="preserve"> </w:t>
      </w:r>
      <w:r w:rsidRPr="00A44333">
        <w:rPr>
          <w:rFonts w:ascii="Times New Roman" w:hAnsi="Times New Roman" w:cs="Times New Roman"/>
          <w:color w:val="auto"/>
          <w:sz w:val="24"/>
          <w:szCs w:val="24"/>
        </w:rPr>
        <w:t>Values are</w:t>
      </w:r>
      <w:r w:rsidRPr="00A44333">
        <w:rPr>
          <w:rFonts w:ascii="Times New Roman" w:hAnsi="Times New Roman" w:cs="Times New Roman"/>
          <w:b/>
          <w:bCs/>
          <w:color w:val="auto"/>
          <w:sz w:val="24"/>
          <w:szCs w:val="24"/>
          <w:lang w:val="en-US"/>
        </w:rPr>
        <w:t xml:space="preserve"> </w:t>
      </w:r>
      <w:r w:rsidRPr="00A44333">
        <w:rPr>
          <w:rFonts w:ascii="Times New Roman" w:hAnsi="Times New Roman" w:cs="Times New Roman"/>
          <w:color w:val="auto"/>
          <w:sz w:val="24"/>
          <w:szCs w:val="24"/>
        </w:rPr>
        <w:t xml:space="preserve">adapted from </w:t>
      </w:r>
      <w:r w:rsidRPr="00A44333">
        <w:rPr>
          <w:rFonts w:ascii="Times New Roman" w:hAnsi="Times New Roman" w:cs="Times New Roman"/>
          <w:color w:val="auto"/>
          <w:sz w:val="24"/>
          <w:szCs w:val="24"/>
        </w:rPr>
        <w:fldChar w:fldCharType="begin"/>
      </w:r>
      <w:r w:rsidR="007C2590" w:rsidRPr="00A44333">
        <w:rPr>
          <w:rFonts w:ascii="Times New Roman" w:hAnsi="Times New Roman" w:cs="Times New Roman"/>
          <w:color w:val="auto"/>
          <w:sz w:val="24"/>
          <w:szCs w:val="24"/>
        </w:rPr>
        <w:instrText xml:space="preserve"> ADDIN ZOTERO_ITEM CSL_CITATION {"citationID":"oqjznEVU","properties":{"formattedCitation":"\\super 19,20\\nosupersub{}","plainCitation":"19,20","noteIndex":0},"citationItems":[{"id":709,"uris":["http://zotero.org/users/12559992/items/A55XWK7G"],"itemData":{"id":709,"type":"post-weblog","abstract":"Widespread in our modern societies, nickel is essential to many industrial sectors, as well as for the construction industry.","container-title":"Energy Industry Review","language":"en-GB","title":"Strategic Materials and Energy Transition: Nickel","title-short":"Strategic Materials and Energy Transition","URL":"https://energyindustryreview.com/metals-mining/strategic-materials-and-energy-transition-nickel/","author":[{"family":"David","given":"Rona Rita"}],"accessed":{"date-parts":[["2025",1,31]]},"issued":{"date-parts":[["2022",1,17]]}}},{"id":707,"uris":["http://zotero.org/users/12559992/items/PY7VU3A8"],"itemData":{"id":707,"type":"article-journal","abstract":"Nickel (Ni) is fundamentally important to the modern world for stainless steel, specialty alloys, electroplating, batteries, and other uses. Global Ni demand is expected to soar as the world transitions to a net-zero greenhouse gas emissions economy based on electric vehicles and energy storage batteries linked to renewable energy systems. This means that understanding the current Ni sector, especially known Ni resources, reserves, and mining (i.e., current and likely future sources of this metal), is crucial to enabling this energy transition, including the likely environmental, social, and governmental challenges that may prevent the development or may hinder the continuation of future and current Ni mining operations. This paper achieves this by presenting a comprehensive global assessment of reported Ni deposits and projects for the year 2018. All of these are classified by mineral deposit type to understand the relative importance of the different mineral systems that are mined for Ni and allocate each site a primary and secondary mineral deposit type. We also compare our results for 2018 with the results of a previous study focused on 2011 data to understand how deposits and projects have evolved over time and coincident with production. The majority of Ni has been and will continue to be sourced from laterites and magmatic sulfide systems; other deposits have produced only minor amounts of Ni. Our database indicates that globally some 627 Ni deposits remain with in-ground resources and/or reserves, including 148 and 86 laterite, 248 and 93 magmatic sulfide, 33 and 14 hydrothermal, and three and two tailings Ni-containing code-and noncode-compliant resources, respectively. Projects with reserve estimates include 38 laterite reserves, 70 magmatic sulfide, and three hydrothermal Ni-containing reserves. These data yield 350.2 million metric tonnes (Mt) of contained Ni in resources distributed as 190.2, 124.1, and 35.4 Mt Ni in laterite, magmatic sulfide, and hydrothermal resources, respectively. Reserves contain 47.12 Mt of Ni split into 25.97, 20.14, and 1.01 Mt Ni in laterite, magmatic sulfide, and hydrothermal reserves, respectively. Comparison of these data to 2011 data indicates that sulfide deposits are effectively keeping pace with depletion by mining, whereas laterite resources are lower than in 2011, perhaps reflecting the fact that the latter can be more comprehensively assessed during the early stage of laterite resource and reserve estimation. This suggests that although current resources are sufficient to enable current production to be sustained, the expected increase in demand for Ni may act to constrain supply. This may also be exacerbated by the increasing environmental, social, and governmental challenges facing the minerals industry globally, with a number of projects that have faced delays or problems associated with these challenges also outlined in this study. Our study also highlights the variable level of sustainability reporting undertaken by different companies involved in Ni mining and exploration. One potential approach to more effective environmental and social engagement would be improvements in this area, allowing more transparent engagement with social and environmental stakeholders. Overall, known Ni resources and reserves are sufficient to continue current levels of production for several decades to come (assuming all of this material can be mined); however, the Ni mining sector faces a number of challenges that may change this, including increased demand from electric vehicles and batteries and potential supply restrictions relating to increased environmental, social, and governmental challenges to the mining industry globally.","container-title":"Economic Geology","DOI":"10.5382/econgeo.4950","ISSN":"0361-0128","issue":"8","journalAbbreviation":"Economic Geology","page":"1961-1983","source":"Silverchair","title":"The New Century for Nickel Resources, Reserves, and Mining: Reassessing the Sustainability of the Devil’s Metal","title-short":"The New Century for Nickel Resources, Reserves, and Mining","volume":"117","author":[{"family":"Mudd","given":"Gavin M."},{"family":"Jowitt","given":"Simon M."}],"issued":{"date-parts":[["2022",12,1]]}}}],"schema":"https://github.com/citation-style-language/schema/raw/master/csl-citation.json"} </w:instrText>
      </w:r>
      <w:r w:rsidRPr="00A44333">
        <w:rPr>
          <w:rFonts w:ascii="Times New Roman" w:hAnsi="Times New Roman" w:cs="Times New Roman"/>
          <w:color w:val="auto"/>
          <w:sz w:val="24"/>
          <w:szCs w:val="24"/>
        </w:rPr>
        <w:fldChar w:fldCharType="separate"/>
      </w:r>
      <w:r w:rsidR="007C2590" w:rsidRPr="00A44333">
        <w:rPr>
          <w:rFonts w:ascii="Times New Roman" w:hAnsi="Times New Roman" w:cs="Times New Roman"/>
          <w:color w:val="auto"/>
          <w:kern w:val="0"/>
          <w:sz w:val="24"/>
          <w:szCs w:val="24"/>
          <w:vertAlign w:val="superscript"/>
        </w:rPr>
        <w:t>19,20</w:t>
      </w:r>
      <w:r w:rsidRPr="00A44333">
        <w:rPr>
          <w:rFonts w:ascii="Times New Roman" w:hAnsi="Times New Roman" w:cs="Times New Roman"/>
          <w:color w:val="auto"/>
          <w:sz w:val="24"/>
          <w:szCs w:val="24"/>
        </w:rPr>
        <w:fldChar w:fldCharType="end"/>
      </w:r>
      <w:r w:rsidRPr="00A44333">
        <w:rPr>
          <w:rFonts w:ascii="Times New Roman" w:hAnsi="Times New Roman" w:cs="Times New Roman"/>
          <w:color w:val="auto"/>
          <w:sz w:val="24"/>
          <w:szCs w:val="24"/>
        </w:rPr>
        <w:t>, percentages not rounded to 100% since regions with share &lt;5% are excluded.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122"/>
        <w:gridCol w:w="1701"/>
        <w:gridCol w:w="1559"/>
        <w:gridCol w:w="2124"/>
      </w:tblGrid>
      <w:tr w:rsidR="00B846AF" w:rsidRPr="00B846AF" w14:paraId="44512D4A" w14:textId="77777777" w:rsidTr="00E4795B">
        <w:trPr>
          <w:jc w:val="center"/>
        </w:trPr>
        <w:tc>
          <w:tcPr>
            <w:tcW w:w="1134" w:type="dxa"/>
            <w:tcBorders>
              <w:top w:val="single" w:sz="4" w:space="0" w:color="auto"/>
              <w:bottom w:val="single" w:sz="4" w:space="0" w:color="BFBFBF" w:themeColor="background1" w:themeShade="BF"/>
            </w:tcBorders>
            <w:hideMark/>
          </w:tcPr>
          <w:p w14:paraId="49C86922" w14:textId="77777777" w:rsidR="00B846AF" w:rsidRPr="00B846AF" w:rsidRDefault="00B846AF" w:rsidP="00B846AF">
            <w:pPr>
              <w:spacing w:after="160" w:line="360" w:lineRule="auto"/>
              <w:jc w:val="both"/>
              <w:rPr>
                <w:rFonts w:ascii="Times New Roman" w:hAnsi="Times New Roman" w:cs="Times New Roman"/>
                <w:b/>
                <w:bCs/>
                <w:sz w:val="24"/>
                <w:szCs w:val="24"/>
                <w:lang w:val="en-US"/>
              </w:rPr>
            </w:pPr>
            <w:r w:rsidRPr="00B846AF">
              <w:rPr>
                <w:rFonts w:ascii="Times New Roman" w:hAnsi="Times New Roman" w:cs="Times New Roman"/>
                <w:b/>
                <w:bCs/>
                <w:sz w:val="24"/>
                <w:szCs w:val="24"/>
                <w:lang w:val="en-US"/>
              </w:rPr>
              <w:t>Region</w:t>
            </w:r>
          </w:p>
        </w:tc>
        <w:tc>
          <w:tcPr>
            <w:tcW w:w="2122" w:type="dxa"/>
            <w:tcBorders>
              <w:top w:val="single" w:sz="4" w:space="0" w:color="auto"/>
              <w:bottom w:val="single" w:sz="4" w:space="0" w:color="BFBFBF" w:themeColor="background1" w:themeShade="BF"/>
            </w:tcBorders>
            <w:hideMark/>
          </w:tcPr>
          <w:p w14:paraId="2876116C" w14:textId="77777777" w:rsidR="00B846AF" w:rsidRPr="00B846AF" w:rsidRDefault="00B846AF" w:rsidP="00B846AF">
            <w:pPr>
              <w:spacing w:after="160" w:line="360" w:lineRule="auto"/>
              <w:jc w:val="both"/>
              <w:rPr>
                <w:rFonts w:ascii="Times New Roman" w:hAnsi="Times New Roman" w:cs="Times New Roman"/>
                <w:b/>
                <w:bCs/>
                <w:sz w:val="24"/>
                <w:szCs w:val="24"/>
                <w:lang w:val="en-US"/>
              </w:rPr>
            </w:pPr>
            <w:r w:rsidRPr="00B846AF">
              <w:rPr>
                <w:rFonts w:ascii="Times New Roman" w:hAnsi="Times New Roman" w:cs="Times New Roman"/>
                <w:b/>
                <w:bCs/>
                <w:sz w:val="24"/>
                <w:szCs w:val="24"/>
                <w:lang w:val="en-US"/>
              </w:rPr>
              <w:t>Nickel production share (%)</w:t>
            </w:r>
          </w:p>
        </w:tc>
        <w:tc>
          <w:tcPr>
            <w:tcW w:w="1701" w:type="dxa"/>
            <w:tcBorders>
              <w:top w:val="single" w:sz="4" w:space="0" w:color="auto"/>
              <w:bottom w:val="single" w:sz="4" w:space="0" w:color="BFBFBF" w:themeColor="background1" w:themeShade="BF"/>
            </w:tcBorders>
            <w:hideMark/>
          </w:tcPr>
          <w:p w14:paraId="54872E6E" w14:textId="77777777" w:rsidR="00B846AF" w:rsidRPr="00B846AF" w:rsidRDefault="00B846AF" w:rsidP="00B846AF">
            <w:pPr>
              <w:spacing w:after="160" w:line="360" w:lineRule="auto"/>
              <w:jc w:val="both"/>
              <w:rPr>
                <w:rFonts w:ascii="Times New Roman" w:hAnsi="Times New Roman" w:cs="Times New Roman"/>
                <w:b/>
                <w:bCs/>
                <w:sz w:val="24"/>
                <w:szCs w:val="24"/>
                <w:lang w:val="en-US"/>
              </w:rPr>
            </w:pPr>
            <w:proofErr w:type="spellStart"/>
            <w:r w:rsidRPr="00B846AF">
              <w:rPr>
                <w:rFonts w:ascii="Times New Roman" w:hAnsi="Times New Roman" w:cs="Times New Roman"/>
                <w:b/>
                <w:bCs/>
                <w:sz w:val="24"/>
                <w:szCs w:val="24"/>
                <w:lang w:val="en-US"/>
              </w:rPr>
              <w:t>Sulphide</w:t>
            </w:r>
            <w:proofErr w:type="spellEnd"/>
            <w:r w:rsidRPr="00B846AF">
              <w:rPr>
                <w:rFonts w:ascii="Times New Roman" w:hAnsi="Times New Roman" w:cs="Times New Roman"/>
                <w:b/>
                <w:bCs/>
                <w:sz w:val="24"/>
                <w:szCs w:val="24"/>
                <w:lang w:val="en-US"/>
              </w:rPr>
              <w:t xml:space="preserve"> ore share (%)</w:t>
            </w:r>
          </w:p>
        </w:tc>
        <w:tc>
          <w:tcPr>
            <w:tcW w:w="1559" w:type="dxa"/>
            <w:tcBorders>
              <w:top w:val="single" w:sz="4" w:space="0" w:color="auto"/>
              <w:bottom w:val="single" w:sz="4" w:space="0" w:color="BFBFBF" w:themeColor="background1" w:themeShade="BF"/>
            </w:tcBorders>
            <w:hideMark/>
          </w:tcPr>
          <w:p w14:paraId="610D15C4" w14:textId="77777777" w:rsidR="00B846AF" w:rsidRPr="00B846AF" w:rsidRDefault="00B846AF" w:rsidP="00B846AF">
            <w:pPr>
              <w:spacing w:after="160" w:line="360" w:lineRule="auto"/>
              <w:jc w:val="both"/>
              <w:rPr>
                <w:rFonts w:ascii="Times New Roman" w:hAnsi="Times New Roman" w:cs="Times New Roman"/>
                <w:b/>
                <w:bCs/>
                <w:sz w:val="24"/>
                <w:szCs w:val="24"/>
                <w:lang w:val="en-US"/>
              </w:rPr>
            </w:pPr>
            <w:r w:rsidRPr="00B846AF">
              <w:rPr>
                <w:rFonts w:ascii="Times New Roman" w:hAnsi="Times New Roman" w:cs="Times New Roman"/>
                <w:b/>
                <w:bCs/>
                <w:sz w:val="24"/>
                <w:szCs w:val="24"/>
                <w:lang w:val="en-US"/>
              </w:rPr>
              <w:t>Laterite ore share (%)</w:t>
            </w:r>
          </w:p>
        </w:tc>
        <w:tc>
          <w:tcPr>
            <w:tcW w:w="2124" w:type="dxa"/>
            <w:tcBorders>
              <w:top w:val="single" w:sz="4" w:space="0" w:color="auto"/>
              <w:bottom w:val="single" w:sz="4" w:space="0" w:color="BFBFBF" w:themeColor="background1" w:themeShade="BF"/>
            </w:tcBorders>
            <w:hideMark/>
          </w:tcPr>
          <w:p w14:paraId="4E08D7F2" w14:textId="77777777" w:rsidR="00B846AF" w:rsidRPr="00B846AF" w:rsidRDefault="00B846AF" w:rsidP="00B846AF">
            <w:pPr>
              <w:spacing w:after="160" w:line="360" w:lineRule="auto"/>
              <w:jc w:val="both"/>
              <w:rPr>
                <w:rFonts w:ascii="Times New Roman" w:hAnsi="Times New Roman" w:cs="Times New Roman"/>
                <w:b/>
                <w:bCs/>
                <w:sz w:val="24"/>
                <w:szCs w:val="24"/>
                <w:lang w:val="en-US"/>
              </w:rPr>
            </w:pPr>
            <w:r w:rsidRPr="00B846AF">
              <w:rPr>
                <w:rFonts w:ascii="Times New Roman" w:hAnsi="Times New Roman" w:cs="Times New Roman"/>
                <w:b/>
                <w:bCs/>
                <w:sz w:val="24"/>
                <w:szCs w:val="24"/>
                <w:lang w:val="en-US"/>
              </w:rPr>
              <w:t>Maximum tailings capacity (Mt)</w:t>
            </w:r>
          </w:p>
        </w:tc>
      </w:tr>
      <w:tr w:rsidR="00B846AF" w:rsidRPr="00B846AF" w14:paraId="0EC24B35" w14:textId="77777777" w:rsidTr="00E4795B">
        <w:trPr>
          <w:jc w:val="center"/>
        </w:trPr>
        <w:tc>
          <w:tcPr>
            <w:tcW w:w="1134" w:type="dxa"/>
            <w:tcBorders>
              <w:top w:val="single" w:sz="4" w:space="0" w:color="BFBFBF" w:themeColor="background1" w:themeShade="BF"/>
              <w:bottom w:val="single" w:sz="4" w:space="0" w:color="BFBFBF" w:themeColor="background1" w:themeShade="BF"/>
            </w:tcBorders>
            <w:hideMark/>
          </w:tcPr>
          <w:p w14:paraId="79434992"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CAZ</w:t>
            </w:r>
          </w:p>
        </w:tc>
        <w:tc>
          <w:tcPr>
            <w:tcW w:w="2122" w:type="dxa"/>
            <w:tcBorders>
              <w:top w:val="single" w:sz="4" w:space="0" w:color="BFBFBF" w:themeColor="background1" w:themeShade="BF"/>
              <w:bottom w:val="single" w:sz="4" w:space="0" w:color="BFBFBF" w:themeColor="background1" w:themeShade="BF"/>
            </w:tcBorders>
            <w:hideMark/>
          </w:tcPr>
          <w:p w14:paraId="256A5024"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22.4</w:t>
            </w:r>
          </w:p>
        </w:tc>
        <w:tc>
          <w:tcPr>
            <w:tcW w:w="1701" w:type="dxa"/>
            <w:tcBorders>
              <w:top w:val="single" w:sz="4" w:space="0" w:color="BFBFBF" w:themeColor="background1" w:themeShade="BF"/>
              <w:bottom w:val="single" w:sz="4" w:space="0" w:color="BFBFBF" w:themeColor="background1" w:themeShade="BF"/>
            </w:tcBorders>
            <w:hideMark/>
          </w:tcPr>
          <w:p w14:paraId="7A913058"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52</w:t>
            </w:r>
          </w:p>
        </w:tc>
        <w:tc>
          <w:tcPr>
            <w:tcW w:w="1559" w:type="dxa"/>
            <w:tcBorders>
              <w:top w:val="single" w:sz="4" w:space="0" w:color="BFBFBF" w:themeColor="background1" w:themeShade="BF"/>
              <w:bottom w:val="single" w:sz="4" w:space="0" w:color="BFBFBF" w:themeColor="background1" w:themeShade="BF"/>
            </w:tcBorders>
            <w:hideMark/>
          </w:tcPr>
          <w:p w14:paraId="2EF893CF"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48</w:t>
            </w:r>
          </w:p>
        </w:tc>
        <w:tc>
          <w:tcPr>
            <w:tcW w:w="2124" w:type="dxa"/>
            <w:tcBorders>
              <w:top w:val="single" w:sz="4" w:space="0" w:color="BFBFBF" w:themeColor="background1" w:themeShade="BF"/>
              <w:bottom w:val="single" w:sz="4" w:space="0" w:color="BFBFBF" w:themeColor="background1" w:themeShade="BF"/>
            </w:tcBorders>
            <w:hideMark/>
          </w:tcPr>
          <w:p w14:paraId="114B3F26"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4,648</w:t>
            </w:r>
          </w:p>
        </w:tc>
      </w:tr>
      <w:tr w:rsidR="00B846AF" w:rsidRPr="00B846AF" w14:paraId="135E4732" w14:textId="77777777" w:rsidTr="00E4795B">
        <w:trPr>
          <w:jc w:val="center"/>
        </w:trPr>
        <w:tc>
          <w:tcPr>
            <w:tcW w:w="1134" w:type="dxa"/>
            <w:tcBorders>
              <w:top w:val="single" w:sz="4" w:space="0" w:color="BFBFBF" w:themeColor="background1" w:themeShade="BF"/>
              <w:bottom w:val="single" w:sz="4" w:space="0" w:color="BFBFBF" w:themeColor="background1" w:themeShade="BF"/>
            </w:tcBorders>
            <w:hideMark/>
          </w:tcPr>
          <w:p w14:paraId="4ECBDEC9"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SA</w:t>
            </w:r>
          </w:p>
        </w:tc>
        <w:tc>
          <w:tcPr>
            <w:tcW w:w="2122" w:type="dxa"/>
            <w:tcBorders>
              <w:top w:val="single" w:sz="4" w:space="0" w:color="BFBFBF" w:themeColor="background1" w:themeShade="BF"/>
              <w:bottom w:val="single" w:sz="4" w:space="0" w:color="BFBFBF" w:themeColor="background1" w:themeShade="BF"/>
            </w:tcBorders>
            <w:hideMark/>
          </w:tcPr>
          <w:p w14:paraId="7E2E9723"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19.2</w:t>
            </w:r>
          </w:p>
        </w:tc>
        <w:tc>
          <w:tcPr>
            <w:tcW w:w="1701" w:type="dxa"/>
            <w:tcBorders>
              <w:top w:val="single" w:sz="4" w:space="0" w:color="BFBFBF" w:themeColor="background1" w:themeShade="BF"/>
              <w:bottom w:val="single" w:sz="4" w:space="0" w:color="BFBFBF" w:themeColor="background1" w:themeShade="BF"/>
            </w:tcBorders>
            <w:hideMark/>
          </w:tcPr>
          <w:p w14:paraId="5C691CEA"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75</w:t>
            </w:r>
          </w:p>
        </w:tc>
        <w:tc>
          <w:tcPr>
            <w:tcW w:w="1559" w:type="dxa"/>
            <w:tcBorders>
              <w:top w:val="single" w:sz="4" w:space="0" w:color="BFBFBF" w:themeColor="background1" w:themeShade="BF"/>
              <w:bottom w:val="single" w:sz="4" w:space="0" w:color="BFBFBF" w:themeColor="background1" w:themeShade="BF"/>
            </w:tcBorders>
            <w:hideMark/>
          </w:tcPr>
          <w:p w14:paraId="478718F2"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25</w:t>
            </w:r>
          </w:p>
        </w:tc>
        <w:tc>
          <w:tcPr>
            <w:tcW w:w="2124" w:type="dxa"/>
            <w:tcBorders>
              <w:top w:val="single" w:sz="4" w:space="0" w:color="BFBFBF" w:themeColor="background1" w:themeShade="BF"/>
              <w:bottom w:val="single" w:sz="4" w:space="0" w:color="BFBFBF" w:themeColor="background1" w:themeShade="BF"/>
            </w:tcBorders>
            <w:hideMark/>
          </w:tcPr>
          <w:p w14:paraId="24D4D0E2"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4,524</w:t>
            </w:r>
          </w:p>
        </w:tc>
      </w:tr>
      <w:tr w:rsidR="00B846AF" w:rsidRPr="00B846AF" w14:paraId="47E15D3C" w14:textId="77777777" w:rsidTr="00E4795B">
        <w:trPr>
          <w:jc w:val="center"/>
        </w:trPr>
        <w:tc>
          <w:tcPr>
            <w:tcW w:w="1134" w:type="dxa"/>
            <w:tcBorders>
              <w:top w:val="single" w:sz="4" w:space="0" w:color="BFBFBF" w:themeColor="background1" w:themeShade="BF"/>
              <w:bottom w:val="single" w:sz="4" w:space="0" w:color="BFBFBF" w:themeColor="background1" w:themeShade="BF"/>
            </w:tcBorders>
            <w:hideMark/>
          </w:tcPr>
          <w:p w14:paraId="22DDFB85"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EA</w:t>
            </w:r>
          </w:p>
        </w:tc>
        <w:tc>
          <w:tcPr>
            <w:tcW w:w="2122" w:type="dxa"/>
            <w:tcBorders>
              <w:top w:val="single" w:sz="4" w:space="0" w:color="BFBFBF" w:themeColor="background1" w:themeShade="BF"/>
              <w:bottom w:val="single" w:sz="4" w:space="0" w:color="BFBFBF" w:themeColor="background1" w:themeShade="BF"/>
            </w:tcBorders>
            <w:hideMark/>
          </w:tcPr>
          <w:p w14:paraId="3906D331"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25.2</w:t>
            </w:r>
          </w:p>
        </w:tc>
        <w:tc>
          <w:tcPr>
            <w:tcW w:w="1701" w:type="dxa"/>
            <w:tcBorders>
              <w:top w:val="single" w:sz="4" w:space="0" w:color="BFBFBF" w:themeColor="background1" w:themeShade="BF"/>
              <w:bottom w:val="single" w:sz="4" w:space="0" w:color="BFBFBF" w:themeColor="background1" w:themeShade="BF"/>
            </w:tcBorders>
            <w:hideMark/>
          </w:tcPr>
          <w:p w14:paraId="55E0C947"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0</w:t>
            </w:r>
          </w:p>
        </w:tc>
        <w:tc>
          <w:tcPr>
            <w:tcW w:w="1559" w:type="dxa"/>
            <w:tcBorders>
              <w:top w:val="single" w:sz="4" w:space="0" w:color="BFBFBF" w:themeColor="background1" w:themeShade="BF"/>
              <w:bottom w:val="single" w:sz="4" w:space="0" w:color="BFBFBF" w:themeColor="background1" w:themeShade="BF"/>
            </w:tcBorders>
            <w:hideMark/>
          </w:tcPr>
          <w:p w14:paraId="2B9697C3"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100</w:t>
            </w:r>
          </w:p>
        </w:tc>
        <w:tc>
          <w:tcPr>
            <w:tcW w:w="2124" w:type="dxa"/>
            <w:tcBorders>
              <w:top w:val="single" w:sz="4" w:space="0" w:color="BFBFBF" w:themeColor="background1" w:themeShade="BF"/>
              <w:bottom w:val="single" w:sz="4" w:space="0" w:color="BFBFBF" w:themeColor="background1" w:themeShade="BF"/>
            </w:tcBorders>
            <w:hideMark/>
          </w:tcPr>
          <w:p w14:paraId="4B48EE0E"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3,648</w:t>
            </w:r>
          </w:p>
        </w:tc>
      </w:tr>
      <w:tr w:rsidR="00B846AF" w:rsidRPr="00B846AF" w14:paraId="34959F2B" w14:textId="77777777" w:rsidTr="00E4795B">
        <w:trPr>
          <w:jc w:val="center"/>
        </w:trPr>
        <w:tc>
          <w:tcPr>
            <w:tcW w:w="1134" w:type="dxa"/>
            <w:tcBorders>
              <w:top w:val="single" w:sz="4" w:space="0" w:color="BFBFBF" w:themeColor="background1" w:themeShade="BF"/>
              <w:bottom w:val="single" w:sz="4" w:space="0" w:color="BFBFBF" w:themeColor="background1" w:themeShade="BF"/>
            </w:tcBorders>
            <w:hideMark/>
          </w:tcPr>
          <w:p w14:paraId="2BC2B1F2"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CSA</w:t>
            </w:r>
          </w:p>
        </w:tc>
        <w:tc>
          <w:tcPr>
            <w:tcW w:w="2122" w:type="dxa"/>
            <w:tcBorders>
              <w:top w:val="single" w:sz="4" w:space="0" w:color="BFBFBF" w:themeColor="background1" w:themeShade="BF"/>
              <w:bottom w:val="single" w:sz="4" w:space="0" w:color="BFBFBF" w:themeColor="background1" w:themeShade="BF"/>
            </w:tcBorders>
            <w:hideMark/>
          </w:tcPr>
          <w:p w14:paraId="67316103"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14.2</w:t>
            </w:r>
          </w:p>
        </w:tc>
        <w:tc>
          <w:tcPr>
            <w:tcW w:w="1701" w:type="dxa"/>
            <w:tcBorders>
              <w:top w:val="single" w:sz="4" w:space="0" w:color="BFBFBF" w:themeColor="background1" w:themeShade="BF"/>
              <w:bottom w:val="single" w:sz="4" w:space="0" w:color="BFBFBF" w:themeColor="background1" w:themeShade="BF"/>
            </w:tcBorders>
            <w:hideMark/>
          </w:tcPr>
          <w:p w14:paraId="6C639098"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3</w:t>
            </w:r>
          </w:p>
        </w:tc>
        <w:tc>
          <w:tcPr>
            <w:tcW w:w="1559" w:type="dxa"/>
            <w:tcBorders>
              <w:top w:val="single" w:sz="4" w:space="0" w:color="BFBFBF" w:themeColor="background1" w:themeShade="BF"/>
              <w:bottom w:val="single" w:sz="4" w:space="0" w:color="BFBFBF" w:themeColor="background1" w:themeShade="BF"/>
            </w:tcBorders>
            <w:hideMark/>
          </w:tcPr>
          <w:p w14:paraId="42AF159F"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97</w:t>
            </w:r>
          </w:p>
        </w:tc>
        <w:tc>
          <w:tcPr>
            <w:tcW w:w="2124" w:type="dxa"/>
            <w:tcBorders>
              <w:top w:val="single" w:sz="4" w:space="0" w:color="BFBFBF" w:themeColor="background1" w:themeShade="BF"/>
              <w:bottom w:val="single" w:sz="4" w:space="0" w:color="BFBFBF" w:themeColor="background1" w:themeShade="BF"/>
            </w:tcBorders>
            <w:hideMark/>
          </w:tcPr>
          <w:p w14:paraId="51DD5F16"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2,104</w:t>
            </w:r>
          </w:p>
        </w:tc>
      </w:tr>
      <w:tr w:rsidR="00B846AF" w:rsidRPr="00B846AF" w14:paraId="54D1C132" w14:textId="77777777" w:rsidTr="00E4795B">
        <w:trPr>
          <w:jc w:val="center"/>
        </w:trPr>
        <w:tc>
          <w:tcPr>
            <w:tcW w:w="1134" w:type="dxa"/>
            <w:tcBorders>
              <w:top w:val="single" w:sz="4" w:space="0" w:color="BFBFBF" w:themeColor="background1" w:themeShade="BF"/>
              <w:bottom w:val="single" w:sz="4" w:space="0" w:color="BFBFBF" w:themeColor="background1" w:themeShade="BF"/>
            </w:tcBorders>
            <w:hideMark/>
          </w:tcPr>
          <w:p w14:paraId="6B07F5BB"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RUS</w:t>
            </w:r>
          </w:p>
        </w:tc>
        <w:tc>
          <w:tcPr>
            <w:tcW w:w="2122" w:type="dxa"/>
            <w:tcBorders>
              <w:top w:val="single" w:sz="4" w:space="0" w:color="BFBFBF" w:themeColor="background1" w:themeShade="BF"/>
              <w:bottom w:val="single" w:sz="4" w:space="0" w:color="BFBFBF" w:themeColor="background1" w:themeShade="BF"/>
            </w:tcBorders>
            <w:hideMark/>
          </w:tcPr>
          <w:p w14:paraId="2B6B0138"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8.4</w:t>
            </w:r>
          </w:p>
        </w:tc>
        <w:tc>
          <w:tcPr>
            <w:tcW w:w="1701" w:type="dxa"/>
            <w:tcBorders>
              <w:top w:val="single" w:sz="4" w:space="0" w:color="BFBFBF" w:themeColor="background1" w:themeShade="BF"/>
              <w:bottom w:val="single" w:sz="4" w:space="0" w:color="BFBFBF" w:themeColor="background1" w:themeShade="BF"/>
            </w:tcBorders>
            <w:hideMark/>
          </w:tcPr>
          <w:p w14:paraId="431A859B"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86</w:t>
            </w:r>
          </w:p>
        </w:tc>
        <w:tc>
          <w:tcPr>
            <w:tcW w:w="1559" w:type="dxa"/>
            <w:tcBorders>
              <w:top w:val="single" w:sz="4" w:space="0" w:color="BFBFBF" w:themeColor="background1" w:themeShade="BF"/>
              <w:bottom w:val="single" w:sz="4" w:space="0" w:color="BFBFBF" w:themeColor="background1" w:themeShade="BF"/>
            </w:tcBorders>
            <w:hideMark/>
          </w:tcPr>
          <w:p w14:paraId="6B8450FD"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14</w:t>
            </w:r>
          </w:p>
        </w:tc>
        <w:tc>
          <w:tcPr>
            <w:tcW w:w="2124" w:type="dxa"/>
            <w:tcBorders>
              <w:top w:val="single" w:sz="4" w:space="0" w:color="BFBFBF" w:themeColor="background1" w:themeShade="BF"/>
              <w:bottom w:val="single" w:sz="4" w:space="0" w:color="BFBFBF" w:themeColor="background1" w:themeShade="BF"/>
            </w:tcBorders>
            <w:hideMark/>
          </w:tcPr>
          <w:p w14:paraId="4E23F744"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2,088</w:t>
            </w:r>
          </w:p>
        </w:tc>
      </w:tr>
      <w:tr w:rsidR="00B846AF" w:rsidRPr="00B846AF" w14:paraId="43E36D83" w14:textId="77777777" w:rsidTr="00E4795B">
        <w:trPr>
          <w:jc w:val="center"/>
        </w:trPr>
        <w:tc>
          <w:tcPr>
            <w:tcW w:w="1134" w:type="dxa"/>
            <w:tcBorders>
              <w:top w:val="single" w:sz="4" w:space="0" w:color="BFBFBF" w:themeColor="background1" w:themeShade="BF"/>
              <w:bottom w:val="single" w:sz="4" w:space="0" w:color="auto"/>
            </w:tcBorders>
            <w:hideMark/>
          </w:tcPr>
          <w:p w14:paraId="0DED7EAC"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EUR</w:t>
            </w:r>
          </w:p>
        </w:tc>
        <w:tc>
          <w:tcPr>
            <w:tcW w:w="2122" w:type="dxa"/>
            <w:tcBorders>
              <w:top w:val="single" w:sz="4" w:space="0" w:color="BFBFBF" w:themeColor="background1" w:themeShade="BF"/>
              <w:bottom w:val="single" w:sz="4" w:space="0" w:color="auto"/>
            </w:tcBorders>
            <w:hideMark/>
          </w:tcPr>
          <w:p w14:paraId="6B21485A"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4.8</w:t>
            </w:r>
          </w:p>
        </w:tc>
        <w:tc>
          <w:tcPr>
            <w:tcW w:w="1701" w:type="dxa"/>
            <w:tcBorders>
              <w:top w:val="single" w:sz="4" w:space="0" w:color="BFBFBF" w:themeColor="background1" w:themeShade="BF"/>
              <w:bottom w:val="single" w:sz="4" w:space="0" w:color="auto"/>
            </w:tcBorders>
            <w:hideMark/>
          </w:tcPr>
          <w:p w14:paraId="76E1838D"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50</w:t>
            </w:r>
          </w:p>
        </w:tc>
        <w:tc>
          <w:tcPr>
            <w:tcW w:w="1559" w:type="dxa"/>
            <w:tcBorders>
              <w:top w:val="single" w:sz="4" w:space="0" w:color="BFBFBF" w:themeColor="background1" w:themeShade="BF"/>
              <w:bottom w:val="single" w:sz="4" w:space="0" w:color="auto"/>
            </w:tcBorders>
            <w:hideMark/>
          </w:tcPr>
          <w:p w14:paraId="4480B6ED"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50</w:t>
            </w:r>
          </w:p>
        </w:tc>
        <w:tc>
          <w:tcPr>
            <w:tcW w:w="2124" w:type="dxa"/>
            <w:tcBorders>
              <w:top w:val="single" w:sz="4" w:space="0" w:color="BFBFBF" w:themeColor="background1" w:themeShade="BF"/>
              <w:bottom w:val="single" w:sz="4" w:space="0" w:color="auto"/>
            </w:tcBorders>
            <w:hideMark/>
          </w:tcPr>
          <w:p w14:paraId="18F681EF" w14:textId="77777777" w:rsidR="00B846AF" w:rsidRPr="00B846AF" w:rsidRDefault="00B846AF" w:rsidP="00B846AF">
            <w:pPr>
              <w:spacing w:after="160" w:line="360" w:lineRule="auto"/>
              <w:jc w:val="both"/>
              <w:rPr>
                <w:rFonts w:ascii="Times New Roman" w:hAnsi="Times New Roman" w:cs="Times New Roman"/>
                <w:sz w:val="24"/>
                <w:szCs w:val="24"/>
                <w:lang w:val="en-US"/>
              </w:rPr>
            </w:pPr>
            <w:r w:rsidRPr="00B846AF">
              <w:rPr>
                <w:rFonts w:ascii="Times New Roman" w:hAnsi="Times New Roman" w:cs="Times New Roman"/>
                <w:sz w:val="24"/>
                <w:szCs w:val="24"/>
                <w:lang w:val="en-US"/>
              </w:rPr>
              <w:t>812</w:t>
            </w:r>
          </w:p>
        </w:tc>
      </w:tr>
    </w:tbl>
    <w:p w14:paraId="06ED2391" w14:textId="77777777" w:rsidR="00B846AF" w:rsidRPr="00B846AF" w:rsidRDefault="00B846AF" w:rsidP="00B846AF">
      <w:pPr>
        <w:spacing w:line="360" w:lineRule="auto"/>
        <w:jc w:val="both"/>
        <w:rPr>
          <w:rFonts w:ascii="Times New Roman" w:hAnsi="Times New Roman" w:cs="Times New Roman"/>
          <w:lang w:val="en-US"/>
        </w:rPr>
      </w:pPr>
      <w:r w:rsidRPr="00B846AF">
        <w:rPr>
          <w:rFonts w:ascii="Times New Roman" w:hAnsi="Times New Roman" w:cs="Times New Roman"/>
          <w:lang w:val="en-US"/>
        </w:rPr>
        <w:t>Abbreviations: CAZ = Canada, Australia &amp; New Zealand; SA = South Africa; EA = Emerging Asia (Indonesia, Philippines); CSA = Central and South America; RUS = Russia; EUR = Europe.</w:t>
      </w:r>
    </w:p>
    <w:p w14:paraId="527A3782" w14:textId="77777777" w:rsidR="00B846AF" w:rsidRPr="00B846AF" w:rsidRDefault="00B846AF" w:rsidP="00B846AF">
      <w:pPr>
        <w:spacing w:line="360" w:lineRule="auto"/>
        <w:rPr>
          <w:rFonts w:ascii="Times New Roman" w:eastAsiaTheme="majorEastAsia" w:hAnsi="Times New Roman" w:cs="Times New Roman"/>
          <w:highlight w:val="yellow"/>
        </w:rPr>
      </w:pPr>
      <w:r w:rsidRPr="00B846AF">
        <w:rPr>
          <w:rFonts w:ascii="Times New Roman" w:hAnsi="Times New Roman" w:cs="Times New Roman"/>
          <w:highlight w:val="yellow"/>
        </w:rPr>
        <w:br w:type="page"/>
      </w:r>
    </w:p>
    <w:p w14:paraId="35B05B28" w14:textId="77777777" w:rsidR="00B846AF" w:rsidRPr="00B846AF" w:rsidRDefault="00B846AF" w:rsidP="00B846AF">
      <w:pPr>
        <w:pStyle w:val="Heading2"/>
        <w:spacing w:line="360" w:lineRule="auto"/>
        <w:jc w:val="both"/>
        <w:rPr>
          <w:rFonts w:ascii="Times New Roman" w:hAnsi="Times New Roman" w:cs="Times New Roman"/>
          <w:color w:val="auto"/>
          <w:sz w:val="24"/>
          <w:szCs w:val="24"/>
          <w:highlight w:val="yellow"/>
        </w:rPr>
        <w:sectPr w:rsidR="00B846AF" w:rsidRPr="00B846AF" w:rsidSect="00B846AF">
          <w:pgSz w:w="11906" w:h="16838"/>
          <w:pgMar w:top="1440" w:right="1440" w:bottom="1440" w:left="1440" w:header="708" w:footer="708" w:gutter="0"/>
          <w:cols w:space="708"/>
          <w:docGrid w:linePitch="360"/>
        </w:sectPr>
      </w:pPr>
    </w:p>
    <w:p w14:paraId="49A5DAB5" w14:textId="13FD2AE6" w:rsidR="00B846AF" w:rsidRPr="00380044" w:rsidRDefault="00B846AF" w:rsidP="00B846AF">
      <w:pPr>
        <w:pStyle w:val="Heading2"/>
        <w:spacing w:line="360" w:lineRule="auto"/>
        <w:jc w:val="both"/>
        <w:rPr>
          <w:rFonts w:ascii="Times New Roman" w:hAnsi="Times New Roman" w:cs="Times New Roman"/>
          <w:color w:val="auto"/>
          <w:sz w:val="24"/>
          <w:szCs w:val="24"/>
        </w:rPr>
      </w:pPr>
      <w:r w:rsidRPr="00380044">
        <w:rPr>
          <w:rFonts w:ascii="Times New Roman" w:hAnsi="Times New Roman" w:cs="Times New Roman"/>
          <w:color w:val="auto"/>
          <w:sz w:val="24"/>
          <w:szCs w:val="24"/>
        </w:rPr>
        <w:lastRenderedPageBreak/>
        <w:t>Supplementary Table S</w:t>
      </w:r>
      <w:r w:rsidR="00380044">
        <w:rPr>
          <w:rFonts w:ascii="Times New Roman" w:hAnsi="Times New Roman" w:cs="Times New Roman"/>
          <w:color w:val="auto"/>
          <w:sz w:val="24"/>
          <w:szCs w:val="24"/>
        </w:rPr>
        <w:t>5</w:t>
      </w:r>
      <w:r w:rsidRPr="00380044">
        <w:rPr>
          <w:rFonts w:ascii="Times New Roman" w:hAnsi="Times New Roman" w:cs="Times New Roman"/>
          <w:color w:val="auto"/>
          <w:sz w:val="24"/>
          <w:szCs w:val="24"/>
        </w:rPr>
        <w:t xml:space="preserve"> | Regional Nickel production (background information as supporting information)</w:t>
      </w:r>
    </w:p>
    <w:tbl>
      <w:tblPr>
        <w:tblW w:w="8680" w:type="dxa"/>
        <w:jc w:val="center"/>
        <w:tblBorders>
          <w:top w:val="single" w:sz="4" w:space="0" w:color="auto"/>
          <w:bottom w:val="single" w:sz="4" w:space="0" w:color="auto"/>
        </w:tblBorders>
        <w:tblLook w:val="04A0" w:firstRow="1" w:lastRow="0" w:firstColumn="1" w:lastColumn="0" w:noHBand="0" w:noVBand="1"/>
      </w:tblPr>
      <w:tblGrid>
        <w:gridCol w:w="1599"/>
        <w:gridCol w:w="1238"/>
        <w:gridCol w:w="999"/>
        <w:gridCol w:w="999"/>
        <w:gridCol w:w="1286"/>
        <w:gridCol w:w="1231"/>
        <w:gridCol w:w="1328"/>
      </w:tblGrid>
      <w:tr w:rsidR="00B846AF" w:rsidRPr="00B846AF" w14:paraId="534D71F1" w14:textId="77777777" w:rsidTr="00BF60AC">
        <w:trPr>
          <w:trHeight w:val="300"/>
          <w:jc w:val="center"/>
        </w:trPr>
        <w:tc>
          <w:tcPr>
            <w:tcW w:w="8680" w:type="dxa"/>
            <w:gridSpan w:val="7"/>
            <w:tcBorders>
              <w:bottom w:val="single" w:sz="4" w:space="0" w:color="auto"/>
            </w:tcBorders>
            <w:noWrap/>
            <w:vAlign w:val="bottom"/>
            <w:hideMark/>
          </w:tcPr>
          <w:p w14:paraId="7AC42F09" w14:textId="485C49DF" w:rsidR="00B846AF" w:rsidRPr="006A4F83" w:rsidRDefault="00B846AF" w:rsidP="00B846AF">
            <w:pPr>
              <w:spacing w:after="0" w:line="360" w:lineRule="auto"/>
              <w:jc w:val="both"/>
              <w:rPr>
                <w:rFonts w:ascii="Times New Roman" w:eastAsia="Times New Roman" w:hAnsi="Times New Roman" w:cs="Times New Roman"/>
                <w:b/>
                <w:bCs/>
                <w:kern w:val="0"/>
                <w14:ligatures w14:val="none"/>
              </w:rPr>
            </w:pPr>
            <w:r w:rsidRPr="006A4F83">
              <w:rPr>
                <w:rFonts w:ascii="Times New Roman" w:eastAsia="Times New Roman" w:hAnsi="Times New Roman" w:cs="Times New Roman"/>
                <w:b/>
                <w:bCs/>
                <w:kern w:val="0"/>
                <w14:ligatures w14:val="none"/>
              </w:rPr>
              <w:t xml:space="preserve">Table </w:t>
            </w:r>
            <w:r w:rsidR="002044E6" w:rsidRPr="006A4F83">
              <w:rPr>
                <w:rFonts w:ascii="Times New Roman" w:eastAsia="Times New Roman" w:hAnsi="Times New Roman" w:cs="Times New Roman"/>
                <w:b/>
                <w:bCs/>
                <w:kern w:val="0"/>
                <w14:ligatures w14:val="none"/>
              </w:rPr>
              <w:t>S5</w:t>
            </w:r>
            <w:r w:rsidRPr="006A4F83">
              <w:rPr>
                <w:rFonts w:ascii="Times New Roman" w:eastAsia="Times New Roman" w:hAnsi="Times New Roman" w:cs="Times New Roman"/>
                <w:b/>
                <w:bCs/>
                <w:kern w:val="0"/>
                <w14:ligatures w14:val="none"/>
              </w:rPr>
              <w:t>. Nickel production prediction following IAM_SSP2EU-PkBudg500, Million tonne</w:t>
            </w:r>
            <w:r w:rsidR="0002071E" w:rsidRPr="006A4F83">
              <w:rPr>
                <w:rFonts w:ascii="Times New Roman" w:eastAsia="Times New Roman" w:hAnsi="Times New Roman" w:cs="Times New Roman"/>
                <w:b/>
                <w:bCs/>
                <w:kern w:val="0"/>
                <w14:ligatures w14:val="none"/>
              </w:rPr>
              <w:t xml:space="preserve"> </w:t>
            </w:r>
            <w:r w:rsidRPr="006A4F83">
              <w:rPr>
                <w:rFonts w:ascii="Times New Roman" w:eastAsia="Times New Roman" w:hAnsi="Times New Roman" w:cs="Times New Roman"/>
                <w:b/>
                <w:bCs/>
                <w:kern w:val="0"/>
                <w14:ligatures w14:val="none"/>
              </w:rPr>
              <w:t>year</w:t>
            </w:r>
            <w:r w:rsidRPr="006A4F83">
              <w:rPr>
                <w:rFonts w:ascii="Times New Roman" w:eastAsia="Times New Roman" w:hAnsi="Times New Roman" w:cs="Times New Roman"/>
                <w:b/>
                <w:bCs/>
                <w:kern w:val="0"/>
                <w:vertAlign w:val="superscript"/>
                <w14:ligatures w14:val="none"/>
              </w:rPr>
              <w:t xml:space="preserve"> </w:t>
            </w:r>
            <w:r w:rsidR="0002071E" w:rsidRPr="006A4F83">
              <w:rPr>
                <w:rFonts w:ascii="Times New Roman" w:eastAsia="Times New Roman" w:hAnsi="Times New Roman" w:cs="Times New Roman"/>
                <w:b/>
                <w:bCs/>
                <w:kern w:val="0"/>
                <w:vertAlign w:val="superscript"/>
                <w14:ligatures w14:val="none"/>
              </w:rPr>
              <w:t>-1</w:t>
            </w:r>
          </w:p>
        </w:tc>
      </w:tr>
      <w:tr w:rsidR="00B846AF" w:rsidRPr="00B846AF" w14:paraId="74D65B80" w14:textId="77777777" w:rsidTr="00BF60AC">
        <w:trPr>
          <w:trHeight w:val="300"/>
          <w:jc w:val="center"/>
        </w:trPr>
        <w:tc>
          <w:tcPr>
            <w:tcW w:w="1599" w:type="dxa"/>
            <w:tcBorders>
              <w:top w:val="single" w:sz="4" w:space="0" w:color="auto"/>
              <w:bottom w:val="single" w:sz="4" w:space="0" w:color="BFBFBF" w:themeColor="background1" w:themeShade="BF"/>
            </w:tcBorders>
            <w:noWrap/>
            <w:vAlign w:val="bottom"/>
            <w:hideMark/>
          </w:tcPr>
          <w:p w14:paraId="5D19063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Year</w:t>
            </w:r>
          </w:p>
        </w:tc>
        <w:tc>
          <w:tcPr>
            <w:tcW w:w="1238" w:type="dxa"/>
            <w:tcBorders>
              <w:top w:val="single" w:sz="4" w:space="0" w:color="auto"/>
              <w:bottom w:val="single" w:sz="4" w:space="0" w:color="BFBFBF" w:themeColor="background1" w:themeShade="BF"/>
            </w:tcBorders>
            <w:noWrap/>
            <w:vAlign w:val="bottom"/>
            <w:hideMark/>
          </w:tcPr>
          <w:p w14:paraId="240F3EE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CAZ</w:t>
            </w:r>
          </w:p>
        </w:tc>
        <w:tc>
          <w:tcPr>
            <w:tcW w:w="999" w:type="dxa"/>
            <w:tcBorders>
              <w:top w:val="single" w:sz="4" w:space="0" w:color="auto"/>
              <w:bottom w:val="single" w:sz="4" w:space="0" w:color="BFBFBF" w:themeColor="background1" w:themeShade="BF"/>
            </w:tcBorders>
            <w:noWrap/>
            <w:vAlign w:val="bottom"/>
            <w:hideMark/>
          </w:tcPr>
          <w:p w14:paraId="77ECC0C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SA</w:t>
            </w:r>
          </w:p>
        </w:tc>
        <w:tc>
          <w:tcPr>
            <w:tcW w:w="999" w:type="dxa"/>
            <w:tcBorders>
              <w:top w:val="single" w:sz="4" w:space="0" w:color="auto"/>
              <w:bottom w:val="single" w:sz="4" w:space="0" w:color="BFBFBF" w:themeColor="background1" w:themeShade="BF"/>
            </w:tcBorders>
            <w:noWrap/>
            <w:vAlign w:val="bottom"/>
            <w:hideMark/>
          </w:tcPr>
          <w:p w14:paraId="50ABF66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EA</w:t>
            </w:r>
          </w:p>
        </w:tc>
        <w:tc>
          <w:tcPr>
            <w:tcW w:w="1286" w:type="dxa"/>
            <w:tcBorders>
              <w:top w:val="single" w:sz="4" w:space="0" w:color="auto"/>
              <w:bottom w:val="single" w:sz="4" w:space="0" w:color="BFBFBF" w:themeColor="background1" w:themeShade="BF"/>
            </w:tcBorders>
            <w:noWrap/>
            <w:vAlign w:val="bottom"/>
            <w:hideMark/>
          </w:tcPr>
          <w:p w14:paraId="7019513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RUS</w:t>
            </w:r>
          </w:p>
        </w:tc>
        <w:tc>
          <w:tcPr>
            <w:tcW w:w="1231" w:type="dxa"/>
            <w:tcBorders>
              <w:top w:val="single" w:sz="4" w:space="0" w:color="auto"/>
              <w:bottom w:val="single" w:sz="4" w:space="0" w:color="BFBFBF" w:themeColor="background1" w:themeShade="BF"/>
            </w:tcBorders>
            <w:noWrap/>
            <w:vAlign w:val="bottom"/>
            <w:hideMark/>
          </w:tcPr>
          <w:p w14:paraId="164CBB5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CSA</w:t>
            </w:r>
          </w:p>
        </w:tc>
        <w:tc>
          <w:tcPr>
            <w:tcW w:w="1328" w:type="dxa"/>
            <w:tcBorders>
              <w:top w:val="single" w:sz="4" w:space="0" w:color="auto"/>
              <w:bottom w:val="single" w:sz="4" w:space="0" w:color="BFBFBF" w:themeColor="background1" w:themeShade="BF"/>
            </w:tcBorders>
            <w:noWrap/>
            <w:vAlign w:val="bottom"/>
            <w:hideMark/>
          </w:tcPr>
          <w:p w14:paraId="18BBB9D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EUR</w:t>
            </w:r>
          </w:p>
        </w:tc>
      </w:tr>
      <w:tr w:rsidR="00B846AF" w:rsidRPr="00B846AF" w14:paraId="12A48A90"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5E81463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2024</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2070A56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1C85EA9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5886311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2F1752E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2CD4E75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7EBC235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B846AF" w:rsidRPr="00B846AF" w14:paraId="27A935A5"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4D64749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2025</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21D9296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23174EB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503439B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7E9817B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2BD3DF8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7A33935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B846AF" w:rsidRPr="00B846AF" w14:paraId="5E88E2DA"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217BD34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2026</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266550E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17DE001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3AB65F7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178AA9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0D35980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5C164CB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B846AF" w:rsidRPr="00B846AF" w14:paraId="7772EBD5"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44739E5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2027</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228F0F1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654356E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636A8CF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9AE31B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7AB6722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44471EB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B846AF" w:rsidRPr="00B846AF" w14:paraId="71E22FD9"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0ECE4CE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2028</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1B6923F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2B94AF3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0212A29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1FF3DA3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690635C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2E4A426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B846AF" w:rsidRPr="00B846AF" w14:paraId="2B210373"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0D528E2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2029</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3323F41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0557D73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15E94AE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31EB508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2B7DA90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0ECB5FA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B846AF" w:rsidRPr="00B846AF" w14:paraId="0EFB4085"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2C8E29B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2030</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64E2601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5B8E193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756952C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64997E4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6F8F19E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c>
          <w:tcPr>
            <w:tcW w:w="1328" w:type="dxa"/>
            <w:tcBorders>
              <w:bottom w:val="single" w:sz="4" w:space="0" w:color="BFBFBF" w:themeColor="background1" w:themeShade="BF"/>
            </w:tcBorders>
            <w:noWrap/>
            <w:vAlign w:val="bottom"/>
            <w:hideMark/>
          </w:tcPr>
          <w:p w14:paraId="5FE27DA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B846AF" w:rsidRPr="00B846AF" w14:paraId="1D4CCB3A"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57E6E16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2031</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4F629B1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14E3A2C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7BE9AB8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4E671D9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64E6C38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03E9040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B846AF" w:rsidRPr="00B846AF" w14:paraId="63E42796"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261D308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2032</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48DACD2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0CFD60E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6F7A806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499D32D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2EB3E46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464F1BA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B846AF" w:rsidRPr="00B846AF" w14:paraId="54E07FEC"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42CF8A7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2033</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2F00FE4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5427E95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1A2ECE7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10B3D01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5D4233C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4FC85E8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B846AF" w:rsidRPr="00B846AF" w14:paraId="54DD7B89"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439850C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2034</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455EFC0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67F7019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0A05CDE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1BB9306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2A81865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460BFC5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B846AF" w:rsidRPr="00B846AF" w14:paraId="78F4C1E6"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4FD92B5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2035</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5961342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011B6E5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1464470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6605F8C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0E263E8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6C399AC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0.2</w:t>
            </w:r>
          </w:p>
        </w:tc>
      </w:tr>
      <w:tr w:rsidR="00B846AF" w:rsidRPr="00B846AF" w14:paraId="7FB3C5A0"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60BF988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2036</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314A61C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0D95219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2D36C76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298D2FB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286D0D4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7AA3F9D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r>
      <w:tr w:rsidR="00B846AF" w:rsidRPr="00B846AF" w14:paraId="13BC000A" w14:textId="77777777" w:rsidTr="00BF60AC">
        <w:trPr>
          <w:trHeight w:val="300"/>
          <w:jc w:val="center"/>
        </w:trPr>
        <w:tc>
          <w:tcPr>
            <w:tcW w:w="1599" w:type="dxa"/>
            <w:tcBorders>
              <w:top w:val="single" w:sz="4" w:space="0" w:color="BFBFBF" w:themeColor="background1" w:themeShade="BF"/>
              <w:bottom w:val="nil"/>
            </w:tcBorders>
            <w:noWrap/>
            <w:vAlign w:val="bottom"/>
            <w:hideMark/>
          </w:tcPr>
          <w:p w14:paraId="2EB1915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2037</w:t>
            </w:r>
          </w:p>
        </w:tc>
        <w:tc>
          <w:tcPr>
            <w:tcW w:w="1238" w:type="dxa"/>
            <w:tcBorders>
              <w:top w:val="single" w:sz="4" w:space="0" w:color="BFBFBF" w:themeColor="background1" w:themeShade="BF"/>
              <w:bottom w:val="nil"/>
            </w:tcBorders>
            <w:noWrap/>
            <w:vAlign w:val="bottom"/>
            <w:hideMark/>
          </w:tcPr>
          <w:p w14:paraId="6D20DCE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w:t>
            </w:r>
          </w:p>
        </w:tc>
        <w:tc>
          <w:tcPr>
            <w:tcW w:w="999" w:type="dxa"/>
            <w:tcBorders>
              <w:top w:val="single" w:sz="4" w:space="0" w:color="BFBFBF" w:themeColor="background1" w:themeShade="BF"/>
              <w:bottom w:val="nil"/>
            </w:tcBorders>
            <w:noWrap/>
            <w:vAlign w:val="bottom"/>
            <w:hideMark/>
          </w:tcPr>
          <w:p w14:paraId="20C7EC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999" w:type="dxa"/>
            <w:tcBorders>
              <w:top w:val="single" w:sz="4" w:space="0" w:color="BFBFBF" w:themeColor="background1" w:themeShade="BF"/>
              <w:bottom w:val="nil"/>
            </w:tcBorders>
            <w:noWrap/>
            <w:vAlign w:val="bottom"/>
            <w:hideMark/>
          </w:tcPr>
          <w:p w14:paraId="30DA0E8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1286" w:type="dxa"/>
            <w:tcBorders>
              <w:top w:val="single" w:sz="4" w:space="0" w:color="BFBFBF" w:themeColor="background1" w:themeShade="BF"/>
              <w:bottom w:val="nil"/>
            </w:tcBorders>
            <w:noWrap/>
            <w:vAlign w:val="bottom"/>
            <w:hideMark/>
          </w:tcPr>
          <w:p w14:paraId="386B37B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231" w:type="dxa"/>
            <w:tcBorders>
              <w:top w:val="single" w:sz="4" w:space="0" w:color="BFBFBF" w:themeColor="background1" w:themeShade="BF"/>
              <w:bottom w:val="nil"/>
            </w:tcBorders>
            <w:noWrap/>
            <w:vAlign w:val="bottom"/>
            <w:hideMark/>
          </w:tcPr>
          <w:p w14:paraId="0446357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1328" w:type="dxa"/>
            <w:tcBorders>
              <w:top w:val="single" w:sz="4" w:space="0" w:color="BFBFBF" w:themeColor="background1" w:themeShade="BF"/>
              <w:bottom w:val="nil"/>
            </w:tcBorders>
            <w:noWrap/>
            <w:vAlign w:val="bottom"/>
            <w:hideMark/>
          </w:tcPr>
          <w:p w14:paraId="147CD31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r>
      <w:tr w:rsidR="00B846AF" w:rsidRPr="00B846AF" w14:paraId="2436A97B" w14:textId="77777777" w:rsidTr="00BF60AC">
        <w:trPr>
          <w:trHeight w:val="300"/>
          <w:jc w:val="center"/>
        </w:trPr>
        <w:tc>
          <w:tcPr>
            <w:tcW w:w="1599" w:type="dxa"/>
            <w:tcBorders>
              <w:top w:val="nil"/>
              <w:bottom w:val="single" w:sz="4" w:space="0" w:color="BFBFBF" w:themeColor="background1" w:themeShade="BF"/>
            </w:tcBorders>
            <w:noWrap/>
            <w:vAlign w:val="bottom"/>
            <w:hideMark/>
          </w:tcPr>
          <w:p w14:paraId="2E5A46D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2038</w:t>
            </w:r>
          </w:p>
        </w:tc>
        <w:tc>
          <w:tcPr>
            <w:tcW w:w="1238" w:type="dxa"/>
            <w:tcBorders>
              <w:top w:val="nil"/>
              <w:bottom w:val="single" w:sz="4" w:space="0" w:color="BFBFBF" w:themeColor="background1" w:themeShade="BF"/>
            </w:tcBorders>
            <w:noWrap/>
            <w:vAlign w:val="bottom"/>
            <w:hideMark/>
          </w:tcPr>
          <w:p w14:paraId="585B88D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999" w:type="dxa"/>
            <w:tcBorders>
              <w:top w:val="nil"/>
              <w:bottom w:val="single" w:sz="4" w:space="0" w:color="BFBFBF" w:themeColor="background1" w:themeShade="BF"/>
            </w:tcBorders>
            <w:noWrap/>
            <w:vAlign w:val="bottom"/>
            <w:hideMark/>
          </w:tcPr>
          <w:p w14:paraId="4A9D231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w:t>
            </w:r>
          </w:p>
        </w:tc>
        <w:tc>
          <w:tcPr>
            <w:tcW w:w="999" w:type="dxa"/>
            <w:tcBorders>
              <w:top w:val="nil"/>
              <w:bottom w:val="single" w:sz="4" w:space="0" w:color="BFBFBF" w:themeColor="background1" w:themeShade="BF"/>
            </w:tcBorders>
            <w:noWrap/>
            <w:vAlign w:val="bottom"/>
            <w:hideMark/>
          </w:tcPr>
          <w:p w14:paraId="0958807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0.9</w:t>
            </w:r>
          </w:p>
        </w:tc>
        <w:tc>
          <w:tcPr>
            <w:tcW w:w="1286" w:type="dxa"/>
            <w:tcBorders>
              <w:top w:val="nil"/>
              <w:bottom w:val="single" w:sz="4" w:space="0" w:color="BFBFBF" w:themeColor="background1" w:themeShade="BF"/>
            </w:tcBorders>
            <w:noWrap/>
            <w:vAlign w:val="bottom"/>
            <w:hideMark/>
          </w:tcPr>
          <w:p w14:paraId="23458E9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231" w:type="dxa"/>
            <w:tcBorders>
              <w:top w:val="nil"/>
              <w:bottom w:val="single" w:sz="4" w:space="0" w:color="BFBFBF" w:themeColor="background1" w:themeShade="BF"/>
            </w:tcBorders>
            <w:noWrap/>
            <w:vAlign w:val="bottom"/>
            <w:hideMark/>
          </w:tcPr>
          <w:p w14:paraId="3E7C925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1328" w:type="dxa"/>
            <w:tcBorders>
              <w:top w:val="nil"/>
              <w:bottom w:val="single" w:sz="4" w:space="0" w:color="BFBFBF" w:themeColor="background1" w:themeShade="BF"/>
            </w:tcBorders>
            <w:noWrap/>
            <w:vAlign w:val="bottom"/>
            <w:hideMark/>
          </w:tcPr>
          <w:p w14:paraId="4C062E9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r>
      <w:tr w:rsidR="00B846AF" w:rsidRPr="00B846AF" w14:paraId="520E9678"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60109DD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2039</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7884FA6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208645F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5A35D4D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0.9</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5E330EF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67D2629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0D1DFA0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r>
      <w:tr w:rsidR="00B846AF" w:rsidRPr="00B846AF" w14:paraId="27E50AD3"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14AF59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2040</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261AAFB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68D4FE8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4E34D66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0.9</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5C12466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442473A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4574AB8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r>
      <w:tr w:rsidR="00B846AF" w:rsidRPr="00B846AF" w14:paraId="2CF97C8D"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18DCFDA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2041</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70FB773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7A1A1FE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574691F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0.9</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495BBC9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5F5E448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3E786CF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r>
      <w:tr w:rsidR="00B846AF" w:rsidRPr="00B846AF" w14:paraId="2C79C3E2"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7A2BFCD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2042</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0490D41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4324A77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7039031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5637EC5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3A73540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756B326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r>
      <w:tr w:rsidR="00B846AF" w:rsidRPr="00B846AF" w14:paraId="21237C52"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565C719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2043</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337DB7E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79058F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65707ED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27BE2FC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0.9</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463CD2C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266F913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r>
      <w:tr w:rsidR="00B846AF" w:rsidRPr="00B846AF" w14:paraId="06AE1361"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6965213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2044</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67B91DF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43C0644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46D3CAD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4618714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0.9</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32BF1B0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687C614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r>
      <w:tr w:rsidR="00B846AF" w:rsidRPr="00B846AF" w14:paraId="42B5BF7C"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5F2A377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2045</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719FD30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1B6EE5B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086E9BC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165B116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0.9</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3EB6D29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06BAAE1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0.3</w:t>
            </w:r>
          </w:p>
        </w:tc>
      </w:tr>
      <w:tr w:rsidR="00B846AF" w:rsidRPr="00B846AF" w14:paraId="3246FC71"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517FE00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2046</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31C30AB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227E1C7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5B15E35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71BFFEC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6D9D5D7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4917D4A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r>
      <w:tr w:rsidR="00B846AF" w:rsidRPr="00B846AF" w14:paraId="43051713"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684F3DB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2047</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4300487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7CE8B7A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06DB356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229C63E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64B119D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793A0CA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r>
      <w:tr w:rsidR="00B846AF" w:rsidRPr="00B846AF" w14:paraId="21B97AF4"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3552FFA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2048</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4C269C0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003BD99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13180A3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1C4BCF7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236221D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06B9D1F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r>
      <w:tr w:rsidR="00B846AF" w:rsidRPr="00B846AF" w14:paraId="3274BA9D"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63AEA44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2049</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3DE1162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7F1ABDC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3FEED08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47C1F00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76213BF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0.7</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7406584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r>
      <w:tr w:rsidR="00B846AF" w:rsidRPr="00B846AF" w14:paraId="106C6C39"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4327DC6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2050</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6B3EF3D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691D878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2CE5FD3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E3034C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6A64505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256AE1F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r>
      <w:tr w:rsidR="00B846AF" w:rsidRPr="00B846AF" w14:paraId="3E3BC892"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2A807AD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lastRenderedPageBreak/>
              <w:t>2051</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1DF60D9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0373E7C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1090285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5688A6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1691F0A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77CAE83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r>
      <w:tr w:rsidR="00B846AF" w:rsidRPr="00B846AF" w14:paraId="3E9BCDC8"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168A583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2052</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5467F5C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334C901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1B3F753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6C8018F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094B9E9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350FEA4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0.4</w:t>
            </w:r>
          </w:p>
        </w:tc>
      </w:tr>
      <w:tr w:rsidR="00B846AF" w:rsidRPr="00B846AF" w14:paraId="47F5CFD0"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7A3254A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2053</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77E5C90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455E0D4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442F25E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5FCD8D4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6BB16A0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0.8</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103E7AB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r>
      <w:tr w:rsidR="00B846AF" w:rsidRPr="00B846AF" w14:paraId="7815A501"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3C322D8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2054</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6C09CBD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4EDDE69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31E4603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214BCF4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745BEAE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0.9</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055063E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r>
      <w:tr w:rsidR="00B846AF" w:rsidRPr="00B846AF" w14:paraId="2DB4C547"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7167FC8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2055</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3D4F362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22DE880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4E1493E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67A392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19EFE7F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0.9</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23A28AD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r>
      <w:tr w:rsidR="00B846AF" w:rsidRPr="00B846AF" w14:paraId="64956CA1"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0B00FB9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2056</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3FC10F5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6C7793D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426F814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4ABEBF6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12C0D67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0.9</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0AF1429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r>
      <w:tr w:rsidR="00B846AF" w:rsidRPr="00B846AF" w14:paraId="7A86A962"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5375566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2057</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57804ED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705D420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44BB020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5549873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00D4CCB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7EBED88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r>
      <w:tr w:rsidR="00B846AF" w:rsidRPr="00B846AF" w14:paraId="7FD83339"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1B1D0C4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2058</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446C435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085FB0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5A14466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56DD950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0DAA8BC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62C021A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r>
      <w:tr w:rsidR="00B846AF" w:rsidRPr="00B846AF" w14:paraId="0D312C36" w14:textId="77777777" w:rsidTr="00BF60AC">
        <w:trPr>
          <w:trHeight w:val="300"/>
          <w:jc w:val="center"/>
        </w:trPr>
        <w:tc>
          <w:tcPr>
            <w:tcW w:w="1599" w:type="dxa"/>
            <w:tcBorders>
              <w:top w:val="single" w:sz="4" w:space="0" w:color="BFBFBF" w:themeColor="background1" w:themeShade="BF"/>
              <w:bottom w:val="single" w:sz="4" w:space="0" w:color="BFBFBF" w:themeColor="background1" w:themeShade="BF"/>
            </w:tcBorders>
            <w:noWrap/>
            <w:vAlign w:val="bottom"/>
            <w:hideMark/>
          </w:tcPr>
          <w:p w14:paraId="243201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2059</w:t>
            </w:r>
          </w:p>
        </w:tc>
        <w:tc>
          <w:tcPr>
            <w:tcW w:w="1238" w:type="dxa"/>
            <w:tcBorders>
              <w:top w:val="single" w:sz="4" w:space="0" w:color="BFBFBF" w:themeColor="background1" w:themeShade="BF"/>
              <w:bottom w:val="single" w:sz="4" w:space="0" w:color="BFBFBF" w:themeColor="background1" w:themeShade="BF"/>
            </w:tcBorders>
            <w:noWrap/>
            <w:vAlign w:val="bottom"/>
            <w:hideMark/>
          </w:tcPr>
          <w:p w14:paraId="2D81A50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61A446D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999" w:type="dxa"/>
            <w:tcBorders>
              <w:top w:val="single" w:sz="4" w:space="0" w:color="BFBFBF" w:themeColor="background1" w:themeShade="BF"/>
              <w:bottom w:val="single" w:sz="4" w:space="0" w:color="BFBFBF" w:themeColor="background1" w:themeShade="BF"/>
            </w:tcBorders>
            <w:noWrap/>
            <w:vAlign w:val="bottom"/>
            <w:hideMark/>
          </w:tcPr>
          <w:p w14:paraId="763EB5B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5ECF1BB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1231" w:type="dxa"/>
            <w:tcBorders>
              <w:top w:val="single" w:sz="4" w:space="0" w:color="BFBFBF" w:themeColor="background1" w:themeShade="BF"/>
              <w:bottom w:val="single" w:sz="4" w:space="0" w:color="BFBFBF" w:themeColor="background1" w:themeShade="BF"/>
            </w:tcBorders>
            <w:noWrap/>
            <w:vAlign w:val="bottom"/>
            <w:hideMark/>
          </w:tcPr>
          <w:p w14:paraId="4A67A96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1328" w:type="dxa"/>
            <w:tcBorders>
              <w:top w:val="single" w:sz="4" w:space="0" w:color="BFBFBF" w:themeColor="background1" w:themeShade="BF"/>
              <w:bottom w:val="single" w:sz="4" w:space="0" w:color="BFBFBF" w:themeColor="background1" w:themeShade="BF"/>
            </w:tcBorders>
            <w:noWrap/>
            <w:vAlign w:val="bottom"/>
            <w:hideMark/>
          </w:tcPr>
          <w:p w14:paraId="05D9BCE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0.5</w:t>
            </w:r>
          </w:p>
        </w:tc>
      </w:tr>
      <w:tr w:rsidR="00B846AF" w:rsidRPr="00B846AF" w14:paraId="1531C37B" w14:textId="77777777" w:rsidTr="00BF60AC">
        <w:trPr>
          <w:trHeight w:val="315"/>
          <w:jc w:val="center"/>
        </w:trPr>
        <w:tc>
          <w:tcPr>
            <w:tcW w:w="1599" w:type="dxa"/>
            <w:tcBorders>
              <w:top w:val="single" w:sz="4" w:space="0" w:color="BFBFBF" w:themeColor="background1" w:themeShade="BF"/>
            </w:tcBorders>
            <w:noWrap/>
            <w:vAlign w:val="bottom"/>
            <w:hideMark/>
          </w:tcPr>
          <w:p w14:paraId="3279C6D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2060</w:t>
            </w:r>
          </w:p>
        </w:tc>
        <w:tc>
          <w:tcPr>
            <w:tcW w:w="1238" w:type="dxa"/>
            <w:tcBorders>
              <w:top w:val="single" w:sz="4" w:space="0" w:color="BFBFBF" w:themeColor="background1" w:themeShade="BF"/>
            </w:tcBorders>
            <w:noWrap/>
            <w:vAlign w:val="bottom"/>
            <w:hideMark/>
          </w:tcPr>
          <w:p w14:paraId="04CF15C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999" w:type="dxa"/>
            <w:tcBorders>
              <w:top w:val="single" w:sz="4" w:space="0" w:color="BFBFBF" w:themeColor="background1" w:themeShade="BF"/>
            </w:tcBorders>
            <w:noWrap/>
            <w:vAlign w:val="bottom"/>
            <w:hideMark/>
          </w:tcPr>
          <w:p w14:paraId="1783590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w:t>
            </w:r>
          </w:p>
        </w:tc>
        <w:tc>
          <w:tcPr>
            <w:tcW w:w="999" w:type="dxa"/>
            <w:tcBorders>
              <w:top w:val="single" w:sz="4" w:space="0" w:color="BFBFBF" w:themeColor="background1" w:themeShade="BF"/>
            </w:tcBorders>
            <w:noWrap/>
            <w:vAlign w:val="bottom"/>
            <w:hideMark/>
          </w:tcPr>
          <w:p w14:paraId="24FBEE7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w:t>
            </w:r>
          </w:p>
        </w:tc>
        <w:tc>
          <w:tcPr>
            <w:tcW w:w="1286" w:type="dxa"/>
            <w:tcBorders>
              <w:top w:val="single" w:sz="4" w:space="0" w:color="BFBFBF" w:themeColor="background1" w:themeShade="BF"/>
            </w:tcBorders>
            <w:noWrap/>
            <w:vAlign w:val="bottom"/>
            <w:hideMark/>
          </w:tcPr>
          <w:p w14:paraId="6FF7FB2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w:t>
            </w:r>
          </w:p>
        </w:tc>
        <w:tc>
          <w:tcPr>
            <w:tcW w:w="1231" w:type="dxa"/>
            <w:tcBorders>
              <w:top w:val="single" w:sz="4" w:space="0" w:color="BFBFBF" w:themeColor="background1" w:themeShade="BF"/>
            </w:tcBorders>
            <w:noWrap/>
            <w:vAlign w:val="bottom"/>
            <w:hideMark/>
          </w:tcPr>
          <w:p w14:paraId="176C1D8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1328" w:type="dxa"/>
            <w:tcBorders>
              <w:top w:val="single" w:sz="4" w:space="0" w:color="BFBFBF" w:themeColor="background1" w:themeShade="BF"/>
            </w:tcBorders>
            <w:noWrap/>
            <w:vAlign w:val="bottom"/>
            <w:hideMark/>
          </w:tcPr>
          <w:p w14:paraId="29B4B93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r>
    </w:tbl>
    <w:p w14:paraId="3124F304" w14:textId="77777777" w:rsidR="00B846AF" w:rsidRPr="00B846AF" w:rsidRDefault="00B846AF" w:rsidP="00B846AF">
      <w:pPr>
        <w:spacing w:line="360" w:lineRule="auto"/>
        <w:jc w:val="both"/>
        <w:rPr>
          <w:rFonts w:ascii="Times New Roman" w:hAnsi="Times New Roman" w:cs="Times New Roman"/>
        </w:rPr>
      </w:pPr>
    </w:p>
    <w:p w14:paraId="28105BF5" w14:textId="77777777" w:rsidR="00124AF7" w:rsidRDefault="00124AF7">
      <w:pPr>
        <w:rPr>
          <w:rFonts w:ascii="Times New Roman" w:eastAsiaTheme="majorEastAsia" w:hAnsi="Times New Roman" w:cs="Times New Roman"/>
        </w:rPr>
      </w:pPr>
      <w:r>
        <w:rPr>
          <w:rFonts w:ascii="Times New Roman" w:hAnsi="Times New Roman" w:cs="Times New Roman"/>
        </w:rPr>
        <w:br w:type="page"/>
      </w:r>
    </w:p>
    <w:p w14:paraId="718BB62B" w14:textId="3C2D11CB" w:rsidR="00B846AF" w:rsidRPr="00380044" w:rsidRDefault="00B846AF" w:rsidP="00B846AF">
      <w:pPr>
        <w:pStyle w:val="Heading2"/>
        <w:spacing w:line="360" w:lineRule="auto"/>
        <w:jc w:val="both"/>
        <w:rPr>
          <w:rFonts w:ascii="Times New Roman" w:hAnsi="Times New Roman" w:cs="Times New Roman"/>
          <w:color w:val="auto"/>
          <w:sz w:val="24"/>
          <w:szCs w:val="24"/>
        </w:rPr>
      </w:pPr>
      <w:r w:rsidRPr="00380044">
        <w:rPr>
          <w:rFonts w:ascii="Times New Roman" w:hAnsi="Times New Roman" w:cs="Times New Roman"/>
          <w:color w:val="auto"/>
          <w:sz w:val="24"/>
          <w:szCs w:val="24"/>
        </w:rPr>
        <w:lastRenderedPageBreak/>
        <w:t>Supplementary Table S</w:t>
      </w:r>
      <w:r w:rsidR="00380044" w:rsidRPr="00380044">
        <w:rPr>
          <w:rFonts w:ascii="Times New Roman" w:hAnsi="Times New Roman" w:cs="Times New Roman"/>
          <w:color w:val="auto"/>
          <w:sz w:val="24"/>
          <w:szCs w:val="24"/>
        </w:rPr>
        <w:t>6</w:t>
      </w:r>
      <w:r w:rsidRPr="00380044">
        <w:rPr>
          <w:rFonts w:ascii="Times New Roman" w:hAnsi="Times New Roman" w:cs="Times New Roman"/>
          <w:color w:val="auto"/>
          <w:sz w:val="24"/>
          <w:szCs w:val="24"/>
        </w:rPr>
        <w:t xml:space="preserve"> | Carbon intensity of electricity of the selected regions (background information as supporting information)</w:t>
      </w:r>
    </w:p>
    <w:tbl>
      <w:tblPr>
        <w:tblW w:w="8921" w:type="dxa"/>
        <w:jc w:val="center"/>
        <w:tblBorders>
          <w:top w:val="single" w:sz="4" w:space="0" w:color="auto"/>
          <w:bottom w:val="single" w:sz="4" w:space="0" w:color="auto"/>
        </w:tblBorders>
        <w:tblLook w:val="04A0" w:firstRow="1" w:lastRow="0" w:firstColumn="1" w:lastColumn="0" w:noHBand="0" w:noVBand="1"/>
      </w:tblPr>
      <w:tblGrid>
        <w:gridCol w:w="2318"/>
        <w:gridCol w:w="1027"/>
        <w:gridCol w:w="989"/>
        <w:gridCol w:w="989"/>
        <w:gridCol w:w="1342"/>
        <w:gridCol w:w="1067"/>
        <w:gridCol w:w="1189"/>
      </w:tblGrid>
      <w:tr w:rsidR="00B846AF" w:rsidRPr="00B846AF" w14:paraId="68E770D9" w14:textId="77777777" w:rsidTr="003B3D31">
        <w:trPr>
          <w:trHeight w:val="300"/>
          <w:jc w:val="center"/>
        </w:trPr>
        <w:tc>
          <w:tcPr>
            <w:tcW w:w="8921" w:type="dxa"/>
            <w:gridSpan w:val="7"/>
            <w:tcBorders>
              <w:top w:val="single" w:sz="4" w:space="0" w:color="auto"/>
              <w:bottom w:val="single" w:sz="4" w:space="0" w:color="auto"/>
            </w:tcBorders>
            <w:noWrap/>
            <w:vAlign w:val="bottom"/>
            <w:hideMark/>
          </w:tcPr>
          <w:p w14:paraId="17D88809" w14:textId="785BA3F1" w:rsidR="00B846AF" w:rsidRPr="006A4F83" w:rsidRDefault="00B846AF" w:rsidP="00B846AF">
            <w:pPr>
              <w:spacing w:after="0" w:line="360" w:lineRule="auto"/>
              <w:jc w:val="both"/>
              <w:rPr>
                <w:rFonts w:ascii="Times New Roman" w:eastAsia="Times New Roman" w:hAnsi="Times New Roman" w:cs="Times New Roman"/>
                <w:b/>
                <w:bCs/>
                <w:kern w:val="0"/>
                <w14:ligatures w14:val="none"/>
              </w:rPr>
            </w:pPr>
            <w:r w:rsidRPr="006A4F83">
              <w:rPr>
                <w:rFonts w:ascii="Times New Roman" w:eastAsia="Times New Roman" w:hAnsi="Times New Roman" w:cs="Times New Roman"/>
                <w:b/>
                <w:bCs/>
                <w:kern w:val="0"/>
                <w14:ligatures w14:val="none"/>
              </w:rPr>
              <w:t xml:space="preserve">Table </w:t>
            </w:r>
            <w:r w:rsidR="002044E6" w:rsidRPr="006A4F83">
              <w:rPr>
                <w:rFonts w:ascii="Times New Roman" w:eastAsia="Times New Roman" w:hAnsi="Times New Roman" w:cs="Times New Roman"/>
                <w:b/>
                <w:bCs/>
                <w:kern w:val="0"/>
                <w14:ligatures w14:val="none"/>
              </w:rPr>
              <w:t>S6</w:t>
            </w:r>
            <w:r w:rsidRPr="006A4F83">
              <w:rPr>
                <w:rFonts w:ascii="Times New Roman" w:eastAsia="Times New Roman" w:hAnsi="Times New Roman" w:cs="Times New Roman"/>
                <w:b/>
                <w:bCs/>
                <w:kern w:val="0"/>
                <w14:ligatures w14:val="none"/>
              </w:rPr>
              <w:t>. Carbon intensity of electricity prediction following IAM_SSP2EU-PkBudg500, gCO</w:t>
            </w:r>
            <w:r w:rsidRPr="006A4F83">
              <w:rPr>
                <w:rFonts w:ascii="Times New Roman" w:eastAsia="Times New Roman" w:hAnsi="Times New Roman" w:cs="Times New Roman"/>
                <w:b/>
                <w:bCs/>
                <w:kern w:val="0"/>
                <w:vertAlign w:val="superscript"/>
                <w14:ligatures w14:val="none"/>
              </w:rPr>
              <w:t>2</w:t>
            </w:r>
            <w:r w:rsidR="00AF55EA" w:rsidRPr="006A4F83">
              <w:rPr>
                <w:rFonts w:ascii="Times New Roman" w:eastAsia="Times New Roman" w:hAnsi="Times New Roman" w:cs="Times New Roman"/>
                <w:b/>
                <w:bCs/>
                <w:kern w:val="0"/>
                <w:vertAlign w:val="superscript"/>
                <w14:ligatures w14:val="none"/>
              </w:rPr>
              <w:t xml:space="preserve"> </w:t>
            </w:r>
            <w:r w:rsidRPr="006A4F83">
              <w:rPr>
                <w:rFonts w:ascii="Times New Roman" w:eastAsia="Times New Roman" w:hAnsi="Times New Roman" w:cs="Times New Roman"/>
                <w:b/>
                <w:bCs/>
                <w:kern w:val="0"/>
                <w14:ligatures w14:val="none"/>
              </w:rPr>
              <w:t>kWh</w:t>
            </w:r>
            <w:r w:rsidR="00AF55EA" w:rsidRPr="006A4F83">
              <w:rPr>
                <w:rFonts w:ascii="Times New Roman" w:eastAsia="Times New Roman" w:hAnsi="Times New Roman" w:cs="Times New Roman"/>
                <w:b/>
                <w:bCs/>
                <w:kern w:val="0"/>
                <w:vertAlign w:val="superscript"/>
                <w14:ligatures w14:val="none"/>
              </w:rPr>
              <w:t>-1</w:t>
            </w:r>
          </w:p>
        </w:tc>
      </w:tr>
      <w:tr w:rsidR="00B846AF" w:rsidRPr="00B846AF" w14:paraId="53317ED7" w14:textId="77777777" w:rsidTr="003B3D31">
        <w:trPr>
          <w:trHeight w:val="300"/>
          <w:jc w:val="center"/>
        </w:trPr>
        <w:tc>
          <w:tcPr>
            <w:tcW w:w="2318" w:type="dxa"/>
            <w:tcBorders>
              <w:top w:val="single" w:sz="4" w:space="0" w:color="auto"/>
              <w:bottom w:val="single" w:sz="4" w:space="0" w:color="BFBFBF" w:themeColor="background1" w:themeShade="BF"/>
            </w:tcBorders>
            <w:noWrap/>
            <w:vAlign w:val="bottom"/>
            <w:hideMark/>
          </w:tcPr>
          <w:p w14:paraId="11E11BC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Year</w:t>
            </w:r>
          </w:p>
        </w:tc>
        <w:tc>
          <w:tcPr>
            <w:tcW w:w="1027" w:type="dxa"/>
            <w:tcBorders>
              <w:top w:val="single" w:sz="4" w:space="0" w:color="auto"/>
              <w:bottom w:val="single" w:sz="4" w:space="0" w:color="BFBFBF" w:themeColor="background1" w:themeShade="BF"/>
            </w:tcBorders>
            <w:noWrap/>
            <w:vAlign w:val="bottom"/>
            <w:hideMark/>
          </w:tcPr>
          <w:p w14:paraId="03F3B78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CAZ</w:t>
            </w:r>
          </w:p>
        </w:tc>
        <w:tc>
          <w:tcPr>
            <w:tcW w:w="989" w:type="dxa"/>
            <w:tcBorders>
              <w:top w:val="single" w:sz="4" w:space="0" w:color="auto"/>
              <w:bottom w:val="single" w:sz="4" w:space="0" w:color="BFBFBF" w:themeColor="background1" w:themeShade="BF"/>
            </w:tcBorders>
            <w:noWrap/>
            <w:vAlign w:val="bottom"/>
            <w:hideMark/>
          </w:tcPr>
          <w:p w14:paraId="37D470C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SA</w:t>
            </w:r>
          </w:p>
        </w:tc>
        <w:tc>
          <w:tcPr>
            <w:tcW w:w="989" w:type="dxa"/>
            <w:tcBorders>
              <w:top w:val="single" w:sz="4" w:space="0" w:color="auto"/>
              <w:bottom w:val="single" w:sz="4" w:space="0" w:color="BFBFBF" w:themeColor="background1" w:themeShade="BF"/>
            </w:tcBorders>
            <w:noWrap/>
            <w:vAlign w:val="bottom"/>
            <w:hideMark/>
          </w:tcPr>
          <w:p w14:paraId="6BF7B87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EA</w:t>
            </w:r>
          </w:p>
        </w:tc>
        <w:tc>
          <w:tcPr>
            <w:tcW w:w="1342" w:type="dxa"/>
            <w:tcBorders>
              <w:top w:val="single" w:sz="4" w:space="0" w:color="auto"/>
              <w:bottom w:val="single" w:sz="4" w:space="0" w:color="BFBFBF" w:themeColor="background1" w:themeShade="BF"/>
            </w:tcBorders>
            <w:noWrap/>
            <w:vAlign w:val="bottom"/>
            <w:hideMark/>
          </w:tcPr>
          <w:p w14:paraId="196BB6B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CSA</w:t>
            </w:r>
          </w:p>
        </w:tc>
        <w:tc>
          <w:tcPr>
            <w:tcW w:w="1067" w:type="dxa"/>
            <w:tcBorders>
              <w:top w:val="single" w:sz="4" w:space="0" w:color="auto"/>
              <w:bottom w:val="single" w:sz="4" w:space="0" w:color="BFBFBF" w:themeColor="background1" w:themeShade="BF"/>
            </w:tcBorders>
            <w:noWrap/>
            <w:vAlign w:val="bottom"/>
            <w:hideMark/>
          </w:tcPr>
          <w:p w14:paraId="544C970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RUS</w:t>
            </w:r>
          </w:p>
        </w:tc>
        <w:tc>
          <w:tcPr>
            <w:tcW w:w="1189" w:type="dxa"/>
            <w:tcBorders>
              <w:top w:val="single" w:sz="4" w:space="0" w:color="auto"/>
              <w:bottom w:val="single" w:sz="4" w:space="0" w:color="BFBFBF" w:themeColor="background1" w:themeShade="BF"/>
            </w:tcBorders>
            <w:noWrap/>
            <w:vAlign w:val="bottom"/>
            <w:hideMark/>
          </w:tcPr>
          <w:p w14:paraId="194A51D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EUR</w:t>
            </w:r>
          </w:p>
        </w:tc>
      </w:tr>
      <w:tr w:rsidR="00B846AF" w:rsidRPr="00B846AF" w14:paraId="03B6A1A5"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2CDBD5A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2024</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089F149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99</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59E5F14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282</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6565CD0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245</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0D77E4D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75.9</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4B927DF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210</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4DF67A1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105</w:t>
            </w:r>
          </w:p>
        </w:tc>
      </w:tr>
      <w:tr w:rsidR="00B846AF" w:rsidRPr="00B846AF" w14:paraId="4771BC92"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1063EFE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2025</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64F6B31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92</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6741CBE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266</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6238467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232</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23F526F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70.0</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0EE5A23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199</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1A8DA7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97</w:t>
            </w:r>
          </w:p>
        </w:tc>
      </w:tr>
      <w:tr w:rsidR="00B846AF" w:rsidRPr="00B846AF" w14:paraId="2B4FCA16"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715C00F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2026</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719DA1A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84</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474E633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250</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254245E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220</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7A8146F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64.5</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4C8DA3C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189</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70D15FA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89</w:t>
            </w:r>
          </w:p>
        </w:tc>
      </w:tr>
      <w:tr w:rsidR="00B846AF" w:rsidRPr="00B846AF" w14:paraId="4FD611FB"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2F0872D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2027</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722AEC4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77</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73B6A2B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236</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408D921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208</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1229373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59.3</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52383D2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179</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528EEAE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82</w:t>
            </w:r>
          </w:p>
        </w:tc>
      </w:tr>
      <w:tr w:rsidR="00B846AF" w:rsidRPr="00B846AF" w14:paraId="1E83C971"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627CAC4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2028</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63E97DA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71</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0F85439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222</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067D960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197</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1AF12C3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54.4</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3138F64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170</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714C7DD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75</w:t>
            </w:r>
          </w:p>
        </w:tc>
      </w:tr>
      <w:tr w:rsidR="00B846AF" w:rsidRPr="00B846AF" w14:paraId="15B4D927" w14:textId="77777777" w:rsidTr="003B3D31">
        <w:trPr>
          <w:trHeight w:val="300"/>
          <w:jc w:val="center"/>
        </w:trPr>
        <w:tc>
          <w:tcPr>
            <w:tcW w:w="2318" w:type="dxa"/>
            <w:tcBorders>
              <w:top w:val="single" w:sz="4" w:space="0" w:color="BFBFBF" w:themeColor="background1" w:themeShade="BF"/>
              <w:bottom w:val="nil"/>
            </w:tcBorders>
            <w:noWrap/>
            <w:vAlign w:val="bottom"/>
            <w:hideMark/>
          </w:tcPr>
          <w:p w14:paraId="40D3BA1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2029</w:t>
            </w:r>
          </w:p>
        </w:tc>
        <w:tc>
          <w:tcPr>
            <w:tcW w:w="1027" w:type="dxa"/>
            <w:tcBorders>
              <w:top w:val="single" w:sz="4" w:space="0" w:color="BFBFBF" w:themeColor="background1" w:themeShade="BF"/>
              <w:bottom w:val="nil"/>
            </w:tcBorders>
            <w:noWrap/>
            <w:vAlign w:val="bottom"/>
            <w:hideMark/>
          </w:tcPr>
          <w:p w14:paraId="159797A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65</w:t>
            </w:r>
          </w:p>
        </w:tc>
        <w:tc>
          <w:tcPr>
            <w:tcW w:w="989" w:type="dxa"/>
            <w:tcBorders>
              <w:top w:val="single" w:sz="4" w:space="0" w:color="BFBFBF" w:themeColor="background1" w:themeShade="BF"/>
              <w:bottom w:val="nil"/>
            </w:tcBorders>
            <w:noWrap/>
            <w:vAlign w:val="bottom"/>
            <w:hideMark/>
          </w:tcPr>
          <w:p w14:paraId="73A155C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209</w:t>
            </w:r>
          </w:p>
        </w:tc>
        <w:tc>
          <w:tcPr>
            <w:tcW w:w="989" w:type="dxa"/>
            <w:tcBorders>
              <w:top w:val="single" w:sz="4" w:space="0" w:color="BFBFBF" w:themeColor="background1" w:themeShade="BF"/>
              <w:bottom w:val="nil"/>
            </w:tcBorders>
            <w:noWrap/>
            <w:vAlign w:val="bottom"/>
            <w:hideMark/>
          </w:tcPr>
          <w:p w14:paraId="0F63AB8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186</w:t>
            </w:r>
          </w:p>
        </w:tc>
        <w:tc>
          <w:tcPr>
            <w:tcW w:w="1342" w:type="dxa"/>
            <w:tcBorders>
              <w:top w:val="single" w:sz="4" w:space="0" w:color="BFBFBF" w:themeColor="background1" w:themeShade="BF"/>
              <w:bottom w:val="nil"/>
            </w:tcBorders>
            <w:noWrap/>
            <w:vAlign w:val="bottom"/>
            <w:hideMark/>
          </w:tcPr>
          <w:p w14:paraId="7DB8086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49.7</w:t>
            </w:r>
          </w:p>
        </w:tc>
        <w:tc>
          <w:tcPr>
            <w:tcW w:w="1067" w:type="dxa"/>
            <w:tcBorders>
              <w:top w:val="single" w:sz="4" w:space="0" w:color="BFBFBF" w:themeColor="background1" w:themeShade="BF"/>
              <w:bottom w:val="nil"/>
            </w:tcBorders>
            <w:noWrap/>
            <w:vAlign w:val="bottom"/>
            <w:hideMark/>
          </w:tcPr>
          <w:p w14:paraId="182801C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160</w:t>
            </w:r>
          </w:p>
        </w:tc>
        <w:tc>
          <w:tcPr>
            <w:tcW w:w="1189" w:type="dxa"/>
            <w:tcBorders>
              <w:top w:val="single" w:sz="4" w:space="0" w:color="BFBFBF" w:themeColor="background1" w:themeShade="BF"/>
              <w:bottom w:val="nil"/>
            </w:tcBorders>
            <w:noWrap/>
            <w:vAlign w:val="bottom"/>
            <w:hideMark/>
          </w:tcPr>
          <w:p w14:paraId="51D93AE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69</w:t>
            </w:r>
          </w:p>
        </w:tc>
      </w:tr>
      <w:tr w:rsidR="00B846AF" w:rsidRPr="00B846AF" w14:paraId="549455F3" w14:textId="77777777" w:rsidTr="003B3D31">
        <w:trPr>
          <w:trHeight w:val="300"/>
          <w:jc w:val="center"/>
        </w:trPr>
        <w:tc>
          <w:tcPr>
            <w:tcW w:w="2318" w:type="dxa"/>
            <w:tcBorders>
              <w:top w:val="nil"/>
              <w:bottom w:val="single" w:sz="4" w:space="0" w:color="BFBFBF" w:themeColor="background1" w:themeShade="BF"/>
            </w:tcBorders>
            <w:noWrap/>
            <w:vAlign w:val="bottom"/>
            <w:hideMark/>
          </w:tcPr>
          <w:p w14:paraId="55FB79F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2030</w:t>
            </w:r>
          </w:p>
        </w:tc>
        <w:tc>
          <w:tcPr>
            <w:tcW w:w="1027" w:type="dxa"/>
            <w:tcBorders>
              <w:top w:val="nil"/>
              <w:bottom w:val="single" w:sz="4" w:space="0" w:color="BFBFBF" w:themeColor="background1" w:themeShade="BF"/>
            </w:tcBorders>
            <w:noWrap/>
            <w:vAlign w:val="bottom"/>
            <w:hideMark/>
          </w:tcPr>
          <w:p w14:paraId="2B82FFE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59</w:t>
            </w:r>
          </w:p>
        </w:tc>
        <w:tc>
          <w:tcPr>
            <w:tcW w:w="989" w:type="dxa"/>
            <w:tcBorders>
              <w:top w:val="nil"/>
              <w:bottom w:val="single" w:sz="4" w:space="0" w:color="BFBFBF" w:themeColor="background1" w:themeShade="BF"/>
            </w:tcBorders>
            <w:noWrap/>
            <w:vAlign w:val="bottom"/>
            <w:hideMark/>
          </w:tcPr>
          <w:p w14:paraId="5BA00E7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196</w:t>
            </w:r>
          </w:p>
        </w:tc>
        <w:tc>
          <w:tcPr>
            <w:tcW w:w="989" w:type="dxa"/>
            <w:tcBorders>
              <w:top w:val="nil"/>
              <w:bottom w:val="single" w:sz="4" w:space="0" w:color="BFBFBF" w:themeColor="background1" w:themeShade="BF"/>
            </w:tcBorders>
            <w:noWrap/>
            <w:vAlign w:val="bottom"/>
            <w:hideMark/>
          </w:tcPr>
          <w:p w14:paraId="2657EB5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176</w:t>
            </w:r>
          </w:p>
        </w:tc>
        <w:tc>
          <w:tcPr>
            <w:tcW w:w="1342" w:type="dxa"/>
            <w:tcBorders>
              <w:top w:val="nil"/>
              <w:bottom w:val="single" w:sz="4" w:space="0" w:color="BFBFBF" w:themeColor="background1" w:themeShade="BF"/>
            </w:tcBorders>
            <w:noWrap/>
            <w:vAlign w:val="bottom"/>
            <w:hideMark/>
          </w:tcPr>
          <w:p w14:paraId="15ECF32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45.4</w:t>
            </w:r>
          </w:p>
        </w:tc>
        <w:tc>
          <w:tcPr>
            <w:tcW w:w="1067" w:type="dxa"/>
            <w:tcBorders>
              <w:top w:val="nil"/>
              <w:bottom w:val="single" w:sz="4" w:space="0" w:color="BFBFBF" w:themeColor="background1" w:themeShade="BF"/>
            </w:tcBorders>
            <w:noWrap/>
            <w:vAlign w:val="bottom"/>
            <w:hideMark/>
          </w:tcPr>
          <w:p w14:paraId="3E37F02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152</w:t>
            </w:r>
          </w:p>
        </w:tc>
        <w:tc>
          <w:tcPr>
            <w:tcW w:w="1189" w:type="dxa"/>
            <w:tcBorders>
              <w:top w:val="nil"/>
              <w:bottom w:val="single" w:sz="4" w:space="0" w:color="BFBFBF" w:themeColor="background1" w:themeShade="BF"/>
            </w:tcBorders>
            <w:noWrap/>
            <w:vAlign w:val="bottom"/>
            <w:hideMark/>
          </w:tcPr>
          <w:p w14:paraId="03043C9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63</w:t>
            </w:r>
          </w:p>
        </w:tc>
      </w:tr>
      <w:tr w:rsidR="00B846AF" w:rsidRPr="00B846AF" w14:paraId="0966B585"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59B22BD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2031</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23498CF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54</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57B089E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184</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2AA693D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166</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538393A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41.2</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79C425A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143</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74E4D25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58</w:t>
            </w:r>
          </w:p>
        </w:tc>
      </w:tr>
      <w:tr w:rsidR="00B846AF" w:rsidRPr="00B846AF" w14:paraId="465556F9"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444E554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2032</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0C2B6EB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794288F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173</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088C5D1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157</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0BDB350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37.3</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738D73C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135</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149F824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w:t>
            </w:r>
          </w:p>
        </w:tc>
      </w:tr>
      <w:tr w:rsidR="00B846AF" w:rsidRPr="00B846AF" w14:paraId="4D50785D"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52F67A5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2033</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54C0BE1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44</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014A3C3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162</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17F425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148</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0C60C8A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33.6</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77FF5B5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127</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1A5F190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w:t>
            </w:r>
          </w:p>
        </w:tc>
      </w:tr>
      <w:tr w:rsidR="00B846AF" w:rsidRPr="00B846AF" w14:paraId="09CDD3D7"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2326588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2034</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1120387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40</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1C2246B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151</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6A003B3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139</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25EB96A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30.1</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5A00367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120</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5535BE2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43</w:t>
            </w:r>
          </w:p>
        </w:tc>
      </w:tr>
      <w:tr w:rsidR="00B846AF" w:rsidRPr="00B846AF" w14:paraId="085677DC"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38448C8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2035</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38CF5A4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36</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05C723B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141</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43B2201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131</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2385C87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26.8</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5E67E98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112</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53769C4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r>
      <w:tr w:rsidR="00B846AF" w:rsidRPr="00B846AF" w14:paraId="2090C263"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7840F68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2036</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6F3DACE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2C1FAF8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132</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569DA72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123</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79219C1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23.7</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196D146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105</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08B4F11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r>
      <w:tr w:rsidR="00B846AF" w:rsidRPr="00B846AF" w14:paraId="5966D10A"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6C7E260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2037</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3E86DB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56B1C71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123</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7D2F527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115</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1B7C416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20.7</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08E6DF7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98</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1C17D58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r>
      <w:tr w:rsidR="00B846AF" w:rsidRPr="00B846AF" w14:paraId="6ED0A434"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586E4D4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2038</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1A97F5D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52BFDAE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114</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253EA66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108</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6F83150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18.0</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12CBD78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92</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3117883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r>
      <w:tr w:rsidR="00B846AF" w:rsidRPr="00B846AF" w14:paraId="5DD53D3F"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5538480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2039</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6B2F954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1B7F684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106</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01CFC2A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100</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1A6B8B9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15.3</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2AD6CA3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86</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0D179C5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w:t>
            </w:r>
          </w:p>
        </w:tc>
      </w:tr>
      <w:tr w:rsidR="00B846AF" w:rsidRPr="00B846AF" w14:paraId="6F88134E"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589B87F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2040</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61BB955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745C6A6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98</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186A64F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94</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44B0C55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12.9</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4C8F00A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80</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2519F2E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w:t>
            </w:r>
          </w:p>
        </w:tc>
      </w:tr>
      <w:tr w:rsidR="00B846AF" w:rsidRPr="00B846AF" w14:paraId="76E2D942"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5259888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2041</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4FD874B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3E038FF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91</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29B6C2A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87</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63559AC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10.5</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661F29D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74</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549518B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w:t>
            </w:r>
          </w:p>
        </w:tc>
      </w:tr>
      <w:tr w:rsidR="00B846AF" w:rsidRPr="00B846AF" w14:paraId="16001629"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77B5A79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2042</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0EEA69C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51E8B3C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84</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674509B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81</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5E92B56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8.3</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3D4711C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68</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6A81F0C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w:t>
            </w:r>
          </w:p>
        </w:tc>
      </w:tr>
      <w:tr w:rsidR="00B846AF" w:rsidRPr="00B846AF" w14:paraId="5258C7E0"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1C5ED80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2043</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7D92095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667D1A0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77</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685D87F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75</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6736ED3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6.2</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413858C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63</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29B2FB2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r>
      <w:tr w:rsidR="00B846AF" w:rsidRPr="00B846AF" w14:paraId="7497DD19"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32F8C0A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2044</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0C02BBA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5FE6B7D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70</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31284ED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69</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726622E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4.2</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53555DE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58</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0D00D92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r>
      <w:tr w:rsidR="00B846AF" w:rsidRPr="00B846AF" w14:paraId="19BC115F"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0109F4C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2045</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76014BE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2AC9477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64</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06C86DB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64</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5226B1A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3179D37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29B1815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w:t>
            </w:r>
          </w:p>
        </w:tc>
      </w:tr>
      <w:tr w:rsidR="00B846AF" w:rsidRPr="00B846AF" w14:paraId="050A71C7"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5EF31B6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2046</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2F6F8A4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651968D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58</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1AD6E04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59</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4067198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0.6</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4E4A1A3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0BDBA9B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w:t>
            </w:r>
          </w:p>
        </w:tc>
      </w:tr>
      <w:tr w:rsidR="00B846AF" w:rsidRPr="00B846AF" w14:paraId="4984913E"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7CBB9DC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2047</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44A0EE3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6CE0088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69B4EF1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54</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5D4679A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73B63CD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43</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31489B8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w:t>
            </w:r>
          </w:p>
        </w:tc>
      </w:tr>
      <w:tr w:rsidR="00B846AF" w:rsidRPr="00B846AF" w14:paraId="296DDF55"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7DC4DE9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2048</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049D779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2800CE9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47</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42034E2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13DAF8D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5288A6B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5F71BD0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w:t>
            </w:r>
          </w:p>
        </w:tc>
      </w:tr>
      <w:tr w:rsidR="00B846AF" w:rsidRPr="00B846AF" w14:paraId="1D76D53C"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771D8A4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2049</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434ED42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422DE0D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42</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7518726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44</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45EA87E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516C8DB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4C84CB4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w:t>
            </w:r>
          </w:p>
        </w:tc>
      </w:tr>
      <w:tr w:rsidR="00B846AF" w:rsidRPr="00B846AF" w14:paraId="413567F3"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72DF16F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2050</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7381F0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5B05A30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024BE3B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40</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346AADD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-5.5</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7B9C790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3CDB396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w:t>
            </w:r>
          </w:p>
        </w:tc>
      </w:tr>
      <w:tr w:rsidR="00B846AF" w:rsidRPr="00B846AF" w14:paraId="7A88AD7C"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38E1BF1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lastRenderedPageBreak/>
              <w:t>2051</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476C280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1B484C2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3F9DD26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249C89C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-6.8</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245EC6D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62FF631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w:t>
            </w:r>
          </w:p>
        </w:tc>
      </w:tr>
      <w:tr w:rsidR="00B846AF" w:rsidRPr="00B846AF" w14:paraId="17B50703"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6874693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2052</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54F5C79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73F6A67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585C654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6BA5B34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-8.1</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4EDC636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77DDEC0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w:t>
            </w:r>
          </w:p>
        </w:tc>
      </w:tr>
      <w:tr w:rsidR="00B846AF" w:rsidRPr="00B846AF" w14:paraId="77327876"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16DACDB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2053</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6313A8B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043C8B9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21C4C7A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152CEFD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-9.3</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77F9191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2A43697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w:t>
            </w:r>
          </w:p>
        </w:tc>
      </w:tr>
      <w:tr w:rsidR="00B846AF" w:rsidRPr="00B846AF" w14:paraId="27081FE3"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66442C7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2054</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606ADD1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7EB1CCD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060B76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00DFEA7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-10.4</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293310C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27168C1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w:t>
            </w:r>
          </w:p>
        </w:tc>
      </w:tr>
      <w:tr w:rsidR="00B846AF" w:rsidRPr="00B846AF" w14:paraId="2C3BE98F"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7DBC100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2055</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32BFECD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07ECF15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27F40B5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58632BC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-11.5</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6F92FC6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74E910F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w:t>
            </w:r>
          </w:p>
        </w:tc>
      </w:tr>
      <w:tr w:rsidR="00B846AF" w:rsidRPr="00B846AF" w14:paraId="4E2C8B0C"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117BDE1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2056</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58046C6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3CBF86E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1AA743C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1DE1014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-12.4</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5BFB4A5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526029B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w:t>
            </w:r>
          </w:p>
        </w:tc>
      </w:tr>
      <w:tr w:rsidR="00B846AF" w:rsidRPr="00B846AF" w14:paraId="2405EDCE"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1DDF2F1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2057</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161E562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24DB027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00FB285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3E483F0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-13.4</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74A758D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53093A1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w:t>
            </w:r>
          </w:p>
        </w:tc>
      </w:tr>
      <w:tr w:rsidR="00B846AF" w:rsidRPr="00B846AF" w14:paraId="0295B921"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1280B7D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2058</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6F18F82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2BF4326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523F660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6539D9A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-14.3</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775EF37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10AE1CD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w:t>
            </w:r>
          </w:p>
        </w:tc>
      </w:tr>
      <w:tr w:rsidR="00B846AF" w:rsidRPr="00B846AF" w14:paraId="1882E188" w14:textId="77777777" w:rsidTr="003B3D31">
        <w:trPr>
          <w:trHeight w:val="300"/>
          <w:jc w:val="center"/>
        </w:trPr>
        <w:tc>
          <w:tcPr>
            <w:tcW w:w="2318" w:type="dxa"/>
            <w:tcBorders>
              <w:top w:val="single" w:sz="4" w:space="0" w:color="BFBFBF" w:themeColor="background1" w:themeShade="BF"/>
              <w:bottom w:val="single" w:sz="4" w:space="0" w:color="BFBFBF" w:themeColor="background1" w:themeShade="BF"/>
            </w:tcBorders>
            <w:noWrap/>
            <w:vAlign w:val="bottom"/>
            <w:hideMark/>
          </w:tcPr>
          <w:p w14:paraId="44EBE9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2059</w:t>
            </w:r>
          </w:p>
        </w:tc>
        <w:tc>
          <w:tcPr>
            <w:tcW w:w="1027" w:type="dxa"/>
            <w:tcBorders>
              <w:top w:val="single" w:sz="4" w:space="0" w:color="BFBFBF" w:themeColor="background1" w:themeShade="BF"/>
              <w:bottom w:val="single" w:sz="4" w:space="0" w:color="BFBFBF" w:themeColor="background1" w:themeShade="BF"/>
            </w:tcBorders>
            <w:noWrap/>
            <w:vAlign w:val="bottom"/>
            <w:hideMark/>
          </w:tcPr>
          <w:p w14:paraId="297BDE2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1005A5A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w:t>
            </w:r>
          </w:p>
        </w:tc>
        <w:tc>
          <w:tcPr>
            <w:tcW w:w="989" w:type="dxa"/>
            <w:tcBorders>
              <w:top w:val="single" w:sz="4" w:space="0" w:color="BFBFBF" w:themeColor="background1" w:themeShade="BF"/>
              <w:bottom w:val="single" w:sz="4" w:space="0" w:color="BFBFBF" w:themeColor="background1" w:themeShade="BF"/>
            </w:tcBorders>
            <w:noWrap/>
            <w:vAlign w:val="bottom"/>
            <w:hideMark/>
          </w:tcPr>
          <w:p w14:paraId="43B1CA3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w:t>
            </w:r>
          </w:p>
        </w:tc>
        <w:tc>
          <w:tcPr>
            <w:tcW w:w="1342" w:type="dxa"/>
            <w:tcBorders>
              <w:top w:val="single" w:sz="4" w:space="0" w:color="BFBFBF" w:themeColor="background1" w:themeShade="BF"/>
              <w:bottom w:val="single" w:sz="4" w:space="0" w:color="BFBFBF" w:themeColor="background1" w:themeShade="BF"/>
            </w:tcBorders>
            <w:noWrap/>
            <w:vAlign w:val="bottom"/>
            <w:hideMark/>
          </w:tcPr>
          <w:p w14:paraId="16A6ACA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-15.1</w:t>
            </w:r>
          </w:p>
        </w:tc>
        <w:tc>
          <w:tcPr>
            <w:tcW w:w="1067" w:type="dxa"/>
            <w:tcBorders>
              <w:top w:val="single" w:sz="4" w:space="0" w:color="BFBFBF" w:themeColor="background1" w:themeShade="BF"/>
              <w:bottom w:val="single" w:sz="4" w:space="0" w:color="BFBFBF" w:themeColor="background1" w:themeShade="BF"/>
            </w:tcBorders>
            <w:noWrap/>
            <w:vAlign w:val="bottom"/>
            <w:hideMark/>
          </w:tcPr>
          <w:p w14:paraId="133AE10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w:t>
            </w:r>
          </w:p>
        </w:tc>
        <w:tc>
          <w:tcPr>
            <w:tcW w:w="1189" w:type="dxa"/>
            <w:tcBorders>
              <w:top w:val="single" w:sz="4" w:space="0" w:color="BFBFBF" w:themeColor="background1" w:themeShade="BF"/>
              <w:bottom w:val="single" w:sz="4" w:space="0" w:color="BFBFBF" w:themeColor="background1" w:themeShade="BF"/>
            </w:tcBorders>
            <w:noWrap/>
            <w:vAlign w:val="bottom"/>
            <w:hideMark/>
          </w:tcPr>
          <w:p w14:paraId="54D8B41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w:t>
            </w:r>
          </w:p>
        </w:tc>
      </w:tr>
      <w:tr w:rsidR="00B846AF" w:rsidRPr="00B846AF" w14:paraId="6264AE05" w14:textId="77777777" w:rsidTr="003B3D31">
        <w:trPr>
          <w:trHeight w:val="315"/>
          <w:jc w:val="center"/>
        </w:trPr>
        <w:tc>
          <w:tcPr>
            <w:tcW w:w="2318" w:type="dxa"/>
            <w:tcBorders>
              <w:top w:val="single" w:sz="4" w:space="0" w:color="BFBFBF" w:themeColor="background1" w:themeShade="BF"/>
              <w:bottom w:val="single" w:sz="4" w:space="0" w:color="auto"/>
            </w:tcBorders>
            <w:noWrap/>
            <w:vAlign w:val="bottom"/>
            <w:hideMark/>
          </w:tcPr>
          <w:p w14:paraId="7012D0D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2060</w:t>
            </w:r>
          </w:p>
        </w:tc>
        <w:tc>
          <w:tcPr>
            <w:tcW w:w="1027" w:type="dxa"/>
            <w:tcBorders>
              <w:top w:val="single" w:sz="4" w:space="0" w:color="BFBFBF" w:themeColor="background1" w:themeShade="BF"/>
              <w:bottom w:val="single" w:sz="4" w:space="0" w:color="auto"/>
            </w:tcBorders>
            <w:noWrap/>
            <w:vAlign w:val="bottom"/>
            <w:hideMark/>
          </w:tcPr>
          <w:p w14:paraId="1CE25E9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w:t>
            </w:r>
          </w:p>
        </w:tc>
        <w:tc>
          <w:tcPr>
            <w:tcW w:w="989" w:type="dxa"/>
            <w:tcBorders>
              <w:top w:val="single" w:sz="4" w:space="0" w:color="BFBFBF" w:themeColor="background1" w:themeShade="BF"/>
              <w:bottom w:val="single" w:sz="4" w:space="0" w:color="auto"/>
            </w:tcBorders>
            <w:noWrap/>
            <w:vAlign w:val="bottom"/>
            <w:hideMark/>
          </w:tcPr>
          <w:p w14:paraId="335366D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0</w:t>
            </w:r>
          </w:p>
        </w:tc>
        <w:tc>
          <w:tcPr>
            <w:tcW w:w="989" w:type="dxa"/>
            <w:tcBorders>
              <w:top w:val="single" w:sz="4" w:space="0" w:color="BFBFBF" w:themeColor="background1" w:themeShade="BF"/>
              <w:bottom w:val="single" w:sz="4" w:space="0" w:color="auto"/>
            </w:tcBorders>
            <w:noWrap/>
            <w:vAlign w:val="bottom"/>
            <w:hideMark/>
          </w:tcPr>
          <w:p w14:paraId="219D822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w:t>
            </w:r>
          </w:p>
        </w:tc>
        <w:tc>
          <w:tcPr>
            <w:tcW w:w="1342" w:type="dxa"/>
            <w:tcBorders>
              <w:top w:val="single" w:sz="4" w:space="0" w:color="BFBFBF" w:themeColor="background1" w:themeShade="BF"/>
              <w:bottom w:val="single" w:sz="4" w:space="0" w:color="auto"/>
            </w:tcBorders>
            <w:noWrap/>
            <w:vAlign w:val="bottom"/>
            <w:hideMark/>
          </w:tcPr>
          <w:p w14:paraId="3297CF0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-15.9</w:t>
            </w:r>
          </w:p>
        </w:tc>
        <w:tc>
          <w:tcPr>
            <w:tcW w:w="1067" w:type="dxa"/>
            <w:tcBorders>
              <w:top w:val="single" w:sz="4" w:space="0" w:color="BFBFBF" w:themeColor="background1" w:themeShade="BF"/>
              <w:bottom w:val="single" w:sz="4" w:space="0" w:color="auto"/>
            </w:tcBorders>
            <w:noWrap/>
            <w:vAlign w:val="bottom"/>
            <w:hideMark/>
          </w:tcPr>
          <w:p w14:paraId="04EE928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w:t>
            </w:r>
          </w:p>
        </w:tc>
        <w:tc>
          <w:tcPr>
            <w:tcW w:w="1189" w:type="dxa"/>
            <w:tcBorders>
              <w:top w:val="single" w:sz="4" w:space="0" w:color="BFBFBF" w:themeColor="background1" w:themeShade="BF"/>
              <w:bottom w:val="single" w:sz="4" w:space="0" w:color="auto"/>
            </w:tcBorders>
            <w:noWrap/>
            <w:vAlign w:val="bottom"/>
            <w:hideMark/>
          </w:tcPr>
          <w:p w14:paraId="4F78A52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p>
        </w:tc>
      </w:tr>
    </w:tbl>
    <w:p w14:paraId="4B74E263" w14:textId="0DA00B4C" w:rsidR="00124AF7" w:rsidRDefault="00124AF7" w:rsidP="00B846AF">
      <w:pPr>
        <w:spacing w:line="360" w:lineRule="auto"/>
        <w:jc w:val="both"/>
        <w:rPr>
          <w:rFonts w:ascii="Times New Roman" w:hAnsi="Times New Roman" w:cs="Times New Roman"/>
          <w:highlight w:val="yellow"/>
        </w:rPr>
      </w:pPr>
    </w:p>
    <w:p w14:paraId="4FDE23B9" w14:textId="77777777" w:rsidR="00124AF7" w:rsidRDefault="00124AF7">
      <w:pPr>
        <w:rPr>
          <w:rFonts w:ascii="Times New Roman" w:hAnsi="Times New Roman" w:cs="Times New Roman"/>
          <w:highlight w:val="yellow"/>
        </w:rPr>
      </w:pPr>
      <w:r>
        <w:rPr>
          <w:rFonts w:ascii="Times New Roman" w:hAnsi="Times New Roman" w:cs="Times New Roman"/>
          <w:highlight w:val="yellow"/>
        </w:rPr>
        <w:br w:type="page"/>
      </w:r>
    </w:p>
    <w:p w14:paraId="5E1DD15F" w14:textId="43A04DD1" w:rsidR="00B846AF" w:rsidRPr="00B846AF" w:rsidRDefault="00B846AF" w:rsidP="00B846AF">
      <w:pPr>
        <w:pStyle w:val="Heading2"/>
        <w:spacing w:line="360" w:lineRule="auto"/>
        <w:jc w:val="both"/>
        <w:rPr>
          <w:rFonts w:ascii="Times New Roman" w:hAnsi="Times New Roman" w:cs="Times New Roman"/>
          <w:color w:val="auto"/>
          <w:sz w:val="24"/>
          <w:szCs w:val="24"/>
        </w:rPr>
      </w:pPr>
      <w:r w:rsidRPr="00124AF7">
        <w:rPr>
          <w:rFonts w:ascii="Times New Roman" w:hAnsi="Times New Roman" w:cs="Times New Roman"/>
          <w:color w:val="auto"/>
          <w:sz w:val="24"/>
          <w:szCs w:val="24"/>
        </w:rPr>
        <w:lastRenderedPageBreak/>
        <w:t>Supplementary Table S</w:t>
      </w:r>
      <w:r w:rsidR="00124AF7" w:rsidRPr="00124AF7">
        <w:rPr>
          <w:rFonts w:ascii="Times New Roman" w:hAnsi="Times New Roman" w:cs="Times New Roman"/>
          <w:color w:val="auto"/>
          <w:sz w:val="24"/>
          <w:szCs w:val="24"/>
        </w:rPr>
        <w:t>7</w:t>
      </w:r>
      <w:r w:rsidRPr="00124AF7">
        <w:rPr>
          <w:rFonts w:ascii="Times New Roman" w:hAnsi="Times New Roman" w:cs="Times New Roman"/>
          <w:color w:val="auto"/>
          <w:sz w:val="24"/>
          <w:szCs w:val="24"/>
        </w:rPr>
        <w:t xml:space="preserve"> | Carbon price of the selected regions</w:t>
      </w:r>
    </w:p>
    <w:tbl>
      <w:tblPr>
        <w:tblW w:w="8647" w:type="dxa"/>
        <w:jc w:val="center"/>
        <w:tblBorders>
          <w:top w:val="single" w:sz="4" w:space="0" w:color="auto"/>
          <w:bottom w:val="single" w:sz="4" w:space="0" w:color="auto"/>
        </w:tblBorders>
        <w:tblLook w:val="04A0" w:firstRow="1" w:lastRow="0" w:firstColumn="1" w:lastColumn="0" w:noHBand="0" w:noVBand="1"/>
      </w:tblPr>
      <w:tblGrid>
        <w:gridCol w:w="1611"/>
        <w:gridCol w:w="918"/>
        <w:gridCol w:w="1006"/>
        <w:gridCol w:w="1286"/>
        <w:gridCol w:w="1134"/>
        <w:gridCol w:w="1134"/>
        <w:gridCol w:w="1558"/>
      </w:tblGrid>
      <w:tr w:rsidR="00B846AF" w:rsidRPr="00B846AF" w14:paraId="51AEDC92" w14:textId="77777777" w:rsidTr="003D20BB">
        <w:trPr>
          <w:trHeight w:val="300"/>
          <w:jc w:val="center"/>
        </w:trPr>
        <w:tc>
          <w:tcPr>
            <w:tcW w:w="8647" w:type="dxa"/>
            <w:gridSpan w:val="7"/>
            <w:tcBorders>
              <w:top w:val="single" w:sz="4" w:space="0" w:color="auto"/>
              <w:bottom w:val="single" w:sz="4" w:space="0" w:color="auto"/>
            </w:tcBorders>
            <w:noWrap/>
            <w:vAlign w:val="bottom"/>
            <w:hideMark/>
          </w:tcPr>
          <w:p w14:paraId="38F60872" w14:textId="22BBC3E4" w:rsidR="00B846AF" w:rsidRPr="00B846AF" w:rsidRDefault="00B846AF" w:rsidP="00B846AF">
            <w:pPr>
              <w:spacing w:after="0" w:line="360" w:lineRule="auto"/>
              <w:jc w:val="both"/>
              <w:rPr>
                <w:rFonts w:ascii="Times New Roman" w:eastAsia="Times New Roman" w:hAnsi="Times New Roman" w:cs="Times New Roman"/>
                <w:b/>
                <w:bCs/>
                <w:kern w:val="0"/>
                <w14:ligatures w14:val="none"/>
              </w:rPr>
            </w:pPr>
            <w:r w:rsidRPr="00B846AF">
              <w:rPr>
                <w:rFonts w:ascii="Times New Roman" w:eastAsia="Times New Roman" w:hAnsi="Times New Roman" w:cs="Times New Roman"/>
                <w:b/>
                <w:bCs/>
                <w:kern w:val="0"/>
                <w14:ligatures w14:val="none"/>
              </w:rPr>
              <w:t xml:space="preserve">Table </w:t>
            </w:r>
            <w:r w:rsidR="00BF2477">
              <w:rPr>
                <w:rFonts w:ascii="Times New Roman" w:eastAsia="Times New Roman" w:hAnsi="Times New Roman" w:cs="Times New Roman"/>
                <w:b/>
                <w:bCs/>
                <w:kern w:val="0"/>
                <w14:ligatures w14:val="none"/>
              </w:rPr>
              <w:t>S7</w:t>
            </w:r>
            <w:r w:rsidRPr="00B846AF">
              <w:rPr>
                <w:rFonts w:ascii="Times New Roman" w:eastAsia="Times New Roman" w:hAnsi="Times New Roman" w:cs="Times New Roman"/>
                <w:b/>
                <w:bCs/>
                <w:kern w:val="0"/>
                <w14:ligatures w14:val="none"/>
              </w:rPr>
              <w:t>. CO</w:t>
            </w:r>
            <w:r w:rsidRPr="00B846AF">
              <w:rPr>
                <w:rFonts w:ascii="Times New Roman" w:eastAsia="Times New Roman" w:hAnsi="Times New Roman" w:cs="Times New Roman"/>
                <w:b/>
                <w:bCs/>
                <w:kern w:val="0"/>
                <w:vertAlign w:val="subscript"/>
                <w14:ligatures w14:val="none"/>
              </w:rPr>
              <w:t>2</w:t>
            </w:r>
            <w:r w:rsidRPr="00B846AF">
              <w:rPr>
                <w:rFonts w:ascii="Times New Roman" w:eastAsia="Times New Roman" w:hAnsi="Times New Roman" w:cs="Times New Roman"/>
                <w:b/>
                <w:bCs/>
                <w:kern w:val="0"/>
                <w14:ligatures w14:val="none"/>
              </w:rPr>
              <w:t xml:space="preserve"> price prediction following IAM_SSP2EU-PkBudg500, $</w:t>
            </w:r>
            <w:r w:rsidR="00E40E26">
              <w:rPr>
                <w:rFonts w:ascii="Times New Roman" w:eastAsia="Times New Roman" w:hAnsi="Times New Roman" w:cs="Times New Roman"/>
                <w:b/>
                <w:bCs/>
                <w:kern w:val="0"/>
                <w14:ligatures w14:val="none"/>
              </w:rPr>
              <w:t xml:space="preserve"> </w:t>
            </w:r>
            <w:r w:rsidRPr="00B846AF">
              <w:rPr>
                <w:rFonts w:ascii="Times New Roman" w:eastAsia="Times New Roman" w:hAnsi="Times New Roman" w:cs="Times New Roman"/>
                <w:b/>
                <w:bCs/>
                <w:kern w:val="0"/>
                <w14:ligatures w14:val="none"/>
              </w:rPr>
              <w:t>t</w:t>
            </w:r>
            <w:r w:rsidR="00B26A33" w:rsidRPr="00B26A33">
              <w:rPr>
                <w:rFonts w:ascii="Times New Roman" w:eastAsia="Times New Roman" w:hAnsi="Times New Roman" w:cs="Times New Roman"/>
                <w:b/>
                <w:bCs/>
                <w:kern w:val="0"/>
                <w:vertAlign w:val="superscript"/>
                <w14:ligatures w14:val="none"/>
              </w:rPr>
              <w:t>-1</w:t>
            </w:r>
            <w:r w:rsidRPr="00B846AF">
              <w:rPr>
                <w:rFonts w:ascii="Times New Roman" w:eastAsia="Times New Roman" w:hAnsi="Times New Roman" w:cs="Times New Roman"/>
                <w:b/>
                <w:bCs/>
                <w:kern w:val="0"/>
                <w14:ligatures w14:val="none"/>
              </w:rPr>
              <w:t>CO</w:t>
            </w:r>
            <w:r w:rsidRPr="00B846AF">
              <w:rPr>
                <w:rFonts w:ascii="Times New Roman" w:eastAsia="Times New Roman" w:hAnsi="Times New Roman" w:cs="Times New Roman"/>
                <w:b/>
                <w:bCs/>
                <w:kern w:val="0"/>
                <w:vertAlign w:val="subscript"/>
                <w14:ligatures w14:val="none"/>
              </w:rPr>
              <w:t>2</w:t>
            </w:r>
            <w:r w:rsidRPr="00B846AF">
              <w:rPr>
                <w:rFonts w:ascii="Times New Roman" w:eastAsia="Times New Roman" w:hAnsi="Times New Roman" w:cs="Times New Roman"/>
                <w:b/>
                <w:bCs/>
                <w:kern w:val="0"/>
                <w14:ligatures w14:val="none"/>
              </w:rPr>
              <w:t xml:space="preserve"> </w:t>
            </w:r>
          </w:p>
        </w:tc>
      </w:tr>
      <w:tr w:rsidR="00B846AF" w:rsidRPr="00B846AF" w14:paraId="4197A6F9" w14:textId="77777777" w:rsidTr="003D20BB">
        <w:trPr>
          <w:trHeight w:val="300"/>
          <w:jc w:val="center"/>
        </w:trPr>
        <w:tc>
          <w:tcPr>
            <w:tcW w:w="1611" w:type="dxa"/>
            <w:tcBorders>
              <w:top w:val="single" w:sz="4" w:space="0" w:color="auto"/>
              <w:bottom w:val="single" w:sz="4" w:space="0" w:color="BFBFBF" w:themeColor="background1" w:themeShade="BF"/>
            </w:tcBorders>
            <w:noWrap/>
            <w:vAlign w:val="bottom"/>
            <w:hideMark/>
          </w:tcPr>
          <w:p w14:paraId="3C50C11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Year</w:t>
            </w:r>
          </w:p>
        </w:tc>
        <w:tc>
          <w:tcPr>
            <w:tcW w:w="918" w:type="dxa"/>
            <w:tcBorders>
              <w:top w:val="single" w:sz="4" w:space="0" w:color="auto"/>
              <w:bottom w:val="single" w:sz="4" w:space="0" w:color="BFBFBF" w:themeColor="background1" w:themeShade="BF"/>
            </w:tcBorders>
            <w:noWrap/>
            <w:vAlign w:val="bottom"/>
            <w:hideMark/>
          </w:tcPr>
          <w:p w14:paraId="010CEA2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CAZ</w:t>
            </w:r>
          </w:p>
        </w:tc>
        <w:tc>
          <w:tcPr>
            <w:tcW w:w="1006" w:type="dxa"/>
            <w:tcBorders>
              <w:top w:val="single" w:sz="4" w:space="0" w:color="auto"/>
              <w:bottom w:val="single" w:sz="4" w:space="0" w:color="BFBFBF" w:themeColor="background1" w:themeShade="BF"/>
            </w:tcBorders>
            <w:noWrap/>
            <w:vAlign w:val="bottom"/>
            <w:hideMark/>
          </w:tcPr>
          <w:p w14:paraId="677F764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SA</w:t>
            </w:r>
          </w:p>
        </w:tc>
        <w:tc>
          <w:tcPr>
            <w:tcW w:w="1286" w:type="dxa"/>
            <w:tcBorders>
              <w:top w:val="single" w:sz="4" w:space="0" w:color="auto"/>
              <w:bottom w:val="single" w:sz="4" w:space="0" w:color="BFBFBF" w:themeColor="background1" w:themeShade="BF"/>
            </w:tcBorders>
            <w:noWrap/>
            <w:vAlign w:val="bottom"/>
            <w:hideMark/>
          </w:tcPr>
          <w:p w14:paraId="1FE8ECF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EA</w:t>
            </w:r>
          </w:p>
        </w:tc>
        <w:tc>
          <w:tcPr>
            <w:tcW w:w="1134" w:type="dxa"/>
            <w:tcBorders>
              <w:top w:val="single" w:sz="4" w:space="0" w:color="auto"/>
              <w:bottom w:val="single" w:sz="4" w:space="0" w:color="BFBFBF" w:themeColor="background1" w:themeShade="BF"/>
            </w:tcBorders>
            <w:noWrap/>
            <w:vAlign w:val="bottom"/>
            <w:hideMark/>
          </w:tcPr>
          <w:p w14:paraId="45D7920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CSA</w:t>
            </w:r>
          </w:p>
        </w:tc>
        <w:tc>
          <w:tcPr>
            <w:tcW w:w="1134" w:type="dxa"/>
            <w:tcBorders>
              <w:top w:val="single" w:sz="4" w:space="0" w:color="auto"/>
              <w:bottom w:val="single" w:sz="4" w:space="0" w:color="BFBFBF" w:themeColor="background1" w:themeShade="BF"/>
            </w:tcBorders>
            <w:noWrap/>
            <w:vAlign w:val="bottom"/>
            <w:hideMark/>
          </w:tcPr>
          <w:p w14:paraId="7A08F4C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RUS</w:t>
            </w:r>
          </w:p>
        </w:tc>
        <w:tc>
          <w:tcPr>
            <w:tcW w:w="1558" w:type="dxa"/>
            <w:tcBorders>
              <w:top w:val="single" w:sz="4" w:space="0" w:color="auto"/>
              <w:bottom w:val="single" w:sz="4" w:space="0" w:color="BFBFBF" w:themeColor="background1" w:themeShade="BF"/>
            </w:tcBorders>
            <w:noWrap/>
            <w:vAlign w:val="bottom"/>
            <w:hideMark/>
          </w:tcPr>
          <w:p w14:paraId="44A3238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EUR</w:t>
            </w:r>
          </w:p>
        </w:tc>
      </w:tr>
      <w:tr w:rsidR="00B846AF" w:rsidRPr="00B846AF" w14:paraId="36F0A964"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71ED749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2024</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3D9FF39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138</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3C51D7F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2AD77B0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61</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2797498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83</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1EDA52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87</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44E5977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143</w:t>
            </w:r>
          </w:p>
        </w:tc>
      </w:tr>
      <w:tr w:rsidR="00B846AF" w:rsidRPr="00B846AF" w14:paraId="7303BB70"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499F302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2025</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7B07254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151</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5C2EF2B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1021EDC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0ABFE4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92</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147B85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97</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1778092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156</w:t>
            </w:r>
          </w:p>
        </w:tc>
      </w:tr>
      <w:tr w:rsidR="00B846AF" w:rsidRPr="00B846AF" w14:paraId="5B4305D6"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713AA03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2026</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7121207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166</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1EE66D6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8FF3CD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2CCED3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102</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AB49E1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107</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0E22772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170</w:t>
            </w:r>
          </w:p>
        </w:tc>
      </w:tr>
      <w:tr w:rsidR="00B846AF" w:rsidRPr="00B846AF" w14:paraId="4640E4F2"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3543D2B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2027</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05F66BA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181</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598CA49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393BE5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55F9653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113</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5BAC105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119</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72FBF05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184</w:t>
            </w:r>
          </w:p>
        </w:tc>
      </w:tr>
      <w:tr w:rsidR="00B846AF" w:rsidRPr="00B846AF" w14:paraId="2921FE70"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429BE49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2028</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719C618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197</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17570DA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40</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1B398C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1F8233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125</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76AEB0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132</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2BC7C01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199</w:t>
            </w:r>
          </w:p>
        </w:tc>
      </w:tr>
      <w:tr w:rsidR="00B846AF" w:rsidRPr="00B846AF" w14:paraId="3F05CFDA"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182AE9B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2029</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415552A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214</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0150682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4B7417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110</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557EBD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137</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8FE97F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145</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7A197E0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215</w:t>
            </w:r>
          </w:p>
        </w:tc>
      </w:tr>
      <w:tr w:rsidR="00B846AF" w:rsidRPr="00B846AF" w14:paraId="56188C1B"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5D03C64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2030</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74DA2A5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232</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7098482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59</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1D15626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123</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586BE51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150</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3E40E35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159</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5A5DA89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231</w:t>
            </w:r>
          </w:p>
        </w:tc>
      </w:tr>
      <w:tr w:rsidR="00B846AF" w:rsidRPr="00B846AF" w14:paraId="65FFFDB7"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06C3C1F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2031</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1EF44E7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249</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1D72CDC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71</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584CF4A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136</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B528EB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165</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9392F4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174</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31D8D21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247</w:t>
            </w:r>
          </w:p>
        </w:tc>
      </w:tr>
      <w:tr w:rsidR="00B846AF" w:rsidRPr="00B846AF" w14:paraId="31840B75"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28B5350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2032</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4ABFA4A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268</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351BADF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84</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1ED079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151</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D49DEA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5F0D8D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190</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53BA6A1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265</w:t>
            </w:r>
          </w:p>
        </w:tc>
      </w:tr>
      <w:tr w:rsidR="00B846AF" w:rsidRPr="00B846AF" w14:paraId="06CBA551"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31B855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2033</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07C6524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286</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5E50139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99</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410C438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166</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E864F7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195</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51A2F9B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207</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7451F25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282</w:t>
            </w:r>
          </w:p>
        </w:tc>
      </w:tr>
      <w:tr w:rsidR="00B846AF" w:rsidRPr="00B846AF" w14:paraId="3FA9FFE7"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4D91CB7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2034</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6D38B46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305</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336CE6F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115</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73E6A4E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182</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251B4D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211</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3949F4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224</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37AE957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300</w:t>
            </w:r>
          </w:p>
        </w:tc>
      </w:tr>
      <w:tr w:rsidR="00B846AF" w:rsidRPr="00B846AF" w14:paraId="5282C5F0"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77CB27C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2035</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47C27FA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324</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0BA7C22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133</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3DD0D4A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F7B974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367AC5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242</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0B4AE01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318</w:t>
            </w:r>
          </w:p>
        </w:tc>
      </w:tr>
      <w:tr w:rsidR="00B846AF" w:rsidRPr="00B846AF" w14:paraId="6AFC678C"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7DF0794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2036</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0D68902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343</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7F6DE97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152</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36A2BC9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217</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C29F3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246</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0809E3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261</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3142CE9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336</w:t>
            </w:r>
          </w:p>
        </w:tc>
      </w:tr>
      <w:tr w:rsidR="00B846AF" w:rsidRPr="00B846AF" w14:paraId="6F23C987"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701D46E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2037</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2E357B5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361</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54CA4CD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172</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6FF3AF5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236</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299D25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264</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227A06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279</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1540B9C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354</w:t>
            </w:r>
          </w:p>
        </w:tc>
      </w:tr>
      <w:tr w:rsidR="00B846AF" w:rsidRPr="00B846AF" w14:paraId="7D2808A4"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4AF72FC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2038</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07F01F1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380</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21E5614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193</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77D1321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255</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2F7C562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282</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50020B4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298</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79779F5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372</w:t>
            </w:r>
          </w:p>
        </w:tc>
      </w:tr>
      <w:tr w:rsidR="00B846AF" w:rsidRPr="00B846AF" w14:paraId="76979CF8"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03E0858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2039</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576F289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398</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5E750A8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215</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4B230AC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274</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A60832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301</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3943E5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318</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692975C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389</w:t>
            </w:r>
          </w:p>
        </w:tc>
      </w:tr>
      <w:tr w:rsidR="00B846AF" w:rsidRPr="00B846AF" w14:paraId="14A0443F"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316DBBD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2040</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59CC411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415</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0BE9A6E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238</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1DB4074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294</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E887DE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320</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552962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337</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7C5644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406</w:t>
            </w:r>
          </w:p>
        </w:tc>
      </w:tr>
      <w:tr w:rsidR="00B846AF" w:rsidRPr="00B846AF" w14:paraId="46CDA62D"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6366E54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2041</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7D75A33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432</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25033C1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261</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825005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314</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E8BF0F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29A7ECE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356</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2A38241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423</w:t>
            </w:r>
          </w:p>
        </w:tc>
      </w:tr>
      <w:tr w:rsidR="00B846AF" w:rsidRPr="00B846AF" w14:paraId="20B1BAEA"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5A6CF70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2042</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214E540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449</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54F9C9F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285</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DC5B82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334</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536D5E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53B91D6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375</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7FA965C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440</w:t>
            </w:r>
          </w:p>
        </w:tc>
      </w:tr>
      <w:tr w:rsidR="00B846AF" w:rsidRPr="00B846AF" w14:paraId="76606264"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5D5C6B2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2043</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3D88010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465</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259C2A0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308</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730643F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354</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526AFFC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376</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DE3380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394</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40EA44D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456</w:t>
            </w:r>
          </w:p>
        </w:tc>
      </w:tr>
      <w:tr w:rsidR="00B846AF" w:rsidRPr="00B846AF" w14:paraId="7A483BCB"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6AAB988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2044</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54084DB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480</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5D9B107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331</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20D2B58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373</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E8A431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395</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293CEE2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413</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2188058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471</w:t>
            </w:r>
          </w:p>
        </w:tc>
      </w:tr>
      <w:tr w:rsidR="00B846AF" w:rsidRPr="00B846AF" w14:paraId="1CFAAEC4"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402AC65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2045</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4407F18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495</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7FC91CB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354</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6160329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393</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28179B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413</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C261C9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431</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5D22D96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486</w:t>
            </w:r>
          </w:p>
        </w:tc>
      </w:tr>
      <w:tr w:rsidR="00B846AF" w:rsidRPr="00B846AF" w14:paraId="73C7190A"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580F5C1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2046</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604C8B6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509</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738C352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377</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64E0BB8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412</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C868B6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431</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09E96B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448</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0F09532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500</w:t>
            </w:r>
          </w:p>
        </w:tc>
      </w:tr>
      <w:tr w:rsidR="00B846AF" w:rsidRPr="00B846AF" w14:paraId="3BD228CC"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38187EB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2047</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1EC2AD9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522</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2D89612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399</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0A60E7F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431</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2AFBD8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448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B07CDB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465</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256C039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514</w:t>
            </w:r>
          </w:p>
        </w:tc>
      </w:tr>
      <w:tr w:rsidR="00B846AF" w:rsidRPr="00B846AF" w14:paraId="313FE069"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0873E06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2048</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607444B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534</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677C883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420</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2F82126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449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2C09A9C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465</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9C30A6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481</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1A7262A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526</w:t>
            </w:r>
          </w:p>
        </w:tc>
      </w:tr>
      <w:tr w:rsidR="00B846AF" w:rsidRPr="00B846AF" w14:paraId="01719024"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7A90EF0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2049</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252E423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546</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7AB043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441</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572CA68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466</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6FDB20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481</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2DA2C13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497</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57DAD6D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538</w:t>
            </w:r>
          </w:p>
        </w:tc>
      </w:tr>
      <w:tr w:rsidR="00B846AF" w:rsidRPr="00B846AF" w14:paraId="46E272A4"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7CB35CD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2050</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07FE757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556</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47EBFEF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460</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43A102D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483</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2F6423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497</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C57824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512</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142E14D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550</w:t>
            </w:r>
          </w:p>
        </w:tc>
      </w:tr>
      <w:tr w:rsidR="00B846AF" w:rsidRPr="00B846AF" w14:paraId="23A5A58F"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7854E50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2051</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6BE41E0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567</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295FF6F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479</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61930DA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180371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512</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ECDF1E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526</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0DC6EE0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560</w:t>
            </w:r>
          </w:p>
        </w:tc>
      </w:tr>
      <w:tr w:rsidR="00B846AF" w:rsidRPr="00B846AF" w14:paraId="7E414B5A"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24CD28D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2052</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6DA42A9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576</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4E032AC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497</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6A8C6C5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514</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2825C00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526</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B4434F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539</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12AFD31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570</w:t>
            </w:r>
          </w:p>
        </w:tc>
      </w:tr>
      <w:tr w:rsidR="00B846AF" w:rsidRPr="00B846AF" w14:paraId="5E67AC0A"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29F4B88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lastRenderedPageBreak/>
              <w:t>2053</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2C57DE3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585</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41F4051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513</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497551C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34CE044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5E86BCE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552</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7209009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580</w:t>
            </w:r>
          </w:p>
        </w:tc>
      </w:tr>
      <w:tr w:rsidR="00B846AF" w:rsidRPr="00B846AF" w14:paraId="7D6414E1"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4A3FF51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2054</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12AA5E0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593</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2CE70BB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529</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36BA248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542</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E184B3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551</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2509BC8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564</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0192F23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588</w:t>
            </w:r>
          </w:p>
        </w:tc>
      </w:tr>
      <w:tr w:rsidR="00B846AF" w:rsidRPr="00B846AF" w14:paraId="448DB544"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0381EC3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2055</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2A4F84F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600</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47ADF90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544</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7836C1C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555</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7B4D96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563</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2004B2F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575</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6F5254D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596</w:t>
            </w:r>
          </w:p>
        </w:tc>
      </w:tr>
      <w:tr w:rsidR="00B846AF" w:rsidRPr="00B846AF" w14:paraId="037B260A"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0B6FC09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2056</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593CB80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607</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096D97F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558</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4C6C0FB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567</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8A3944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574</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67D505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585</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7080424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604</w:t>
            </w:r>
          </w:p>
        </w:tc>
      </w:tr>
      <w:tr w:rsidR="00B846AF" w:rsidRPr="00B846AF" w14:paraId="622BEB35"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266F008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2057</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0B7361E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614</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647EC8B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570</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6EE79F8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579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6DFBF9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585</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0C674C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595</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2879C29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611</w:t>
            </w:r>
          </w:p>
        </w:tc>
      </w:tr>
      <w:tr w:rsidR="00B846AF" w:rsidRPr="00B846AF" w14:paraId="23481B3A"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49EB38D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2058</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5FF0F2E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620</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39A3CE2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582</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5C29860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589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0070FF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594</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9FD09C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604</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2B6D830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617</w:t>
            </w:r>
          </w:p>
        </w:tc>
      </w:tr>
      <w:tr w:rsidR="00B846AF" w:rsidRPr="00B846AF" w14:paraId="121E640E" w14:textId="77777777" w:rsidTr="003D20BB">
        <w:trPr>
          <w:trHeight w:val="300"/>
          <w:jc w:val="center"/>
        </w:trPr>
        <w:tc>
          <w:tcPr>
            <w:tcW w:w="1611" w:type="dxa"/>
            <w:tcBorders>
              <w:top w:val="single" w:sz="4" w:space="0" w:color="BFBFBF" w:themeColor="background1" w:themeShade="BF"/>
              <w:bottom w:val="single" w:sz="4" w:space="0" w:color="BFBFBF" w:themeColor="background1" w:themeShade="BF"/>
            </w:tcBorders>
            <w:noWrap/>
            <w:vAlign w:val="bottom"/>
            <w:hideMark/>
          </w:tcPr>
          <w:p w14:paraId="204953B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2059</w:t>
            </w:r>
          </w:p>
        </w:tc>
        <w:tc>
          <w:tcPr>
            <w:tcW w:w="918" w:type="dxa"/>
            <w:tcBorders>
              <w:top w:val="single" w:sz="4" w:space="0" w:color="BFBFBF" w:themeColor="background1" w:themeShade="BF"/>
              <w:bottom w:val="single" w:sz="4" w:space="0" w:color="BFBFBF" w:themeColor="background1" w:themeShade="BF"/>
            </w:tcBorders>
            <w:noWrap/>
            <w:vAlign w:val="bottom"/>
            <w:hideMark/>
          </w:tcPr>
          <w:p w14:paraId="381C7C0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625</w:t>
            </w:r>
          </w:p>
        </w:tc>
        <w:tc>
          <w:tcPr>
            <w:tcW w:w="1006" w:type="dxa"/>
            <w:tcBorders>
              <w:top w:val="single" w:sz="4" w:space="0" w:color="BFBFBF" w:themeColor="background1" w:themeShade="BF"/>
              <w:bottom w:val="single" w:sz="4" w:space="0" w:color="BFBFBF" w:themeColor="background1" w:themeShade="BF"/>
            </w:tcBorders>
            <w:noWrap/>
            <w:vAlign w:val="bottom"/>
            <w:hideMark/>
          </w:tcPr>
          <w:p w14:paraId="37CFD4E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593</w:t>
            </w:r>
          </w:p>
        </w:tc>
        <w:tc>
          <w:tcPr>
            <w:tcW w:w="1286" w:type="dxa"/>
            <w:tcBorders>
              <w:top w:val="single" w:sz="4" w:space="0" w:color="BFBFBF" w:themeColor="background1" w:themeShade="BF"/>
              <w:bottom w:val="single" w:sz="4" w:space="0" w:color="BFBFBF" w:themeColor="background1" w:themeShade="BF"/>
            </w:tcBorders>
            <w:noWrap/>
            <w:vAlign w:val="bottom"/>
            <w:hideMark/>
          </w:tcPr>
          <w:p w14:paraId="3B27045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599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2DDA14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603</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B819C7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612</w:t>
            </w:r>
          </w:p>
        </w:tc>
        <w:tc>
          <w:tcPr>
            <w:tcW w:w="1558" w:type="dxa"/>
            <w:tcBorders>
              <w:top w:val="single" w:sz="4" w:space="0" w:color="BFBFBF" w:themeColor="background1" w:themeShade="BF"/>
              <w:bottom w:val="single" w:sz="4" w:space="0" w:color="BFBFBF" w:themeColor="background1" w:themeShade="BF"/>
            </w:tcBorders>
            <w:noWrap/>
            <w:vAlign w:val="bottom"/>
            <w:hideMark/>
          </w:tcPr>
          <w:p w14:paraId="665CD32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623</w:t>
            </w:r>
          </w:p>
        </w:tc>
      </w:tr>
      <w:tr w:rsidR="00B846AF" w:rsidRPr="00B846AF" w14:paraId="75E6F658" w14:textId="77777777" w:rsidTr="003D20BB">
        <w:trPr>
          <w:trHeight w:val="315"/>
          <w:jc w:val="center"/>
        </w:trPr>
        <w:tc>
          <w:tcPr>
            <w:tcW w:w="1611" w:type="dxa"/>
            <w:tcBorders>
              <w:top w:val="single" w:sz="4" w:space="0" w:color="BFBFBF" w:themeColor="background1" w:themeShade="BF"/>
            </w:tcBorders>
            <w:noWrap/>
            <w:vAlign w:val="bottom"/>
            <w:hideMark/>
          </w:tcPr>
          <w:p w14:paraId="32F1267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2060</w:t>
            </w:r>
          </w:p>
        </w:tc>
        <w:tc>
          <w:tcPr>
            <w:tcW w:w="918" w:type="dxa"/>
            <w:tcBorders>
              <w:top w:val="single" w:sz="4" w:space="0" w:color="BFBFBF" w:themeColor="background1" w:themeShade="BF"/>
            </w:tcBorders>
            <w:noWrap/>
            <w:vAlign w:val="bottom"/>
            <w:hideMark/>
          </w:tcPr>
          <w:p w14:paraId="685E1BC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630</w:t>
            </w:r>
          </w:p>
        </w:tc>
        <w:tc>
          <w:tcPr>
            <w:tcW w:w="1006" w:type="dxa"/>
            <w:tcBorders>
              <w:top w:val="single" w:sz="4" w:space="0" w:color="BFBFBF" w:themeColor="background1" w:themeShade="BF"/>
            </w:tcBorders>
            <w:noWrap/>
            <w:vAlign w:val="bottom"/>
            <w:hideMark/>
          </w:tcPr>
          <w:p w14:paraId="7D5C1B4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604</w:t>
            </w:r>
          </w:p>
        </w:tc>
        <w:tc>
          <w:tcPr>
            <w:tcW w:w="1286" w:type="dxa"/>
            <w:tcBorders>
              <w:top w:val="single" w:sz="4" w:space="0" w:color="BFBFBF" w:themeColor="background1" w:themeShade="BF"/>
            </w:tcBorders>
            <w:noWrap/>
            <w:vAlign w:val="bottom"/>
            <w:hideMark/>
          </w:tcPr>
          <w:p w14:paraId="51901E6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608</w:t>
            </w:r>
          </w:p>
        </w:tc>
        <w:tc>
          <w:tcPr>
            <w:tcW w:w="1134" w:type="dxa"/>
            <w:tcBorders>
              <w:top w:val="single" w:sz="4" w:space="0" w:color="BFBFBF" w:themeColor="background1" w:themeShade="BF"/>
            </w:tcBorders>
            <w:noWrap/>
            <w:vAlign w:val="bottom"/>
            <w:hideMark/>
          </w:tcPr>
          <w:p w14:paraId="20EC4A7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612</w:t>
            </w:r>
          </w:p>
        </w:tc>
        <w:tc>
          <w:tcPr>
            <w:tcW w:w="1134" w:type="dxa"/>
            <w:tcBorders>
              <w:top w:val="single" w:sz="4" w:space="0" w:color="BFBFBF" w:themeColor="background1" w:themeShade="BF"/>
            </w:tcBorders>
            <w:noWrap/>
            <w:vAlign w:val="bottom"/>
            <w:hideMark/>
          </w:tcPr>
          <w:p w14:paraId="23F25FC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619</w:t>
            </w:r>
          </w:p>
        </w:tc>
        <w:tc>
          <w:tcPr>
            <w:tcW w:w="1558" w:type="dxa"/>
            <w:tcBorders>
              <w:top w:val="single" w:sz="4" w:space="0" w:color="BFBFBF" w:themeColor="background1" w:themeShade="BF"/>
            </w:tcBorders>
            <w:noWrap/>
            <w:vAlign w:val="bottom"/>
            <w:hideMark/>
          </w:tcPr>
          <w:p w14:paraId="2451EC6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628</w:t>
            </w:r>
          </w:p>
        </w:tc>
      </w:tr>
    </w:tbl>
    <w:p w14:paraId="38858063" w14:textId="4C64211B" w:rsidR="00124AF7" w:rsidRDefault="00124AF7" w:rsidP="00B846AF">
      <w:pPr>
        <w:spacing w:line="360" w:lineRule="auto"/>
        <w:jc w:val="both"/>
        <w:rPr>
          <w:rFonts w:ascii="Times New Roman" w:hAnsi="Times New Roman" w:cs="Times New Roman"/>
          <w:highlight w:val="yellow"/>
        </w:rPr>
      </w:pPr>
    </w:p>
    <w:p w14:paraId="3856E7BE" w14:textId="77777777" w:rsidR="00124AF7" w:rsidRDefault="00124AF7">
      <w:pPr>
        <w:rPr>
          <w:rFonts w:ascii="Times New Roman" w:hAnsi="Times New Roman" w:cs="Times New Roman"/>
          <w:highlight w:val="yellow"/>
        </w:rPr>
      </w:pPr>
      <w:r>
        <w:rPr>
          <w:rFonts w:ascii="Times New Roman" w:hAnsi="Times New Roman" w:cs="Times New Roman"/>
          <w:highlight w:val="yellow"/>
        </w:rPr>
        <w:br w:type="page"/>
      </w:r>
    </w:p>
    <w:p w14:paraId="749B1786" w14:textId="0EF03730" w:rsidR="00B846AF" w:rsidRPr="00B846AF" w:rsidRDefault="00B846AF" w:rsidP="00B846AF">
      <w:pPr>
        <w:pStyle w:val="Heading2"/>
        <w:spacing w:line="360" w:lineRule="auto"/>
        <w:jc w:val="both"/>
        <w:rPr>
          <w:rFonts w:ascii="Times New Roman" w:hAnsi="Times New Roman" w:cs="Times New Roman"/>
          <w:color w:val="auto"/>
          <w:sz w:val="24"/>
          <w:szCs w:val="24"/>
        </w:rPr>
      </w:pPr>
      <w:r w:rsidRPr="00124AF7">
        <w:rPr>
          <w:rFonts w:ascii="Times New Roman" w:hAnsi="Times New Roman" w:cs="Times New Roman"/>
          <w:color w:val="auto"/>
          <w:sz w:val="24"/>
          <w:szCs w:val="24"/>
        </w:rPr>
        <w:lastRenderedPageBreak/>
        <w:t>Supplementary Table S</w:t>
      </w:r>
      <w:r w:rsidR="00124AF7" w:rsidRPr="00124AF7">
        <w:rPr>
          <w:rFonts w:ascii="Times New Roman" w:hAnsi="Times New Roman" w:cs="Times New Roman"/>
          <w:color w:val="auto"/>
          <w:sz w:val="24"/>
          <w:szCs w:val="24"/>
        </w:rPr>
        <w:t>8</w:t>
      </w:r>
      <w:r w:rsidRPr="00124AF7">
        <w:rPr>
          <w:rFonts w:ascii="Times New Roman" w:hAnsi="Times New Roman" w:cs="Times New Roman"/>
          <w:color w:val="auto"/>
          <w:sz w:val="24"/>
          <w:szCs w:val="24"/>
        </w:rPr>
        <w:t xml:space="preserve"> | Electricity price of the selected regions</w:t>
      </w:r>
    </w:p>
    <w:tbl>
      <w:tblPr>
        <w:tblW w:w="8070" w:type="dxa"/>
        <w:tblBorders>
          <w:top w:val="single" w:sz="4" w:space="0" w:color="auto"/>
          <w:bottom w:val="single" w:sz="4" w:space="0" w:color="auto"/>
        </w:tblBorders>
        <w:tblLook w:val="04A0" w:firstRow="1" w:lastRow="0" w:firstColumn="1" w:lastColumn="0" w:noHBand="0" w:noVBand="1"/>
      </w:tblPr>
      <w:tblGrid>
        <w:gridCol w:w="1285"/>
        <w:gridCol w:w="1399"/>
        <w:gridCol w:w="992"/>
        <w:gridCol w:w="992"/>
        <w:gridCol w:w="992"/>
        <w:gridCol w:w="1276"/>
        <w:gridCol w:w="1134"/>
      </w:tblGrid>
      <w:tr w:rsidR="00B846AF" w:rsidRPr="00B846AF" w14:paraId="158C2732" w14:textId="77777777" w:rsidTr="00C72B7D">
        <w:trPr>
          <w:trHeight w:val="300"/>
        </w:trPr>
        <w:tc>
          <w:tcPr>
            <w:tcW w:w="8070" w:type="dxa"/>
            <w:gridSpan w:val="7"/>
            <w:tcBorders>
              <w:top w:val="single" w:sz="4" w:space="0" w:color="auto"/>
              <w:bottom w:val="single" w:sz="4" w:space="0" w:color="auto"/>
            </w:tcBorders>
            <w:noWrap/>
            <w:vAlign w:val="bottom"/>
            <w:hideMark/>
          </w:tcPr>
          <w:p w14:paraId="7CE26D68" w14:textId="5FF7C8D6"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xml:space="preserve">Table </w:t>
            </w:r>
            <w:r w:rsidR="001F0CE4">
              <w:rPr>
                <w:rFonts w:ascii="Times New Roman" w:eastAsia="Times New Roman" w:hAnsi="Times New Roman" w:cs="Times New Roman"/>
                <w:kern w:val="0"/>
                <w14:ligatures w14:val="none"/>
              </w:rPr>
              <w:t>S8</w:t>
            </w:r>
            <w:r w:rsidRPr="00B846AF">
              <w:rPr>
                <w:rFonts w:ascii="Times New Roman" w:eastAsia="Times New Roman" w:hAnsi="Times New Roman" w:cs="Times New Roman"/>
                <w:kern w:val="0"/>
                <w14:ligatures w14:val="none"/>
              </w:rPr>
              <w:t>. Electricity price prediction following IAM_SSP2EU-PkBudg500, $</w:t>
            </w:r>
            <w:r w:rsidR="00EB5A1F">
              <w:rPr>
                <w:rFonts w:ascii="Times New Roman" w:eastAsia="Times New Roman" w:hAnsi="Times New Roman" w:cs="Times New Roman"/>
                <w:kern w:val="0"/>
                <w14:ligatures w14:val="none"/>
              </w:rPr>
              <w:t xml:space="preserve"> </w:t>
            </w:r>
            <w:r w:rsidRPr="00B846AF">
              <w:rPr>
                <w:rFonts w:ascii="Times New Roman" w:eastAsia="Times New Roman" w:hAnsi="Times New Roman" w:cs="Times New Roman"/>
                <w:kern w:val="0"/>
                <w14:ligatures w14:val="none"/>
              </w:rPr>
              <w:t>MWh</w:t>
            </w:r>
            <w:r w:rsidR="00EB5A1F" w:rsidRPr="00EB5A1F">
              <w:rPr>
                <w:rFonts w:ascii="Times New Roman" w:eastAsia="Times New Roman" w:hAnsi="Times New Roman" w:cs="Times New Roman"/>
                <w:kern w:val="0"/>
                <w:vertAlign w:val="superscript"/>
                <w14:ligatures w14:val="none"/>
              </w:rPr>
              <w:t>-1</w:t>
            </w:r>
            <w:r w:rsidRPr="00B846AF">
              <w:rPr>
                <w:rFonts w:ascii="Times New Roman" w:eastAsia="Times New Roman" w:hAnsi="Times New Roman" w:cs="Times New Roman"/>
                <w:kern w:val="0"/>
                <w14:ligatures w14:val="none"/>
              </w:rPr>
              <w:t xml:space="preserve"> </w:t>
            </w:r>
          </w:p>
        </w:tc>
      </w:tr>
      <w:tr w:rsidR="00B846AF" w:rsidRPr="00B846AF" w14:paraId="08681A3B" w14:textId="77777777" w:rsidTr="00C72B7D">
        <w:trPr>
          <w:trHeight w:val="300"/>
        </w:trPr>
        <w:tc>
          <w:tcPr>
            <w:tcW w:w="1285" w:type="dxa"/>
            <w:tcBorders>
              <w:top w:val="single" w:sz="4" w:space="0" w:color="auto"/>
              <w:bottom w:val="single" w:sz="4" w:space="0" w:color="BFBFBF" w:themeColor="background1" w:themeShade="BF"/>
            </w:tcBorders>
            <w:noWrap/>
            <w:vAlign w:val="center"/>
            <w:hideMark/>
          </w:tcPr>
          <w:p w14:paraId="3CC858B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year</w:t>
            </w:r>
          </w:p>
        </w:tc>
        <w:tc>
          <w:tcPr>
            <w:tcW w:w="1399" w:type="dxa"/>
            <w:tcBorders>
              <w:top w:val="single" w:sz="4" w:space="0" w:color="auto"/>
              <w:bottom w:val="single" w:sz="4" w:space="0" w:color="BFBFBF" w:themeColor="background1" w:themeShade="BF"/>
            </w:tcBorders>
            <w:noWrap/>
            <w:vAlign w:val="bottom"/>
            <w:hideMark/>
          </w:tcPr>
          <w:p w14:paraId="6D0157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CAZ</w:t>
            </w:r>
          </w:p>
        </w:tc>
        <w:tc>
          <w:tcPr>
            <w:tcW w:w="992" w:type="dxa"/>
            <w:tcBorders>
              <w:top w:val="single" w:sz="4" w:space="0" w:color="auto"/>
              <w:bottom w:val="single" w:sz="4" w:space="0" w:color="BFBFBF" w:themeColor="background1" w:themeShade="BF"/>
            </w:tcBorders>
            <w:noWrap/>
            <w:vAlign w:val="bottom"/>
            <w:hideMark/>
          </w:tcPr>
          <w:p w14:paraId="6798DB5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SA</w:t>
            </w:r>
          </w:p>
        </w:tc>
        <w:tc>
          <w:tcPr>
            <w:tcW w:w="992" w:type="dxa"/>
            <w:tcBorders>
              <w:top w:val="single" w:sz="4" w:space="0" w:color="auto"/>
              <w:bottom w:val="single" w:sz="4" w:space="0" w:color="BFBFBF" w:themeColor="background1" w:themeShade="BF"/>
            </w:tcBorders>
            <w:noWrap/>
            <w:vAlign w:val="bottom"/>
            <w:hideMark/>
          </w:tcPr>
          <w:p w14:paraId="6E22E05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EA</w:t>
            </w:r>
          </w:p>
        </w:tc>
        <w:tc>
          <w:tcPr>
            <w:tcW w:w="992" w:type="dxa"/>
            <w:tcBorders>
              <w:top w:val="single" w:sz="4" w:space="0" w:color="auto"/>
              <w:bottom w:val="single" w:sz="4" w:space="0" w:color="BFBFBF" w:themeColor="background1" w:themeShade="BF"/>
            </w:tcBorders>
            <w:noWrap/>
            <w:vAlign w:val="bottom"/>
            <w:hideMark/>
          </w:tcPr>
          <w:p w14:paraId="4B050D4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CSA</w:t>
            </w:r>
          </w:p>
        </w:tc>
        <w:tc>
          <w:tcPr>
            <w:tcW w:w="1276" w:type="dxa"/>
            <w:tcBorders>
              <w:top w:val="single" w:sz="4" w:space="0" w:color="auto"/>
              <w:bottom w:val="single" w:sz="4" w:space="0" w:color="BFBFBF" w:themeColor="background1" w:themeShade="BF"/>
            </w:tcBorders>
            <w:noWrap/>
            <w:vAlign w:val="bottom"/>
            <w:hideMark/>
          </w:tcPr>
          <w:p w14:paraId="1BDAFB9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RUS</w:t>
            </w:r>
          </w:p>
        </w:tc>
        <w:tc>
          <w:tcPr>
            <w:tcW w:w="1134" w:type="dxa"/>
            <w:tcBorders>
              <w:top w:val="single" w:sz="4" w:space="0" w:color="auto"/>
              <w:bottom w:val="single" w:sz="4" w:space="0" w:color="BFBFBF" w:themeColor="background1" w:themeShade="BF"/>
            </w:tcBorders>
            <w:noWrap/>
            <w:vAlign w:val="bottom"/>
            <w:hideMark/>
          </w:tcPr>
          <w:p w14:paraId="3AF29C6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EUR</w:t>
            </w:r>
          </w:p>
        </w:tc>
      </w:tr>
      <w:tr w:rsidR="00B846AF" w:rsidRPr="00B846AF" w14:paraId="7FCF0F0C"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1CC2FCF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2024</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7F70282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0CC28EB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1EE9848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43</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F8D1F0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63EC4B6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B156BA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w:t>
            </w:r>
          </w:p>
        </w:tc>
      </w:tr>
      <w:tr w:rsidR="00B846AF" w:rsidRPr="00B846AF" w14:paraId="47FB8F52"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4581407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2025</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0A92C78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BFC9B7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4E625B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46</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C428BE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4FFD879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36</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C46822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56</w:t>
            </w:r>
          </w:p>
        </w:tc>
      </w:tr>
      <w:tr w:rsidR="00B846AF" w:rsidRPr="00B846AF" w14:paraId="42B1E7A9"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18B61A6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2026</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1D1EA9B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C60DCD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B041EE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18219F9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5CF4357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FB3759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55</w:t>
            </w:r>
          </w:p>
        </w:tc>
      </w:tr>
      <w:tr w:rsidR="00B846AF" w:rsidRPr="00B846AF" w14:paraId="5B03300A"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3E1109C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2027</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2EB0C06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4DD30B1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45D1DA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346DD7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00AB039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3BB6485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55</w:t>
            </w:r>
          </w:p>
        </w:tc>
      </w:tr>
      <w:tr w:rsidR="00B846AF" w:rsidRPr="00B846AF" w14:paraId="2A09D0E1"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2456D88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2028</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32BDBEA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46</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44735E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AEBABB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E2792A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3F31DE3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726E41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55</w:t>
            </w:r>
          </w:p>
        </w:tc>
      </w:tr>
      <w:tr w:rsidR="00B846AF" w:rsidRPr="00B846AF" w14:paraId="77F2723D"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559EFEF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2029</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4FA7F82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45</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9E9149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DC7C5C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3FC983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3C67BC1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43</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2A67C1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54</w:t>
            </w:r>
          </w:p>
        </w:tc>
      </w:tr>
      <w:tr w:rsidR="00B846AF" w:rsidRPr="00B846AF" w14:paraId="74A85312"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2B1574E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2030</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7132038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44</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6BD39F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42</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4464908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108FA1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306FDC1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45</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E5A2E2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54</w:t>
            </w:r>
          </w:p>
        </w:tc>
      </w:tr>
      <w:tr w:rsidR="00B846AF" w:rsidRPr="00B846AF" w14:paraId="2462EC33"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7887C46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2031</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0B85E4B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42</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AA3A60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325562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51</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A67CAF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6AE1948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43</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B0B1CF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w:t>
            </w:r>
          </w:p>
        </w:tc>
      </w:tr>
      <w:tr w:rsidR="00B846AF" w:rsidRPr="00B846AF" w14:paraId="51DB0BB3"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020C2A7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2032</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27C6953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085815D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64B7B7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08CBE58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11309A4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42</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09C28E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w:t>
            </w:r>
          </w:p>
        </w:tc>
      </w:tr>
      <w:tr w:rsidR="00B846AF" w:rsidRPr="00B846AF" w14:paraId="120C4A78"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5B5CB8A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2033</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0F25BF3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6251F7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4935999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852CD0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0B90CA8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CB68B5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w:t>
            </w:r>
          </w:p>
        </w:tc>
      </w:tr>
      <w:tr w:rsidR="00B846AF" w:rsidRPr="00B846AF" w14:paraId="1D7198F7"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7C91AA7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2034</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7B45A55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9E5F70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464235A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45</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510783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13E1CE0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58AA6F0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46</w:t>
            </w:r>
          </w:p>
        </w:tc>
      </w:tr>
      <w:tr w:rsidR="00B846AF" w:rsidRPr="00B846AF" w14:paraId="6A084E4F"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2A05EB2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2035</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401B5CE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4C8286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DC264B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43</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59D7E3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65FEF7D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177BFD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44</w:t>
            </w:r>
          </w:p>
        </w:tc>
      </w:tr>
      <w:tr w:rsidR="00B846AF" w:rsidRPr="00B846AF" w14:paraId="01A86BC2"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5BB1226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2036</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3582092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34</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58A63CC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C7600F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56110FA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67924B6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26401D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44</w:t>
            </w:r>
          </w:p>
        </w:tc>
      </w:tr>
      <w:tr w:rsidR="00B846AF" w:rsidRPr="00B846AF" w14:paraId="292D0775"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353A975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2037</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23CBCDD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5CA4F7D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FC54B9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0EF286E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092EF11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8E4B62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43</w:t>
            </w:r>
          </w:p>
        </w:tc>
      </w:tr>
      <w:tr w:rsidR="00B846AF" w:rsidRPr="00B846AF" w14:paraId="1DF58814"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3F83CEB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2038</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3E9D6F8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8CCB1B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36</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1FC97B6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0F8F65A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0B3A6AB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34</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5B1DB6A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42</w:t>
            </w:r>
          </w:p>
        </w:tc>
      </w:tr>
      <w:tr w:rsidR="00B846AF" w:rsidRPr="00B846AF" w14:paraId="25FB45CB"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6F72257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2039</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0913CA3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5740F87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34</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289DE2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E1D4D7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3531EEC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57A3122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w:t>
            </w:r>
          </w:p>
        </w:tc>
      </w:tr>
      <w:tr w:rsidR="00B846AF" w:rsidRPr="00B846AF" w14:paraId="06928605"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33B1535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2040</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34D7EFB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5B147D5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C19A3D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33</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EAE2C4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3AE608E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25F0164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40</w:t>
            </w:r>
          </w:p>
        </w:tc>
      </w:tr>
      <w:tr w:rsidR="00B846AF" w:rsidRPr="00B846AF" w14:paraId="167A721F" w14:textId="77777777" w:rsidTr="00C72B7D">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3E2C2F7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2041</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4025537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3003D1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B34B06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5F5FAAB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742620B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5C15F8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r>
      <w:tr w:rsidR="00B846AF" w:rsidRPr="00B846AF" w14:paraId="11D4C244"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7278CC0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2042</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1F380E4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448946D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1704A2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BDA7B8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77C212C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6B575E9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r>
      <w:tr w:rsidR="00B846AF" w:rsidRPr="00B846AF" w14:paraId="5424409C"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2A2D647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2043</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2A74518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4B6833C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798538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9C95F4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2D57E1C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F7E879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38</w:t>
            </w:r>
          </w:p>
        </w:tc>
      </w:tr>
      <w:tr w:rsidR="00B846AF" w:rsidRPr="00B846AF" w14:paraId="01611684"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0DCF869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2044</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6D6A907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C340D2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3E868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60F3AC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714F7BF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154E85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38</w:t>
            </w:r>
          </w:p>
        </w:tc>
      </w:tr>
      <w:tr w:rsidR="00B846AF" w:rsidRPr="00B846AF" w14:paraId="53B98FC1"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04A9641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2045</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7171077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183942E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7C84F2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0A90ECE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74DCFEB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5D2446B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r>
      <w:tr w:rsidR="00B846AF" w:rsidRPr="00B846AF" w14:paraId="4FF3226F"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10CCBE9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2046</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19B7D09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BCAEE4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322F79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1F80929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2283F90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3BF5636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r>
      <w:tr w:rsidR="00B846AF" w:rsidRPr="00B846AF" w14:paraId="76044922"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3D7CE91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2047</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7C081A3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5DE25C3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4FF77DD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4A4A51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1B5E050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0F299D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r>
      <w:tr w:rsidR="00B846AF" w:rsidRPr="00B846AF" w14:paraId="501DAF86"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1D76858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2048</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66EC774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18A9FC8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4C4A617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5C89436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18EBC35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27B1192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r>
      <w:tr w:rsidR="00B846AF" w:rsidRPr="00B846AF" w14:paraId="7BE65F36"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1DE38BC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2049</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3D766B4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02FE1A5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94496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0760D0D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28386E5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7ED0BB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r>
      <w:tr w:rsidR="00B846AF" w:rsidRPr="00B846AF" w14:paraId="3D28A005"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4FDF999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2050</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50153E1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59FC676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4316B85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59AB0C7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12092A4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4A8073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w:t>
            </w:r>
          </w:p>
        </w:tc>
      </w:tr>
      <w:tr w:rsidR="00B846AF" w:rsidRPr="00B846AF" w14:paraId="5A38E0CB"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5A8FA2A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2051</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535FBB6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1AA55D5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54FAEDA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97B329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464FF94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051A3A3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38</w:t>
            </w:r>
          </w:p>
        </w:tc>
      </w:tr>
      <w:tr w:rsidR="00B846AF" w:rsidRPr="00B846AF" w14:paraId="6CD05E2D"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5314B32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lastRenderedPageBreak/>
              <w:t>2052</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5C2985C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FFD2BD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E885C3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00471D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4354B6F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23FAEFD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38</w:t>
            </w:r>
          </w:p>
        </w:tc>
      </w:tr>
      <w:tr w:rsidR="00B846AF" w:rsidRPr="00B846AF" w14:paraId="273C5582"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10B9D85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2053</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44AD3BF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44E2AC6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46FCC94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AC37FA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69057DC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2B790D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38</w:t>
            </w:r>
          </w:p>
        </w:tc>
      </w:tr>
      <w:tr w:rsidR="00B846AF" w:rsidRPr="00B846AF" w14:paraId="1C8D8B55"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50A9280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2054</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0472740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5DA33A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0EFCFC0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1A5CF79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7B929F3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2F3C30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r>
      <w:tr w:rsidR="00B846AF" w:rsidRPr="00B846AF" w14:paraId="660A4804"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7D2700A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2055</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5C5149D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58B372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8CF3F1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01B4152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749B0FD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7BBB932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r>
      <w:tr w:rsidR="00B846AF" w:rsidRPr="00B846AF" w14:paraId="5D1CF206"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3379A87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2056</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5D41472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C53A68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027FFC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98B54D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3143CC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111B3DC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r>
      <w:tr w:rsidR="00B846AF" w:rsidRPr="00B846AF" w14:paraId="6113E7D6"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3A7DB30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2057</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034943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CC15EA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115A0E0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46D92B1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1455DCB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3D00C1B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r>
      <w:tr w:rsidR="00B846AF" w:rsidRPr="00B846AF" w14:paraId="4F27F80B"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53B1E79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2058</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6B0E667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27CEE0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2DC4F28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77996A1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53885CB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31596FE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r>
      <w:tr w:rsidR="00B846AF" w:rsidRPr="00B846AF" w14:paraId="171B6981" w14:textId="77777777" w:rsidTr="000F2938">
        <w:trPr>
          <w:trHeight w:val="300"/>
        </w:trPr>
        <w:tc>
          <w:tcPr>
            <w:tcW w:w="1285" w:type="dxa"/>
            <w:tcBorders>
              <w:top w:val="single" w:sz="4" w:space="0" w:color="BFBFBF" w:themeColor="background1" w:themeShade="BF"/>
              <w:bottom w:val="single" w:sz="4" w:space="0" w:color="BFBFBF" w:themeColor="background1" w:themeShade="BF"/>
            </w:tcBorders>
            <w:noWrap/>
            <w:vAlign w:val="bottom"/>
            <w:hideMark/>
          </w:tcPr>
          <w:p w14:paraId="4B639E2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2059</w:t>
            </w:r>
          </w:p>
        </w:tc>
        <w:tc>
          <w:tcPr>
            <w:tcW w:w="1399" w:type="dxa"/>
            <w:tcBorders>
              <w:top w:val="single" w:sz="4" w:space="0" w:color="BFBFBF" w:themeColor="background1" w:themeShade="BF"/>
              <w:bottom w:val="single" w:sz="4" w:space="0" w:color="BFBFBF" w:themeColor="background1" w:themeShade="BF"/>
            </w:tcBorders>
            <w:noWrap/>
            <w:vAlign w:val="bottom"/>
            <w:hideMark/>
          </w:tcPr>
          <w:p w14:paraId="47B6338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33E480B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02AB3D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92" w:type="dxa"/>
            <w:tcBorders>
              <w:top w:val="single" w:sz="4" w:space="0" w:color="BFBFBF" w:themeColor="background1" w:themeShade="BF"/>
              <w:bottom w:val="single" w:sz="4" w:space="0" w:color="BFBFBF" w:themeColor="background1" w:themeShade="BF"/>
            </w:tcBorders>
            <w:noWrap/>
            <w:vAlign w:val="bottom"/>
            <w:hideMark/>
          </w:tcPr>
          <w:p w14:paraId="6141096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276" w:type="dxa"/>
            <w:tcBorders>
              <w:top w:val="single" w:sz="4" w:space="0" w:color="BFBFBF" w:themeColor="background1" w:themeShade="BF"/>
              <w:bottom w:val="single" w:sz="4" w:space="0" w:color="BFBFBF" w:themeColor="background1" w:themeShade="BF"/>
            </w:tcBorders>
            <w:noWrap/>
            <w:vAlign w:val="bottom"/>
            <w:hideMark/>
          </w:tcPr>
          <w:p w14:paraId="1712A24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1134" w:type="dxa"/>
            <w:tcBorders>
              <w:top w:val="single" w:sz="4" w:space="0" w:color="BFBFBF" w:themeColor="background1" w:themeShade="BF"/>
              <w:bottom w:val="single" w:sz="4" w:space="0" w:color="BFBFBF" w:themeColor="background1" w:themeShade="BF"/>
            </w:tcBorders>
            <w:noWrap/>
            <w:vAlign w:val="bottom"/>
            <w:hideMark/>
          </w:tcPr>
          <w:p w14:paraId="40E7C91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r>
      <w:tr w:rsidR="00B846AF" w:rsidRPr="00B846AF" w14:paraId="7EA9D5C8" w14:textId="77777777" w:rsidTr="000F2938">
        <w:trPr>
          <w:trHeight w:val="315"/>
        </w:trPr>
        <w:tc>
          <w:tcPr>
            <w:tcW w:w="1285" w:type="dxa"/>
            <w:tcBorders>
              <w:top w:val="single" w:sz="4" w:space="0" w:color="BFBFBF" w:themeColor="background1" w:themeShade="BF"/>
            </w:tcBorders>
            <w:noWrap/>
            <w:vAlign w:val="bottom"/>
            <w:hideMark/>
          </w:tcPr>
          <w:p w14:paraId="11AB390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2060</w:t>
            </w:r>
          </w:p>
        </w:tc>
        <w:tc>
          <w:tcPr>
            <w:tcW w:w="1399" w:type="dxa"/>
            <w:tcBorders>
              <w:top w:val="single" w:sz="4" w:space="0" w:color="BFBFBF" w:themeColor="background1" w:themeShade="BF"/>
            </w:tcBorders>
            <w:noWrap/>
            <w:vAlign w:val="bottom"/>
            <w:hideMark/>
          </w:tcPr>
          <w:p w14:paraId="70B7A01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w:t>
            </w:r>
          </w:p>
        </w:tc>
        <w:tc>
          <w:tcPr>
            <w:tcW w:w="992" w:type="dxa"/>
            <w:tcBorders>
              <w:top w:val="single" w:sz="4" w:space="0" w:color="BFBFBF" w:themeColor="background1" w:themeShade="BF"/>
            </w:tcBorders>
            <w:noWrap/>
            <w:vAlign w:val="bottom"/>
            <w:hideMark/>
          </w:tcPr>
          <w:p w14:paraId="4F85E82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992" w:type="dxa"/>
            <w:tcBorders>
              <w:top w:val="single" w:sz="4" w:space="0" w:color="BFBFBF" w:themeColor="background1" w:themeShade="BF"/>
            </w:tcBorders>
            <w:noWrap/>
            <w:vAlign w:val="bottom"/>
            <w:hideMark/>
          </w:tcPr>
          <w:p w14:paraId="5F26F60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w:t>
            </w:r>
          </w:p>
        </w:tc>
        <w:tc>
          <w:tcPr>
            <w:tcW w:w="992" w:type="dxa"/>
            <w:tcBorders>
              <w:top w:val="single" w:sz="4" w:space="0" w:color="BFBFBF" w:themeColor="background1" w:themeShade="BF"/>
            </w:tcBorders>
            <w:noWrap/>
            <w:vAlign w:val="bottom"/>
            <w:hideMark/>
          </w:tcPr>
          <w:p w14:paraId="74B8712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w:t>
            </w:r>
          </w:p>
        </w:tc>
        <w:tc>
          <w:tcPr>
            <w:tcW w:w="1276" w:type="dxa"/>
            <w:tcBorders>
              <w:top w:val="single" w:sz="4" w:space="0" w:color="BFBFBF" w:themeColor="background1" w:themeShade="BF"/>
            </w:tcBorders>
            <w:noWrap/>
            <w:vAlign w:val="bottom"/>
            <w:hideMark/>
          </w:tcPr>
          <w:p w14:paraId="62DA01D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w:t>
            </w:r>
          </w:p>
        </w:tc>
        <w:tc>
          <w:tcPr>
            <w:tcW w:w="1134" w:type="dxa"/>
            <w:tcBorders>
              <w:top w:val="single" w:sz="4" w:space="0" w:color="BFBFBF" w:themeColor="background1" w:themeShade="BF"/>
            </w:tcBorders>
            <w:noWrap/>
            <w:vAlign w:val="bottom"/>
            <w:hideMark/>
          </w:tcPr>
          <w:p w14:paraId="60858E1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r>
    </w:tbl>
    <w:p w14:paraId="25B2F624" w14:textId="77777777" w:rsidR="008E7559" w:rsidRDefault="008E7559" w:rsidP="002335B9">
      <w:pPr>
        <w:rPr>
          <w:rFonts w:ascii="Times New Roman" w:hAnsi="Times New Roman" w:cs="Times New Roman"/>
          <w:highlight w:val="yellow"/>
        </w:rPr>
      </w:pPr>
    </w:p>
    <w:p w14:paraId="668DB2EA" w14:textId="77777777" w:rsidR="008E7559" w:rsidRDefault="008E7559">
      <w:pPr>
        <w:rPr>
          <w:rFonts w:ascii="Times New Roman" w:eastAsiaTheme="majorEastAsia" w:hAnsi="Times New Roman" w:cs="Times New Roman"/>
          <w:highlight w:val="yellow"/>
        </w:rPr>
      </w:pPr>
      <w:r>
        <w:rPr>
          <w:rFonts w:ascii="Times New Roman" w:hAnsi="Times New Roman" w:cs="Times New Roman"/>
          <w:highlight w:val="yellow"/>
        </w:rPr>
        <w:br w:type="page"/>
      </w:r>
    </w:p>
    <w:p w14:paraId="547B6566" w14:textId="0C99855B" w:rsidR="00B846AF" w:rsidRPr="00B846AF" w:rsidRDefault="00B846AF" w:rsidP="00B846AF">
      <w:pPr>
        <w:pStyle w:val="Heading2"/>
        <w:spacing w:line="360" w:lineRule="auto"/>
        <w:jc w:val="both"/>
        <w:rPr>
          <w:rFonts w:ascii="Times New Roman" w:hAnsi="Times New Roman" w:cs="Times New Roman"/>
          <w:color w:val="auto"/>
          <w:sz w:val="24"/>
          <w:szCs w:val="24"/>
        </w:rPr>
      </w:pPr>
      <w:r w:rsidRPr="008E7559">
        <w:rPr>
          <w:rFonts w:ascii="Times New Roman" w:hAnsi="Times New Roman" w:cs="Times New Roman"/>
          <w:color w:val="auto"/>
          <w:sz w:val="24"/>
          <w:szCs w:val="24"/>
        </w:rPr>
        <w:lastRenderedPageBreak/>
        <w:t>Supplementary Table S</w:t>
      </w:r>
      <w:r w:rsidR="008E7559" w:rsidRPr="008E7559">
        <w:rPr>
          <w:rFonts w:ascii="Times New Roman" w:hAnsi="Times New Roman" w:cs="Times New Roman"/>
          <w:color w:val="auto"/>
          <w:sz w:val="24"/>
          <w:szCs w:val="24"/>
        </w:rPr>
        <w:t>9</w:t>
      </w:r>
      <w:r w:rsidRPr="008E7559">
        <w:rPr>
          <w:rFonts w:ascii="Times New Roman" w:hAnsi="Times New Roman" w:cs="Times New Roman"/>
          <w:color w:val="auto"/>
          <w:sz w:val="24"/>
          <w:szCs w:val="24"/>
        </w:rPr>
        <w:t xml:space="preserve"> | Electricity generation capacity of the selected regions</w:t>
      </w:r>
    </w:p>
    <w:tbl>
      <w:tblPr>
        <w:tblW w:w="8681" w:type="dxa"/>
        <w:tblBorders>
          <w:top w:val="single" w:sz="4" w:space="0" w:color="auto"/>
          <w:bottom w:val="single" w:sz="4" w:space="0" w:color="auto"/>
        </w:tblBorders>
        <w:tblLook w:val="04A0" w:firstRow="1" w:lastRow="0" w:firstColumn="1" w:lastColumn="0" w:noHBand="0" w:noVBand="1"/>
      </w:tblPr>
      <w:tblGrid>
        <w:gridCol w:w="1120"/>
        <w:gridCol w:w="868"/>
        <w:gridCol w:w="972"/>
        <w:gridCol w:w="972"/>
        <w:gridCol w:w="972"/>
        <w:gridCol w:w="902"/>
        <w:gridCol w:w="2875"/>
      </w:tblGrid>
      <w:tr w:rsidR="00B846AF" w:rsidRPr="00B846AF" w14:paraId="698819A4" w14:textId="77777777" w:rsidTr="00224614">
        <w:trPr>
          <w:trHeight w:val="300"/>
        </w:trPr>
        <w:tc>
          <w:tcPr>
            <w:tcW w:w="8681" w:type="dxa"/>
            <w:gridSpan w:val="7"/>
            <w:tcBorders>
              <w:top w:val="single" w:sz="4" w:space="0" w:color="auto"/>
              <w:bottom w:val="single" w:sz="4" w:space="0" w:color="auto"/>
            </w:tcBorders>
            <w:noWrap/>
            <w:vAlign w:val="bottom"/>
            <w:hideMark/>
          </w:tcPr>
          <w:p w14:paraId="1CEDCAC1" w14:textId="70798A60" w:rsidR="00B846AF" w:rsidRPr="00B846AF" w:rsidRDefault="0040186A"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 xml:space="preserve">Table </w:t>
            </w:r>
            <w:r>
              <w:rPr>
                <w:rFonts w:ascii="Times New Roman" w:eastAsia="Times New Roman" w:hAnsi="Times New Roman" w:cs="Times New Roman"/>
                <w:kern w:val="0"/>
                <w14:ligatures w14:val="none"/>
              </w:rPr>
              <w:t>S9</w:t>
            </w:r>
            <w:r w:rsidRPr="00B846AF">
              <w:rPr>
                <w:rFonts w:ascii="Times New Roman" w:eastAsia="Times New Roman" w:hAnsi="Times New Roman" w:cs="Times New Roman"/>
                <w:kern w:val="0"/>
                <w14:ligatures w14:val="none"/>
              </w:rPr>
              <w:t xml:space="preserve">. </w:t>
            </w:r>
            <w:r w:rsidR="00B846AF" w:rsidRPr="00B846AF">
              <w:rPr>
                <w:rFonts w:ascii="Times New Roman" w:eastAsia="Times New Roman" w:hAnsi="Times New Roman" w:cs="Times New Roman"/>
                <w:kern w:val="0"/>
                <w14:ligatures w14:val="none"/>
              </w:rPr>
              <w:t xml:space="preserve">Electricity generation capacity prediction following IAM_SSP2EU-PkBudg500, </w:t>
            </w:r>
            <w:proofErr w:type="spellStart"/>
            <w:r w:rsidR="00B846AF" w:rsidRPr="00B846AF">
              <w:rPr>
                <w:rFonts w:ascii="Times New Roman" w:eastAsia="Times New Roman" w:hAnsi="Times New Roman" w:cs="Times New Roman"/>
                <w:kern w:val="0"/>
                <w14:ligatures w14:val="none"/>
              </w:rPr>
              <w:t>Ej</w:t>
            </w:r>
            <w:proofErr w:type="spellEnd"/>
            <w:r w:rsidR="0034199D">
              <w:rPr>
                <w:rFonts w:ascii="Times New Roman" w:eastAsia="Times New Roman" w:hAnsi="Times New Roman" w:cs="Times New Roman"/>
                <w:kern w:val="0"/>
                <w14:ligatures w14:val="none"/>
              </w:rPr>
              <w:t xml:space="preserve"> </w:t>
            </w:r>
            <w:r w:rsidR="00B846AF" w:rsidRPr="00B846AF">
              <w:rPr>
                <w:rFonts w:ascii="Times New Roman" w:eastAsia="Times New Roman" w:hAnsi="Times New Roman" w:cs="Times New Roman"/>
                <w:kern w:val="0"/>
                <w14:ligatures w14:val="none"/>
              </w:rPr>
              <w:t>year</w:t>
            </w:r>
            <w:r w:rsidR="0034199D" w:rsidRPr="0034199D">
              <w:rPr>
                <w:rFonts w:ascii="Times New Roman" w:eastAsia="Times New Roman" w:hAnsi="Times New Roman" w:cs="Times New Roman"/>
                <w:kern w:val="0"/>
                <w:vertAlign w:val="superscript"/>
                <w14:ligatures w14:val="none"/>
              </w:rPr>
              <w:t>-1</w:t>
            </w:r>
            <w:r w:rsidR="00B846AF" w:rsidRPr="00B846AF">
              <w:rPr>
                <w:rFonts w:ascii="Times New Roman" w:eastAsia="Times New Roman" w:hAnsi="Times New Roman" w:cs="Times New Roman"/>
                <w:kern w:val="0"/>
                <w14:ligatures w14:val="none"/>
              </w:rPr>
              <w:t xml:space="preserve"> </w:t>
            </w:r>
          </w:p>
        </w:tc>
      </w:tr>
      <w:tr w:rsidR="00B846AF" w:rsidRPr="00B846AF" w14:paraId="5F2CBB88" w14:textId="77777777" w:rsidTr="00224614">
        <w:trPr>
          <w:trHeight w:val="300"/>
        </w:trPr>
        <w:tc>
          <w:tcPr>
            <w:tcW w:w="1120" w:type="dxa"/>
            <w:tcBorders>
              <w:top w:val="single" w:sz="4" w:space="0" w:color="auto"/>
              <w:bottom w:val="single" w:sz="4" w:space="0" w:color="BFBFBF" w:themeColor="background1" w:themeShade="BF"/>
            </w:tcBorders>
            <w:noWrap/>
            <w:vAlign w:val="bottom"/>
            <w:hideMark/>
          </w:tcPr>
          <w:p w14:paraId="254C860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year</w:t>
            </w:r>
          </w:p>
        </w:tc>
        <w:tc>
          <w:tcPr>
            <w:tcW w:w="868" w:type="dxa"/>
            <w:tcBorders>
              <w:top w:val="single" w:sz="4" w:space="0" w:color="auto"/>
              <w:bottom w:val="single" w:sz="4" w:space="0" w:color="BFBFBF" w:themeColor="background1" w:themeShade="BF"/>
            </w:tcBorders>
            <w:noWrap/>
            <w:vAlign w:val="bottom"/>
            <w:hideMark/>
          </w:tcPr>
          <w:p w14:paraId="03BE0E5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CAZ</w:t>
            </w:r>
          </w:p>
        </w:tc>
        <w:tc>
          <w:tcPr>
            <w:tcW w:w="972" w:type="dxa"/>
            <w:tcBorders>
              <w:top w:val="single" w:sz="4" w:space="0" w:color="auto"/>
              <w:bottom w:val="single" w:sz="4" w:space="0" w:color="BFBFBF" w:themeColor="background1" w:themeShade="BF"/>
            </w:tcBorders>
            <w:noWrap/>
            <w:vAlign w:val="bottom"/>
            <w:hideMark/>
          </w:tcPr>
          <w:p w14:paraId="2D38CCA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SA</w:t>
            </w:r>
          </w:p>
        </w:tc>
        <w:tc>
          <w:tcPr>
            <w:tcW w:w="972" w:type="dxa"/>
            <w:tcBorders>
              <w:top w:val="single" w:sz="4" w:space="0" w:color="auto"/>
              <w:bottom w:val="single" w:sz="4" w:space="0" w:color="BFBFBF" w:themeColor="background1" w:themeShade="BF"/>
            </w:tcBorders>
            <w:noWrap/>
            <w:vAlign w:val="bottom"/>
            <w:hideMark/>
          </w:tcPr>
          <w:p w14:paraId="770F696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EA</w:t>
            </w:r>
          </w:p>
        </w:tc>
        <w:tc>
          <w:tcPr>
            <w:tcW w:w="972" w:type="dxa"/>
            <w:tcBorders>
              <w:top w:val="single" w:sz="4" w:space="0" w:color="auto"/>
              <w:bottom w:val="single" w:sz="4" w:space="0" w:color="BFBFBF" w:themeColor="background1" w:themeShade="BF"/>
            </w:tcBorders>
            <w:noWrap/>
            <w:vAlign w:val="bottom"/>
            <w:hideMark/>
          </w:tcPr>
          <w:p w14:paraId="254C36C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CSA</w:t>
            </w:r>
          </w:p>
        </w:tc>
        <w:tc>
          <w:tcPr>
            <w:tcW w:w="902" w:type="dxa"/>
            <w:tcBorders>
              <w:top w:val="single" w:sz="4" w:space="0" w:color="auto"/>
              <w:bottom w:val="single" w:sz="4" w:space="0" w:color="BFBFBF" w:themeColor="background1" w:themeShade="BF"/>
            </w:tcBorders>
            <w:noWrap/>
            <w:vAlign w:val="bottom"/>
            <w:hideMark/>
          </w:tcPr>
          <w:p w14:paraId="77DDD1A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RUS</w:t>
            </w:r>
          </w:p>
        </w:tc>
        <w:tc>
          <w:tcPr>
            <w:tcW w:w="2875" w:type="dxa"/>
            <w:tcBorders>
              <w:top w:val="single" w:sz="4" w:space="0" w:color="auto"/>
              <w:bottom w:val="single" w:sz="4" w:space="0" w:color="BFBFBF" w:themeColor="background1" w:themeShade="BF"/>
            </w:tcBorders>
            <w:noWrap/>
            <w:vAlign w:val="bottom"/>
            <w:hideMark/>
          </w:tcPr>
          <w:p w14:paraId="13C09BF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EUR</w:t>
            </w:r>
          </w:p>
        </w:tc>
      </w:tr>
      <w:tr w:rsidR="00B846AF" w:rsidRPr="00B846AF" w14:paraId="4F90B280"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522337F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2024</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2C268CE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5DF7ED5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0B589BF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16319A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5.7</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31DC293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6625B4A9" w14:textId="518DC22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w:t>
            </w:r>
            <w:r w:rsidR="004705A3">
              <w:rPr>
                <w:rFonts w:ascii="Times New Roman" w:eastAsia="Times New Roman" w:hAnsi="Times New Roman" w:cs="Times New Roman"/>
                <w:kern w:val="0"/>
                <w14:ligatures w14:val="none"/>
              </w:rPr>
              <w:t>3</w:t>
            </w:r>
          </w:p>
        </w:tc>
      </w:tr>
      <w:tr w:rsidR="00B846AF" w:rsidRPr="00B846AF" w14:paraId="3DE18C4D"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7D1CC30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2025</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5373887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2460BE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4426C6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8.3</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344EDE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5.8</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26678BE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6D6E5C8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12.4</w:t>
            </w:r>
          </w:p>
        </w:tc>
      </w:tr>
      <w:tr w:rsidR="00B846AF" w:rsidRPr="00B846AF" w14:paraId="18AC3703"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10D0423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2026</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2088DC1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3.4</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3D7073B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E13012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9.0</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5A20035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6.3</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192C259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4DAA488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12.8</w:t>
            </w:r>
          </w:p>
        </w:tc>
      </w:tr>
      <w:tr w:rsidR="00B846AF" w:rsidRPr="00B846AF" w14:paraId="114A4E85"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21C71FC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2027</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6F1A8C7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88B075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38A5A6A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9.7</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5F6BC1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6.8</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259AA86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393A6BE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13.2</w:t>
            </w:r>
          </w:p>
        </w:tc>
      </w:tr>
      <w:tr w:rsidR="00B846AF" w:rsidRPr="00B846AF" w14:paraId="4714459D"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6AB2F05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2028</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6DBC653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F84071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3710A6A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10.4</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4D5BEB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7.3</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670243D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5CF1E61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13.6</w:t>
            </w:r>
          </w:p>
        </w:tc>
      </w:tr>
      <w:tr w:rsidR="00B846AF" w:rsidRPr="00B846AF" w14:paraId="7CD8AA96"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6FBF624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2029</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1C2A8AF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3.8</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7214CA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3860A8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11.1</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084F3D9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7.8</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62FB253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57D0B5B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14.0</w:t>
            </w:r>
          </w:p>
        </w:tc>
      </w:tr>
      <w:tr w:rsidR="00B846AF" w:rsidRPr="00B846AF" w14:paraId="0EAF98D3"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1F152CA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2030</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0A5F261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F44F9E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433D99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11.8</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42EC15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8.3</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30BBA70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2A04A16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14.3</w:t>
            </w:r>
          </w:p>
        </w:tc>
      </w:tr>
      <w:tr w:rsidR="00B846AF" w:rsidRPr="00B846AF" w14:paraId="195CE24F"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01868BE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2031</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21B2E28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4.0</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6AA4B2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E12469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0E2BC79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8.9</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4095659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5.1</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3E673B5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14.8</w:t>
            </w:r>
          </w:p>
        </w:tc>
      </w:tr>
      <w:tr w:rsidR="00B846AF" w:rsidRPr="00B846AF" w14:paraId="7A549A3A"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1B62B8C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2032</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3557A07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DB36D2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76EC03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13.4</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ED1CCF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9.5</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71B1BDC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4ACB750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15.3</w:t>
            </w:r>
          </w:p>
        </w:tc>
      </w:tr>
      <w:tr w:rsidR="00B846AF" w:rsidRPr="00B846AF" w14:paraId="2DC806E2"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1AAD8E5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2033</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0F3B8A3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A31055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4.5</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5A6B36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14.3</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73D0C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10.1</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6C2779C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4177D8E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15.7</w:t>
            </w:r>
          </w:p>
        </w:tc>
      </w:tr>
      <w:tr w:rsidR="00B846AF" w:rsidRPr="00B846AF" w14:paraId="235B53EE"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6DBCC91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2034</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7E7B720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4.3</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0D1C44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A63432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15.1</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D15642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10.8</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38AFEC3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5.4</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500678F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16.2</w:t>
            </w:r>
          </w:p>
        </w:tc>
      </w:tr>
      <w:tr w:rsidR="00B846AF" w:rsidRPr="00B846AF" w14:paraId="1EC47082"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01AF8DC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2035</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46DEED9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4.5</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14DEC6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5573633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16.0</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6B2248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11.4</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3B30FA7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5.6</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61052E0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16.6</w:t>
            </w:r>
          </w:p>
        </w:tc>
      </w:tr>
      <w:tr w:rsidR="00B846AF" w:rsidRPr="00B846AF" w14:paraId="0106E315"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711CDF2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2036</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7BA9B04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4.5</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37DCC78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6.0</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BE0166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17.0</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EC877B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11.9</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7BA64C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5.7</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35E3D8F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17.0</w:t>
            </w:r>
          </w:p>
        </w:tc>
      </w:tr>
      <w:tr w:rsidR="00B846AF" w:rsidRPr="00B846AF" w14:paraId="3CC065CD"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0042595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2037</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0C697D9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6034D2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6.7</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07B2951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90EBD1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12.5</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75781E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5.9</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1C49229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17.4</w:t>
            </w:r>
          </w:p>
        </w:tc>
      </w:tr>
      <w:tr w:rsidR="00B846AF" w:rsidRPr="00B846AF" w14:paraId="7D9B1373"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3C0E41B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2038</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09FCC87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4.7</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1A2C6F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7.3</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CB877E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BDCC84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13.0</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0FFB890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6.1</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3FC4D7E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17.8</w:t>
            </w:r>
          </w:p>
        </w:tc>
      </w:tr>
      <w:tr w:rsidR="00B846AF" w:rsidRPr="00B846AF" w14:paraId="01FFB648"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414629E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2039</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3BC13D0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4.8</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F4F40C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8.0</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E743F0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CA390D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13.6</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59F86E0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6.2</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2AA11DC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18.2</w:t>
            </w:r>
          </w:p>
        </w:tc>
      </w:tr>
      <w:tr w:rsidR="00B846AF" w:rsidRPr="00B846AF" w14:paraId="2819635D"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4A00A5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2040</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15EC15A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D0884F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AE28A0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0FD6A15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14.1</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37F7415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6.4</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2391B6A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18.5</w:t>
            </w:r>
          </w:p>
        </w:tc>
      </w:tr>
      <w:tr w:rsidR="00B846AF" w:rsidRPr="00B846AF" w14:paraId="4F27D1DC"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7105A4D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2041</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00911BC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59E3752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0611A36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DB548C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14.5</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5EB5EF4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6.6</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04A87F4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18.9</w:t>
            </w:r>
          </w:p>
        </w:tc>
      </w:tr>
      <w:tr w:rsidR="00B846AF" w:rsidRPr="00B846AF" w14:paraId="223B3B7C"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45AAC38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2042</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431D083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BD1C3F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10.6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9585A6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23.4</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5D90588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15.0</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05A07D8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6.8</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78FD232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19.3</w:t>
            </w:r>
          </w:p>
        </w:tc>
      </w:tr>
      <w:tr w:rsidR="00B846AF" w:rsidRPr="00B846AF" w14:paraId="5067FCC8"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5565B81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2043</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3A55605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85CE23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11.6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E5F02D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3DFCC80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15.4</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25935B5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7.1</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2122D59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19.6</w:t>
            </w:r>
          </w:p>
        </w:tc>
      </w:tr>
      <w:tr w:rsidR="00B846AF" w:rsidRPr="00B846AF" w14:paraId="36F3E897"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40596E1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2044</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41E0E4E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5.1</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BBA8AD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12.6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E6D764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25.8</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85E8A2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15.8</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5DE6113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7.3</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5E2E72B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20.0</w:t>
            </w:r>
          </w:p>
        </w:tc>
      </w:tr>
      <w:tr w:rsidR="00B846AF" w:rsidRPr="00B846AF" w14:paraId="4D19FA2A"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462ECA5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2045</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0C152B2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325057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13.5</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5E500DC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27.1</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02CAFA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16.3</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0D5B944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7.5</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0D533B6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w:t>
            </w:r>
          </w:p>
        </w:tc>
      </w:tr>
      <w:tr w:rsidR="00B846AF" w:rsidRPr="00B846AF" w14:paraId="08800B4A"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789EF5B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2046</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05468E1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EC5927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14.9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C90F36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28.5</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5FD7F49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16.7</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7AD01EA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7.7</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1D34AA9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20.7</w:t>
            </w:r>
          </w:p>
        </w:tc>
      </w:tr>
      <w:tr w:rsidR="00B846AF" w:rsidRPr="00B846AF" w14:paraId="134F506C"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333DD97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2047</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66CCA44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53C7809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16.3</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79D65F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29.9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5C5E972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17.1</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33D9201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7.9</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2BAFD37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21.1</w:t>
            </w:r>
          </w:p>
        </w:tc>
      </w:tr>
      <w:tr w:rsidR="00B846AF" w:rsidRPr="00B846AF" w14:paraId="23437FBB"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64CD05D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2048</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286500D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5DCF5E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17.7</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8D20CD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31.4</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3D44366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17.5</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7CE6F4A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8.1</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4344036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21.5</w:t>
            </w:r>
          </w:p>
        </w:tc>
      </w:tr>
      <w:tr w:rsidR="00B846AF" w:rsidRPr="00B846AF" w14:paraId="12788D33"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6F87DF5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2049</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4A8F94C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014B422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19.1</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3F34A96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32.8</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254B8B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17.9</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673EAB3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8.3</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6A3BC81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21.9</w:t>
            </w:r>
          </w:p>
        </w:tc>
      </w:tr>
      <w:tr w:rsidR="00B846AF" w:rsidRPr="00B846AF" w14:paraId="09E8870A"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35CDABC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2050</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2E42D6D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5539CEA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5B8B10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34.2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396B6E3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18.3</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69713C8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8.4</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382BF87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22.3</w:t>
            </w:r>
          </w:p>
        </w:tc>
      </w:tr>
      <w:tr w:rsidR="00B846AF" w:rsidRPr="00B846AF" w14:paraId="6DBBECEE"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389143E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2051</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37E5DFE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5.3</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08CAD67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22.4</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89171C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35.9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EC60EF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18.7</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7F3924B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8.6</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4E42A4D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22.6</w:t>
            </w:r>
          </w:p>
        </w:tc>
      </w:tr>
      <w:tr w:rsidR="00B846AF" w:rsidRPr="00B846AF" w14:paraId="315D0786"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5D7D523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lastRenderedPageBreak/>
              <w:t>2052</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2BC79CE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5.4</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3DA7DF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24.3</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01E595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37.5</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7567A2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19.1</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4B992DA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8.7</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4E79CA9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23.0</w:t>
            </w:r>
          </w:p>
        </w:tc>
      </w:tr>
      <w:tr w:rsidR="00B846AF" w:rsidRPr="00B846AF" w14:paraId="28491FF3"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58F67A4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2053</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02BD73B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5.4</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390C4A3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26.2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787A53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39.1</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9DA87F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19.5</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6F9F367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8.9</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49FA743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23.4</w:t>
            </w:r>
          </w:p>
        </w:tc>
      </w:tr>
      <w:tr w:rsidR="00B846AF" w:rsidRPr="00B846AF" w14:paraId="3E237A7C"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185B691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2054</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05DAAF6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5.5</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3188EB4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28.2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CB6ADE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40.8</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3739553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19.9</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2D87467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9.0</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39A65BF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23.7</w:t>
            </w:r>
          </w:p>
        </w:tc>
      </w:tr>
      <w:tr w:rsidR="00B846AF" w:rsidRPr="00B846AF" w14:paraId="5C5A6E13"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721EB9C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2055</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1FC9826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5.5</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09D4A9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30.1</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D4274A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42.4</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9819ADB"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20.2</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7C1EB75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9.2</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416BB70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24.1</w:t>
            </w:r>
          </w:p>
        </w:tc>
      </w:tr>
      <w:tr w:rsidR="00B846AF" w:rsidRPr="00B846AF" w14:paraId="6AC8AA12"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143DAE8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2056</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1D5CA8B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06C229A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32.3</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1C416E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44.1</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3AB04B3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20.6</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1842D4B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9.3</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56E6AEB1"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24.4</w:t>
            </w:r>
          </w:p>
        </w:tc>
      </w:tr>
      <w:tr w:rsidR="00B846AF" w:rsidRPr="00B846AF" w14:paraId="3736A77E"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2F31525A"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2057</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12310A0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E5BA03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34.5</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1C1F263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45.8</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20AE98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21.0</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27AD7AB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9.4</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4549B1CC"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24.7</w:t>
            </w:r>
          </w:p>
        </w:tc>
      </w:tr>
      <w:tr w:rsidR="00B846AF" w:rsidRPr="00B846AF" w14:paraId="6A5D1DED"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46C4521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2058</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748DCA2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5.6</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7E90B11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36.7</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0FE70D3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47.5</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2DF19CB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21.3</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2915EDC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9.6</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494EAD59"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25.0</w:t>
            </w:r>
          </w:p>
        </w:tc>
      </w:tr>
      <w:tr w:rsidR="00B846AF" w:rsidRPr="00B846AF" w14:paraId="2161B8FD" w14:textId="77777777" w:rsidTr="00224614">
        <w:trPr>
          <w:trHeight w:val="300"/>
        </w:trPr>
        <w:tc>
          <w:tcPr>
            <w:tcW w:w="1120" w:type="dxa"/>
            <w:tcBorders>
              <w:top w:val="single" w:sz="4" w:space="0" w:color="BFBFBF" w:themeColor="background1" w:themeShade="BF"/>
              <w:bottom w:val="single" w:sz="4" w:space="0" w:color="BFBFBF" w:themeColor="background1" w:themeShade="BF"/>
            </w:tcBorders>
            <w:noWrap/>
            <w:vAlign w:val="bottom"/>
            <w:hideMark/>
          </w:tcPr>
          <w:p w14:paraId="1151EAD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2059</w:t>
            </w:r>
          </w:p>
        </w:tc>
        <w:tc>
          <w:tcPr>
            <w:tcW w:w="868" w:type="dxa"/>
            <w:tcBorders>
              <w:top w:val="single" w:sz="4" w:space="0" w:color="BFBFBF" w:themeColor="background1" w:themeShade="BF"/>
              <w:bottom w:val="single" w:sz="4" w:space="0" w:color="BFBFBF" w:themeColor="background1" w:themeShade="BF"/>
            </w:tcBorders>
            <w:noWrap/>
            <w:vAlign w:val="bottom"/>
            <w:hideMark/>
          </w:tcPr>
          <w:p w14:paraId="0EAAD023"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5.7</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49FF91A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38.9</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C8288D4"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49.2</w:t>
            </w:r>
          </w:p>
        </w:tc>
        <w:tc>
          <w:tcPr>
            <w:tcW w:w="972" w:type="dxa"/>
            <w:tcBorders>
              <w:top w:val="single" w:sz="4" w:space="0" w:color="BFBFBF" w:themeColor="background1" w:themeShade="BF"/>
              <w:bottom w:val="single" w:sz="4" w:space="0" w:color="BFBFBF" w:themeColor="background1" w:themeShade="BF"/>
            </w:tcBorders>
            <w:noWrap/>
            <w:vAlign w:val="bottom"/>
            <w:hideMark/>
          </w:tcPr>
          <w:p w14:paraId="66C827D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21.7</w:t>
            </w:r>
          </w:p>
        </w:tc>
        <w:tc>
          <w:tcPr>
            <w:tcW w:w="902" w:type="dxa"/>
            <w:tcBorders>
              <w:top w:val="single" w:sz="4" w:space="0" w:color="BFBFBF" w:themeColor="background1" w:themeShade="BF"/>
              <w:bottom w:val="single" w:sz="4" w:space="0" w:color="BFBFBF" w:themeColor="background1" w:themeShade="BF"/>
            </w:tcBorders>
            <w:noWrap/>
            <w:vAlign w:val="bottom"/>
            <w:hideMark/>
          </w:tcPr>
          <w:p w14:paraId="27AC9867"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9.7</w:t>
            </w:r>
          </w:p>
        </w:tc>
        <w:tc>
          <w:tcPr>
            <w:tcW w:w="2875" w:type="dxa"/>
            <w:tcBorders>
              <w:top w:val="single" w:sz="4" w:space="0" w:color="BFBFBF" w:themeColor="background1" w:themeShade="BF"/>
              <w:bottom w:val="single" w:sz="4" w:space="0" w:color="BFBFBF" w:themeColor="background1" w:themeShade="BF"/>
            </w:tcBorders>
            <w:noWrap/>
            <w:vAlign w:val="bottom"/>
            <w:hideMark/>
          </w:tcPr>
          <w:p w14:paraId="235F7D96"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25.3</w:t>
            </w:r>
          </w:p>
        </w:tc>
      </w:tr>
      <w:tr w:rsidR="00B846AF" w:rsidRPr="00B846AF" w14:paraId="7E7B4AD1" w14:textId="77777777" w:rsidTr="00224614">
        <w:trPr>
          <w:trHeight w:val="315"/>
        </w:trPr>
        <w:tc>
          <w:tcPr>
            <w:tcW w:w="1120" w:type="dxa"/>
            <w:tcBorders>
              <w:top w:val="single" w:sz="4" w:space="0" w:color="BFBFBF" w:themeColor="background1" w:themeShade="BF"/>
            </w:tcBorders>
            <w:noWrap/>
            <w:vAlign w:val="bottom"/>
            <w:hideMark/>
          </w:tcPr>
          <w:p w14:paraId="3D027F0D"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2060</w:t>
            </w:r>
          </w:p>
        </w:tc>
        <w:tc>
          <w:tcPr>
            <w:tcW w:w="868" w:type="dxa"/>
            <w:tcBorders>
              <w:top w:val="single" w:sz="4" w:space="0" w:color="BFBFBF" w:themeColor="background1" w:themeShade="BF"/>
            </w:tcBorders>
            <w:noWrap/>
            <w:vAlign w:val="bottom"/>
            <w:hideMark/>
          </w:tcPr>
          <w:p w14:paraId="23D0F7F5"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5.7</w:t>
            </w:r>
          </w:p>
        </w:tc>
        <w:tc>
          <w:tcPr>
            <w:tcW w:w="972" w:type="dxa"/>
            <w:tcBorders>
              <w:top w:val="single" w:sz="4" w:space="0" w:color="BFBFBF" w:themeColor="background1" w:themeShade="BF"/>
            </w:tcBorders>
            <w:noWrap/>
            <w:vAlign w:val="bottom"/>
            <w:hideMark/>
          </w:tcPr>
          <w:p w14:paraId="22C52A80"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41.1</w:t>
            </w:r>
          </w:p>
        </w:tc>
        <w:tc>
          <w:tcPr>
            <w:tcW w:w="972" w:type="dxa"/>
            <w:tcBorders>
              <w:top w:val="single" w:sz="4" w:space="0" w:color="BFBFBF" w:themeColor="background1" w:themeShade="BF"/>
            </w:tcBorders>
            <w:noWrap/>
            <w:vAlign w:val="bottom"/>
            <w:hideMark/>
          </w:tcPr>
          <w:p w14:paraId="00FC48B2"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50.9</w:t>
            </w:r>
          </w:p>
        </w:tc>
        <w:tc>
          <w:tcPr>
            <w:tcW w:w="972" w:type="dxa"/>
            <w:tcBorders>
              <w:top w:val="single" w:sz="4" w:space="0" w:color="BFBFBF" w:themeColor="background1" w:themeShade="BF"/>
            </w:tcBorders>
            <w:noWrap/>
            <w:vAlign w:val="bottom"/>
            <w:hideMark/>
          </w:tcPr>
          <w:p w14:paraId="697D801F"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22.1</w:t>
            </w:r>
          </w:p>
        </w:tc>
        <w:tc>
          <w:tcPr>
            <w:tcW w:w="902" w:type="dxa"/>
            <w:tcBorders>
              <w:top w:val="single" w:sz="4" w:space="0" w:color="BFBFBF" w:themeColor="background1" w:themeShade="BF"/>
            </w:tcBorders>
            <w:noWrap/>
            <w:vAlign w:val="bottom"/>
            <w:hideMark/>
          </w:tcPr>
          <w:p w14:paraId="0EA90C98"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9.8</w:t>
            </w:r>
          </w:p>
        </w:tc>
        <w:tc>
          <w:tcPr>
            <w:tcW w:w="2875" w:type="dxa"/>
            <w:tcBorders>
              <w:top w:val="single" w:sz="4" w:space="0" w:color="BFBFBF" w:themeColor="background1" w:themeShade="BF"/>
            </w:tcBorders>
            <w:noWrap/>
            <w:vAlign w:val="bottom"/>
            <w:hideMark/>
          </w:tcPr>
          <w:p w14:paraId="0654CE4E" w14:textId="77777777" w:rsidR="00B846AF" w:rsidRPr="00B846AF" w:rsidRDefault="00B846AF" w:rsidP="00B846AF">
            <w:pPr>
              <w:spacing w:after="0" w:line="360" w:lineRule="auto"/>
              <w:jc w:val="both"/>
              <w:rPr>
                <w:rFonts w:ascii="Times New Roman" w:eastAsia="Times New Roman" w:hAnsi="Times New Roman" w:cs="Times New Roman"/>
                <w:kern w:val="0"/>
                <w14:ligatures w14:val="none"/>
              </w:rPr>
            </w:pPr>
            <w:r w:rsidRPr="00B846AF">
              <w:rPr>
                <w:rFonts w:ascii="Times New Roman" w:eastAsia="Times New Roman" w:hAnsi="Times New Roman" w:cs="Times New Roman"/>
                <w:kern w:val="0"/>
                <w14:ligatures w14:val="none"/>
              </w:rPr>
              <w:t>25.6</w:t>
            </w:r>
          </w:p>
        </w:tc>
      </w:tr>
    </w:tbl>
    <w:p w14:paraId="5AF234E0" w14:textId="77777777" w:rsidR="00B846AF" w:rsidRPr="00B846AF" w:rsidRDefault="00B846AF" w:rsidP="00B846AF">
      <w:pPr>
        <w:spacing w:line="360" w:lineRule="auto"/>
        <w:jc w:val="both"/>
        <w:rPr>
          <w:rFonts w:ascii="Times New Roman" w:hAnsi="Times New Roman" w:cs="Times New Roman"/>
          <w:highlight w:val="yellow"/>
        </w:rPr>
      </w:pPr>
    </w:p>
    <w:p w14:paraId="18E36672" w14:textId="06C8605D" w:rsidR="00BD1CCF" w:rsidRDefault="00BD1CCF">
      <w:pPr>
        <w:rPr>
          <w:rFonts w:ascii="Times New Roman" w:hAnsi="Times New Roman" w:cs="Times New Roman"/>
          <w:highlight w:val="yellow"/>
        </w:rPr>
      </w:pPr>
      <w:r>
        <w:rPr>
          <w:rFonts w:ascii="Times New Roman" w:hAnsi="Times New Roman" w:cs="Times New Roman"/>
          <w:highlight w:val="yellow"/>
        </w:rPr>
        <w:br w:type="page"/>
      </w:r>
    </w:p>
    <w:p w14:paraId="50258D13" w14:textId="5D037B9C" w:rsidR="00B846AF" w:rsidRPr="001B243A" w:rsidRDefault="00BD1CCF" w:rsidP="00BD1CCF">
      <w:pPr>
        <w:pStyle w:val="Heading2"/>
        <w:spacing w:line="360" w:lineRule="auto"/>
        <w:jc w:val="both"/>
        <w:rPr>
          <w:rFonts w:ascii="Times New Roman" w:hAnsi="Times New Roman" w:cs="Times New Roman"/>
          <w:color w:val="auto"/>
          <w:sz w:val="24"/>
          <w:szCs w:val="24"/>
        </w:rPr>
      </w:pPr>
      <w:r w:rsidRPr="001B243A">
        <w:rPr>
          <w:rFonts w:ascii="Times New Roman" w:hAnsi="Times New Roman" w:cs="Times New Roman"/>
          <w:color w:val="auto"/>
          <w:sz w:val="24"/>
          <w:szCs w:val="24"/>
        </w:rPr>
        <w:lastRenderedPageBreak/>
        <w:t xml:space="preserve">Supplementary </w:t>
      </w:r>
      <w:r w:rsidR="00D256C3" w:rsidRPr="001B243A">
        <w:rPr>
          <w:rFonts w:ascii="Times New Roman" w:hAnsi="Times New Roman" w:cs="Times New Roman"/>
          <w:color w:val="auto"/>
          <w:sz w:val="24"/>
          <w:szCs w:val="24"/>
        </w:rPr>
        <w:t>I</w:t>
      </w:r>
      <w:r w:rsidR="00E33C40" w:rsidRPr="001B243A">
        <w:rPr>
          <w:rFonts w:ascii="Times New Roman" w:hAnsi="Times New Roman" w:cs="Times New Roman"/>
          <w:color w:val="auto"/>
          <w:sz w:val="24"/>
          <w:szCs w:val="24"/>
        </w:rPr>
        <w:t>nformation</w:t>
      </w:r>
      <w:r w:rsidR="003F65DB" w:rsidRPr="001B243A">
        <w:rPr>
          <w:rFonts w:ascii="Times New Roman" w:hAnsi="Times New Roman" w:cs="Times New Roman"/>
          <w:color w:val="auto"/>
          <w:sz w:val="24"/>
          <w:szCs w:val="24"/>
        </w:rPr>
        <w:t xml:space="preserve"> | </w:t>
      </w:r>
      <w:r w:rsidR="00BF1D32" w:rsidRPr="001B243A">
        <w:rPr>
          <w:rFonts w:ascii="Times New Roman" w:hAnsi="Times New Roman" w:cs="Times New Roman"/>
          <w:color w:val="auto"/>
          <w:sz w:val="24"/>
          <w:szCs w:val="24"/>
        </w:rPr>
        <w:t>Reactive-transport model simulations (RTM) in PHREEQC, f</w:t>
      </w:r>
      <w:r w:rsidR="003F65DB" w:rsidRPr="001B243A">
        <w:rPr>
          <w:rFonts w:ascii="Times New Roman" w:hAnsi="Times New Roman" w:cs="Times New Roman"/>
          <w:color w:val="auto"/>
          <w:sz w:val="24"/>
          <w:szCs w:val="24"/>
        </w:rPr>
        <w:t xml:space="preserve">ull model specification </w:t>
      </w:r>
    </w:p>
    <w:p w14:paraId="1F4E3874" w14:textId="7DC7E5C6" w:rsidR="00C51BE2" w:rsidRPr="00790860" w:rsidRDefault="00C51BE2" w:rsidP="00790860">
      <w:pPr>
        <w:jc w:val="both"/>
        <w:rPr>
          <w:rFonts w:ascii="Times New Roman" w:hAnsi="Times New Roman" w:cs="Times New Roman"/>
        </w:rPr>
      </w:pPr>
      <w:r w:rsidRPr="00790860">
        <w:rPr>
          <w:rFonts w:ascii="Times New Roman" w:hAnsi="Times New Roman" w:cs="Times New Roman"/>
        </w:rPr>
        <w:t xml:space="preserve">The 1D-reactive transport model (RTM) used to derive a function for the Mg-leaching percent was programmed in PHREEQC </w:t>
      </w:r>
      <w:sdt>
        <w:sdtPr>
          <w:rPr>
            <w:rFonts w:ascii="Times New Roman" w:hAnsi="Times New Roman" w:cs="Times New Roman"/>
            <w:color w:val="000000"/>
          </w:rPr>
          <w:tag w:val="MENDELEY_CITATION_v3_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"/>
          <w:id w:val="1009181144"/>
          <w:placeholder>
            <w:docPart w:val="82E6B84099D7480C8ACFF2BF7C5A72EA"/>
          </w:placeholder>
        </w:sdtPr>
        <w:sdtContent>
          <w:r w:rsidRPr="00790860">
            <w:rPr>
              <w:rFonts w:ascii="Times New Roman" w:eastAsia="Times New Roman" w:hAnsi="Times New Roman" w:cs="Times New Roman"/>
              <w:color w:val="000000"/>
            </w:rPr>
            <w:t>(Parkhurst &amp; Appelo, 2013)</w:t>
          </w:r>
        </w:sdtContent>
      </w:sdt>
      <w:r w:rsidRPr="00790860">
        <w:rPr>
          <w:rFonts w:ascii="Times New Roman" w:hAnsi="Times New Roman" w:cs="Times New Roman"/>
        </w:rPr>
        <w:t>. The RTM simulated the: (1) flow of acid (2) dissolution of an ultramafic mine tailing (UMT) and (3) precipitation of secondary phases over one year of reaction. Each simulation was subjected to a range of temperatures, acid concentrations and flow rates, as described in the methodology.</w:t>
      </w:r>
    </w:p>
    <w:p w14:paraId="16D881A0" w14:textId="253B171B" w:rsidR="00C51BE2" w:rsidRPr="00790860" w:rsidRDefault="00C51BE2" w:rsidP="00790860">
      <w:pPr>
        <w:jc w:val="both"/>
        <w:rPr>
          <w:rFonts w:ascii="Times New Roman" w:hAnsi="Times New Roman" w:cs="Times New Roman"/>
        </w:rPr>
      </w:pPr>
      <w:r w:rsidRPr="00790860">
        <w:rPr>
          <w:rFonts w:ascii="Times New Roman" w:hAnsi="Times New Roman" w:cs="Times New Roman"/>
        </w:rPr>
        <w:t>Time and space steps were optimised using the courant number</w:t>
      </w:r>
      <w:r w:rsidR="009067AA" w:rsidRPr="00790860">
        <w:rPr>
          <w:rFonts w:ascii="Times New Roman" w:hAnsi="Times New Roman" w:cs="Times New Roman"/>
        </w:rPr>
        <w:t xml:space="preserve">, based on </w:t>
      </w:r>
      <w:r w:rsidRPr="00790860">
        <w:rPr>
          <w:rFonts w:ascii="Times New Roman" w:hAnsi="Times New Roman" w:cs="Times New Roman"/>
        </w:rPr>
        <w:t xml:space="preserve">a given flow rate. Then, the ratio of </w:t>
      </w:r>
      <w:proofErr w:type="spellStart"/>
      <w:r w:rsidRPr="00790860">
        <w:rPr>
          <w:rFonts w:ascii="Times New Roman" w:hAnsi="Times New Roman" w:cs="Times New Roman"/>
        </w:rPr>
        <w:t>rock:solution</w:t>
      </w:r>
      <w:proofErr w:type="spellEnd"/>
      <w:r w:rsidRPr="00790860">
        <w:rPr>
          <w:rFonts w:ascii="Times New Roman" w:hAnsi="Times New Roman" w:cs="Times New Roman"/>
        </w:rPr>
        <w:t xml:space="preserve"> was calculated from the residence time of the solution </w:t>
      </w:r>
      <w:proofErr w:type="gramStart"/>
      <w:r w:rsidRPr="00790860">
        <w:rPr>
          <w:rFonts w:ascii="Times New Roman" w:hAnsi="Times New Roman" w:cs="Times New Roman"/>
        </w:rPr>
        <w:t>in a given</w:t>
      </w:r>
      <w:proofErr w:type="gramEnd"/>
      <w:r w:rsidRPr="00790860">
        <w:rPr>
          <w:rFonts w:ascii="Times New Roman" w:hAnsi="Times New Roman" w:cs="Times New Roman"/>
        </w:rPr>
        <w:t xml:space="preserve"> cell, and the acid density (</w:t>
      </w:r>
      <w:r w:rsidR="00587E29" w:rsidRPr="00790860">
        <w:rPr>
          <w:rFonts w:ascii="Times New Roman" w:hAnsi="Times New Roman" w:cs="Times New Roman"/>
        </w:rPr>
        <w:t xml:space="preserve">to account </w:t>
      </w:r>
      <w:proofErr w:type="spellStart"/>
      <w:r w:rsidR="00587E29" w:rsidRPr="00790860">
        <w:rPr>
          <w:rFonts w:ascii="Times New Roman" w:hAnsi="Times New Roman" w:cs="Times New Roman"/>
        </w:rPr>
        <w:t>for</w:t>
      </w:r>
      <w:r w:rsidRPr="00790860">
        <w:rPr>
          <w:rFonts w:ascii="Times New Roman" w:hAnsi="Times New Roman" w:cs="Times New Roman"/>
        </w:rPr>
        <w:t>high</w:t>
      </w:r>
      <w:proofErr w:type="spellEnd"/>
      <w:r w:rsidRPr="00790860">
        <w:rPr>
          <w:rFonts w:ascii="Times New Roman" w:hAnsi="Times New Roman" w:cs="Times New Roman"/>
        </w:rPr>
        <w:t xml:space="preserve"> concentration acids). During each time step, the program kinetically dissolved the mine tailings, and thermodynamically precipitated secondary phases </w:t>
      </w:r>
      <w:r w:rsidR="0024356D" w:rsidRPr="00790860">
        <w:rPr>
          <w:rFonts w:ascii="Times New Roman" w:hAnsi="Times New Roman" w:cs="Times New Roman"/>
        </w:rPr>
        <w:t>if</w:t>
      </w:r>
      <w:r w:rsidRPr="00790860">
        <w:rPr>
          <w:rFonts w:ascii="Times New Roman" w:hAnsi="Times New Roman" w:cs="Times New Roman"/>
        </w:rPr>
        <w:t xml:space="preserve"> saturation </w:t>
      </w:r>
      <w:r w:rsidR="0024356D" w:rsidRPr="00790860">
        <w:rPr>
          <w:rFonts w:ascii="Times New Roman" w:hAnsi="Times New Roman" w:cs="Times New Roman"/>
        </w:rPr>
        <w:t xml:space="preserve">was reached </w:t>
      </w:r>
      <w:r w:rsidRPr="00790860">
        <w:rPr>
          <w:rFonts w:ascii="Times New Roman" w:hAnsi="Times New Roman" w:cs="Times New Roman"/>
        </w:rPr>
        <w:t>(phase dependent; between a saturation index of 0 and 0.5). The column was assumed to be at equilibrium with atmospheric CO</w:t>
      </w:r>
      <w:r w:rsidRPr="00790860">
        <w:rPr>
          <w:rFonts w:ascii="Times New Roman" w:hAnsi="Times New Roman" w:cs="Times New Roman"/>
          <w:vertAlign w:val="subscript"/>
        </w:rPr>
        <w:t>2</w:t>
      </w:r>
      <w:r w:rsidRPr="00790860">
        <w:rPr>
          <w:rFonts w:ascii="Times New Roman" w:hAnsi="Times New Roman" w:cs="Times New Roman"/>
        </w:rPr>
        <w:t xml:space="preserve"> and O</w:t>
      </w:r>
      <w:r w:rsidRPr="00790860">
        <w:rPr>
          <w:rFonts w:ascii="Times New Roman" w:hAnsi="Times New Roman" w:cs="Times New Roman"/>
        </w:rPr>
        <w:softHyphen/>
      </w:r>
      <w:r w:rsidRPr="00790860">
        <w:rPr>
          <w:rFonts w:ascii="Times New Roman" w:hAnsi="Times New Roman" w:cs="Times New Roman"/>
        </w:rPr>
        <w:softHyphen/>
      </w:r>
      <w:r w:rsidRPr="00790860">
        <w:rPr>
          <w:rFonts w:ascii="Times New Roman" w:hAnsi="Times New Roman" w:cs="Times New Roman"/>
          <w:vertAlign w:val="subscript"/>
        </w:rPr>
        <w:t>2</w:t>
      </w:r>
      <w:r w:rsidRPr="00790860">
        <w:rPr>
          <w:rFonts w:ascii="Times New Roman" w:hAnsi="Times New Roman" w:cs="Times New Roman"/>
        </w:rPr>
        <w:t xml:space="preserve"> conditions. </w:t>
      </w:r>
    </w:p>
    <w:p w14:paraId="7102B4BC" w14:textId="7310ADB8" w:rsidR="00C51BE2" w:rsidRPr="00790860" w:rsidRDefault="00C51BE2" w:rsidP="00790860">
      <w:pPr>
        <w:jc w:val="both"/>
        <w:rPr>
          <w:rFonts w:ascii="Times New Roman" w:hAnsi="Times New Roman" w:cs="Times New Roman"/>
        </w:rPr>
      </w:pPr>
      <w:r w:rsidRPr="00790860">
        <w:rPr>
          <w:rFonts w:ascii="Times New Roman" w:hAnsi="Times New Roman" w:cs="Times New Roman"/>
        </w:rPr>
        <w:t xml:space="preserve">The dissolution of mineral phases within the UMT was simulated kinetically, with mineral dissolution rates programmed using a modified dissolution rate equation from </w:t>
      </w:r>
      <w:sdt>
        <w:sdtPr>
          <w:rPr>
            <w:rFonts w:ascii="Times New Roman" w:hAnsi="Times New Roman" w:cs="Times New Roman"/>
            <w:color w:val="000000"/>
          </w:rPr>
          <w:tag w:val="MENDELEY_CITATION_v3_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"/>
          <w:id w:val="738526506"/>
          <w:placeholder>
            <w:docPart w:val="92672C10B0B0490C832AF8CB1099A1A6"/>
          </w:placeholder>
        </w:sdtPr>
        <w:sdtContent>
          <w:proofErr w:type="spellStart"/>
          <w:r w:rsidRPr="00790860">
            <w:rPr>
              <w:rFonts w:ascii="Times New Roman" w:eastAsia="Times New Roman" w:hAnsi="Times New Roman" w:cs="Times New Roman"/>
              <w:color w:val="000000"/>
            </w:rPr>
            <w:t>Palandri</w:t>
          </w:r>
          <w:proofErr w:type="spellEnd"/>
          <w:r w:rsidRPr="00790860">
            <w:rPr>
              <w:rFonts w:ascii="Times New Roman" w:eastAsia="Times New Roman" w:hAnsi="Times New Roman" w:cs="Times New Roman"/>
              <w:color w:val="000000"/>
            </w:rPr>
            <w:t xml:space="preserve"> &amp; </w:t>
          </w:r>
          <w:proofErr w:type="spellStart"/>
          <w:r w:rsidRPr="00790860">
            <w:rPr>
              <w:rFonts w:ascii="Times New Roman" w:eastAsia="Times New Roman" w:hAnsi="Times New Roman" w:cs="Times New Roman"/>
              <w:color w:val="000000"/>
            </w:rPr>
            <w:t>Kharaka</w:t>
          </w:r>
          <w:proofErr w:type="spellEnd"/>
          <w:r w:rsidRPr="00790860">
            <w:rPr>
              <w:rFonts w:ascii="Times New Roman" w:eastAsia="Times New Roman" w:hAnsi="Times New Roman" w:cs="Times New Roman"/>
              <w:color w:val="000000"/>
            </w:rPr>
            <w:t xml:space="preserve"> (2004):</w:t>
          </w:r>
        </w:sdtContent>
      </w:sdt>
    </w:p>
    <w:p w14:paraId="0FDC75D4" w14:textId="77777777" w:rsidR="00C51BE2" w:rsidRPr="00790860" w:rsidRDefault="00000000" w:rsidP="00790860">
      <w:pPr>
        <w:jc w:val="both"/>
        <w:rPr>
          <w:rFonts w:ascii="Times New Roman" w:hAnsi="Times New Roman" w:cs="Times New Roman"/>
        </w:rPr>
      </w:pPr>
      <m:oMathPara>
        <m:oMathParaPr>
          <m:jc m:val="center"/>
        </m:oMathParaPr>
        <m:oMath>
          <m:f>
            <m:fPr>
              <m:ctrlPr>
                <w:rPr>
                  <w:rFonts w:ascii="Cambria Math" w:hAnsi="Cambria Math" w:cs="Times New Roman"/>
                  <w:i/>
                </w:rPr>
              </m:ctrlPr>
            </m:fPr>
            <m:num>
              <m:r>
                <w:rPr>
                  <w:rFonts w:ascii="Cambria Math" w:hAnsi="Cambria Math" w:cs="Times New Roman"/>
                </w:rPr>
                <m:t>dm</m:t>
              </m:r>
            </m:num>
            <m:den>
              <m:r>
                <w:rPr>
                  <w:rFonts w:ascii="Cambria Math" w:hAnsi="Cambria Math" w:cs="Times New Roman"/>
                </w:rPr>
                <m:t>dt</m:t>
              </m:r>
            </m:den>
          </m:f>
          <m:r>
            <w:rPr>
              <w:rFonts w:ascii="Cambria Math" w:hAnsi="Cambria Math" w:cs="Times New Roman"/>
            </w:rPr>
            <m:t>=-</m:t>
          </m:r>
          <m:r>
            <w:rPr>
              <w:rFonts w:ascii="Cambria Math" w:hAnsi="Cambria Math" w:cs="Times New Roman"/>
            </w:rPr>
            <m:t>SA</m:t>
          </m:r>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acid</m:t>
                      </m:r>
                    </m:sub>
                  </m:sSub>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acid</m:t>
                              </m:r>
                            </m:sub>
                          </m:sSub>
                        </m:num>
                        <m:den>
                          <m:r>
                            <w:rPr>
                              <w:rFonts w:ascii="Cambria Math" w:hAnsi="Cambria Math" w:cs="Times New Roman"/>
                            </w:rPr>
                            <m:t>RT</m:t>
                          </m:r>
                        </m:den>
                      </m:f>
                    </m:sup>
                  </m:s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acid</m:t>
                          </m:r>
                        </m:sub>
                      </m:sSub>
                    </m:sup>
                  </m:sSub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1-</m:t>
                      </m:r>
                      <m:r>
                        <w:rPr>
                          <w:rFonts w:ascii="Cambria Math" w:hAnsi="Cambria Math" w:cs="Times New Roman"/>
                        </w:rPr>
                        <m:t>SR</m:t>
                      </m:r>
                    </m:e>
                  </m:d>
                </m:e>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neutral</m:t>
                      </m:r>
                    </m:sub>
                  </m:sSub>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neutral</m:t>
                              </m:r>
                            </m:sub>
                          </m:sSub>
                        </m:num>
                        <m:den>
                          <m:r>
                            <w:rPr>
                              <w:rFonts w:ascii="Cambria Math" w:hAnsi="Cambria Math" w:cs="Times New Roman"/>
                            </w:rPr>
                            <m:t>RT</m:t>
                          </m:r>
                        </m:den>
                      </m:f>
                    </m:sup>
                  </m:s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1-</m:t>
                      </m:r>
                      <m:r>
                        <w:rPr>
                          <w:rFonts w:ascii="Cambria Math" w:hAnsi="Cambria Math" w:cs="Times New Roman"/>
                        </w:rPr>
                        <m:t>SR</m:t>
                      </m:r>
                    </m:e>
                  </m:d>
                  <m:ctrlPr>
                    <w:rPr>
                      <w:rFonts w:ascii="Cambria Math" w:eastAsia="Cambria Math" w:hAnsi="Cambria Math" w:cs="Times New Roman"/>
                      <w:i/>
                    </w:rPr>
                  </m:ctrlPr>
                </m:e>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base</m:t>
                      </m:r>
                    </m:sub>
                  </m:sSub>
                  <m:sSup>
                    <m:sSupPr>
                      <m:ctrlPr>
                        <w:rPr>
                          <w:rFonts w:ascii="Cambria Math" w:hAnsi="Cambria Math" w:cs="Times New Roman"/>
                          <w:i/>
                        </w:rPr>
                      </m:ctrlPr>
                    </m:sSupPr>
                    <m:e>
                      <m:r>
                        <w:rPr>
                          <w:rFonts w:ascii="Cambria Math" w:hAnsi="Cambria Math" w:cs="Times New Roman"/>
                        </w:rPr>
                        <m:t>Ae</m:t>
                      </m:r>
                    </m:e>
                    <m:sup>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base</m:t>
                              </m:r>
                            </m:sub>
                          </m:sSub>
                        </m:num>
                        <m:den>
                          <m:r>
                            <w:rPr>
                              <w:rFonts w:ascii="Cambria Math" w:hAnsi="Cambria Math" w:cs="Times New Roman"/>
                            </w:rPr>
                            <m:t>RT</m:t>
                          </m:r>
                        </m:den>
                      </m:f>
                    </m:sup>
                  </m:s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base</m:t>
                          </m:r>
                        </m:sub>
                      </m:sSub>
                    </m:sup>
                  </m:sSub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1-</m:t>
                      </m:r>
                      <m:r>
                        <w:rPr>
                          <w:rFonts w:ascii="Cambria Math" w:hAnsi="Cambria Math" w:cs="Times New Roman"/>
                        </w:rPr>
                        <m:t>SR</m:t>
                      </m:r>
                    </m:e>
                  </m:d>
                </m:e>
              </m:eqArr>
            </m:e>
          </m:d>
        </m:oMath>
      </m:oMathPara>
    </w:p>
    <w:p w14:paraId="17A0FE4A" w14:textId="77777777" w:rsidR="00C51BE2" w:rsidRPr="00790860" w:rsidRDefault="00C51BE2" w:rsidP="00790860">
      <w:pPr>
        <w:jc w:val="both"/>
        <w:rPr>
          <w:rFonts w:ascii="Times New Roman" w:hAnsi="Times New Roman" w:cs="Times New Roman"/>
        </w:rPr>
      </w:pPr>
      <w:r w:rsidRPr="00790860">
        <w:rPr>
          <w:rFonts w:ascii="Times New Roman" w:hAnsi="Times New Roman" w:cs="Times New Roman"/>
        </w:rPr>
        <w:t>Where </w:t>
      </w:r>
      <w:r w:rsidRPr="00790860">
        <w:rPr>
          <w:rFonts w:ascii="Times New Roman" w:hAnsi="Times New Roman" w:cs="Times New Roman"/>
          <w:i/>
          <w:iCs/>
        </w:rPr>
        <w:t>m</w:t>
      </w:r>
      <w:r w:rsidRPr="00790860">
        <w:rPr>
          <w:rFonts w:ascii="Times New Roman" w:hAnsi="Times New Roman" w:cs="Times New Roman"/>
        </w:rPr>
        <w:t> is the number of moles of the mineral, </w:t>
      </w:r>
      <w:proofErr w:type="spellStart"/>
      <w:r w:rsidRPr="00790860">
        <w:rPr>
          <w:rFonts w:ascii="Times New Roman" w:hAnsi="Times New Roman" w:cs="Times New Roman"/>
          <w:i/>
          <w:iCs/>
        </w:rPr>
        <w:t>t</w:t>
      </w:r>
      <w:proofErr w:type="spellEnd"/>
      <w:r w:rsidRPr="00790860">
        <w:rPr>
          <w:rFonts w:ascii="Times New Roman" w:hAnsi="Times New Roman" w:cs="Times New Roman"/>
        </w:rPr>
        <w:t> is time (in seconds, s), </w:t>
      </w:r>
      <w:r w:rsidRPr="00790860">
        <w:rPr>
          <w:rFonts w:ascii="Times New Roman" w:hAnsi="Times New Roman" w:cs="Times New Roman"/>
          <w:i/>
          <w:iCs/>
        </w:rPr>
        <w:t>SA</w:t>
      </w:r>
      <w:r w:rsidRPr="00790860">
        <w:rPr>
          <w:rFonts w:ascii="Times New Roman" w:hAnsi="Times New Roman" w:cs="Times New Roman"/>
        </w:rPr>
        <w:t> is the surface area of a mineral, </w:t>
      </w:r>
      <w:r w:rsidRPr="00790860">
        <w:rPr>
          <w:rFonts w:ascii="Times New Roman" w:hAnsi="Times New Roman" w:cs="Times New Roman"/>
          <w:i/>
          <w:iCs/>
        </w:rPr>
        <w:t>A</w:t>
      </w:r>
      <w:r w:rsidRPr="00790860">
        <w:rPr>
          <w:rFonts w:ascii="Times New Roman" w:hAnsi="Times New Roman" w:cs="Times New Roman"/>
        </w:rPr>
        <w:t> is the pre-exponential factor (the rate constant) of the acid, neutral and base dissolution mechanism, </w:t>
      </w:r>
      <w:r w:rsidRPr="00790860">
        <w:rPr>
          <w:rFonts w:ascii="Times New Roman" w:hAnsi="Times New Roman" w:cs="Times New Roman"/>
          <w:i/>
          <w:iCs/>
        </w:rPr>
        <w:t>E</w:t>
      </w:r>
      <w:r w:rsidRPr="00790860">
        <w:rPr>
          <w:rFonts w:ascii="Times New Roman" w:hAnsi="Times New Roman" w:cs="Times New Roman"/>
        </w:rPr>
        <w:t> is the activation energy of the acid, neutral and base dissolution mechanism, </w:t>
      </w:r>
      <w:r w:rsidRPr="00790860">
        <w:rPr>
          <w:rFonts w:ascii="Times New Roman" w:hAnsi="Times New Roman" w:cs="Times New Roman"/>
          <w:i/>
          <w:iCs/>
        </w:rPr>
        <w:t>R</w:t>
      </w:r>
      <w:r w:rsidRPr="00790860">
        <w:rPr>
          <w:rFonts w:ascii="Times New Roman" w:hAnsi="Times New Roman" w:cs="Times New Roman"/>
        </w:rPr>
        <w:t> is the gas constant for water (8.31, J mol</w:t>
      </w:r>
      <w:r w:rsidRPr="00790860">
        <w:rPr>
          <w:rFonts w:ascii="Times New Roman" w:hAnsi="Times New Roman" w:cs="Times New Roman"/>
          <w:vertAlign w:val="superscript"/>
        </w:rPr>
        <w:t>−1</w:t>
      </w:r>
      <w:r w:rsidRPr="00790860">
        <w:rPr>
          <w:rFonts w:ascii="Times New Roman" w:hAnsi="Times New Roman" w:cs="Times New Roman"/>
        </w:rPr>
        <w:t> K</w:t>
      </w:r>
      <w:r w:rsidRPr="00790860">
        <w:rPr>
          <w:rFonts w:ascii="Times New Roman" w:hAnsi="Times New Roman" w:cs="Times New Roman"/>
          <w:vertAlign w:val="superscript"/>
        </w:rPr>
        <w:t>−1</w:t>
      </w:r>
      <w:r w:rsidRPr="00790860">
        <w:rPr>
          <w:rFonts w:ascii="Times New Roman" w:hAnsi="Times New Roman" w:cs="Times New Roman"/>
        </w:rPr>
        <w:t>), </w:t>
      </w:r>
      <w:r w:rsidRPr="00790860">
        <w:rPr>
          <w:rFonts w:ascii="Times New Roman" w:hAnsi="Times New Roman" w:cs="Times New Roman"/>
          <w:i/>
          <w:iCs/>
        </w:rPr>
        <w:t>T</w:t>
      </w:r>
      <w:r w:rsidRPr="00790860">
        <w:rPr>
          <w:rFonts w:ascii="Times New Roman" w:hAnsi="Times New Roman" w:cs="Times New Roman"/>
        </w:rPr>
        <w:t> is the temperature in Kelvin, K, </w:t>
      </w:r>
      <w:r w:rsidRPr="00790860">
        <w:rPr>
          <w:rFonts w:ascii="Times New Roman" w:hAnsi="Times New Roman" w:cs="Times New Roman"/>
          <w:i/>
          <w:iCs/>
        </w:rPr>
        <w:t>a</w:t>
      </w:r>
      <w:r w:rsidRPr="00790860">
        <w:rPr>
          <w:rFonts w:ascii="Times New Roman" w:hAnsi="Times New Roman" w:cs="Times New Roman"/>
        </w:rPr>
        <w:t> is the ion activity of hydrogen (H</w:t>
      </w:r>
      <w:r w:rsidRPr="00790860">
        <w:rPr>
          <w:rFonts w:ascii="Times New Roman" w:hAnsi="Times New Roman" w:cs="Times New Roman"/>
          <w:vertAlign w:val="superscript"/>
        </w:rPr>
        <w:t>+</w:t>
      </w:r>
      <w:r w:rsidRPr="00790860">
        <w:rPr>
          <w:rFonts w:ascii="Times New Roman" w:hAnsi="Times New Roman" w:cs="Times New Roman"/>
        </w:rPr>
        <w:t>), </w:t>
      </w:r>
      <w:r w:rsidRPr="00790860">
        <w:rPr>
          <w:rFonts w:ascii="Times New Roman" w:hAnsi="Times New Roman" w:cs="Times New Roman"/>
          <w:i/>
          <w:iCs/>
        </w:rPr>
        <w:t>n</w:t>
      </w:r>
      <w:r w:rsidRPr="00790860">
        <w:rPr>
          <w:rFonts w:ascii="Times New Roman" w:hAnsi="Times New Roman" w:cs="Times New Roman"/>
        </w:rPr>
        <w:t> is the reaction order for the acid, neutral and base dissolution mechanism, and </w:t>
      </w:r>
      <w:r w:rsidRPr="00790860">
        <w:rPr>
          <w:rFonts w:ascii="Times New Roman" w:hAnsi="Times New Roman" w:cs="Times New Roman"/>
          <w:i/>
          <w:iCs/>
        </w:rPr>
        <w:t>SR</w:t>
      </w:r>
      <w:r w:rsidRPr="00790860">
        <w:rPr>
          <w:rFonts w:ascii="Times New Roman" w:hAnsi="Times New Roman" w:cs="Times New Roman"/>
        </w:rPr>
        <w:t xml:space="preserve"> is the saturation ratio. </w:t>
      </w:r>
    </w:p>
    <w:p w14:paraId="1648202C" w14:textId="77777777" w:rsidR="00C51BE2" w:rsidRPr="00790860" w:rsidRDefault="00C51BE2" w:rsidP="00790860">
      <w:pPr>
        <w:jc w:val="both"/>
        <w:rPr>
          <w:rFonts w:ascii="Times New Roman" w:hAnsi="Times New Roman" w:cs="Times New Roman"/>
        </w:rPr>
      </w:pPr>
      <w:r w:rsidRPr="00790860">
        <w:rPr>
          <w:rFonts w:ascii="Times New Roman" w:hAnsi="Times New Roman" w:cs="Times New Roman"/>
        </w:rPr>
        <w:t>The mineral kinetic constants were sourced from the Kinec_v3.dat database (</w:t>
      </w:r>
      <w:sdt>
        <w:sdtPr>
          <w:rPr>
            <w:rFonts w:ascii="Times New Roman" w:hAnsi="Times New Roman" w:cs="Times New Roman"/>
            <w:color w:val="000000"/>
          </w:rPr>
          <w:tag w:val="MENDELEY_CITATION_v3_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"/>
          <w:id w:val="-1605802800"/>
          <w:placeholder>
            <w:docPart w:val="9BAE796028A44199B9D3D05CF17565FD"/>
          </w:placeholder>
        </w:sdtPr>
        <w:sdtContent>
          <w:r w:rsidRPr="00790860">
            <w:rPr>
              <w:rFonts w:ascii="Times New Roman" w:eastAsia="Times New Roman" w:hAnsi="Times New Roman" w:cs="Times New Roman"/>
              <w:color w:val="000000"/>
            </w:rPr>
            <w:t xml:space="preserve">Oelkers &amp; </w:t>
          </w:r>
          <w:proofErr w:type="spellStart"/>
          <w:r w:rsidRPr="00790860">
            <w:rPr>
              <w:rFonts w:ascii="Times New Roman" w:eastAsia="Times New Roman" w:hAnsi="Times New Roman" w:cs="Times New Roman"/>
              <w:color w:val="000000"/>
            </w:rPr>
            <w:t>Addassi</w:t>
          </w:r>
          <w:proofErr w:type="spellEnd"/>
          <w:r w:rsidRPr="00790860">
            <w:rPr>
              <w:rFonts w:ascii="Times New Roman" w:eastAsia="Times New Roman" w:hAnsi="Times New Roman" w:cs="Times New Roman"/>
              <w:color w:val="000000"/>
            </w:rPr>
            <w:t xml:space="preserve"> (2025)).</w:t>
          </w:r>
        </w:sdtContent>
      </w:sdt>
      <w:r w:rsidRPr="00790860">
        <w:rPr>
          <w:rFonts w:ascii="Times New Roman" w:hAnsi="Times New Roman" w:cs="Times New Roman"/>
        </w:rPr>
        <w:t xml:space="preserve"> Saturation ratios were calculated internally through the model using thermodynamic data from LLNL.dat. Reversible dissolution/precipitation of Ferrihydrite, </w:t>
      </w:r>
      <w:proofErr w:type="spellStart"/>
      <w:r w:rsidRPr="00790860">
        <w:rPr>
          <w:rFonts w:ascii="Times New Roman" w:hAnsi="Times New Roman" w:cs="Times New Roman"/>
        </w:rPr>
        <w:t>Schwermannite</w:t>
      </w:r>
      <w:proofErr w:type="spellEnd"/>
      <w:r w:rsidRPr="00790860">
        <w:rPr>
          <w:rFonts w:ascii="Times New Roman" w:hAnsi="Times New Roman" w:cs="Times New Roman"/>
        </w:rPr>
        <w:t>, Jarosite, and amorphous SiO</w:t>
      </w:r>
      <w:r w:rsidRPr="00790860">
        <w:rPr>
          <w:rFonts w:ascii="Times New Roman" w:hAnsi="Times New Roman" w:cs="Times New Roman"/>
          <w:vertAlign w:val="subscript"/>
        </w:rPr>
        <w:t xml:space="preserve">2 </w:t>
      </w:r>
      <w:r w:rsidRPr="00790860">
        <w:rPr>
          <w:rFonts w:ascii="Times New Roman" w:hAnsi="Times New Roman" w:cs="Times New Roman"/>
        </w:rPr>
        <w:t xml:space="preserve">and </w:t>
      </w:r>
      <w:proofErr w:type="gramStart"/>
      <w:r w:rsidRPr="00790860">
        <w:rPr>
          <w:rFonts w:ascii="Times New Roman" w:hAnsi="Times New Roman" w:cs="Times New Roman"/>
        </w:rPr>
        <w:t>Al(</w:t>
      </w:r>
      <w:proofErr w:type="gramEnd"/>
      <w:r w:rsidRPr="00790860">
        <w:rPr>
          <w:rFonts w:ascii="Times New Roman" w:hAnsi="Times New Roman" w:cs="Times New Roman"/>
        </w:rPr>
        <w:t>OH)</w:t>
      </w:r>
      <w:r w:rsidRPr="00790860">
        <w:rPr>
          <w:rFonts w:ascii="Times New Roman" w:hAnsi="Times New Roman" w:cs="Times New Roman"/>
          <w:vertAlign w:val="subscript"/>
        </w:rPr>
        <w:t>3</w:t>
      </w:r>
      <w:r w:rsidRPr="00790860">
        <w:rPr>
          <w:rFonts w:ascii="Times New Roman" w:hAnsi="Times New Roman" w:cs="Times New Roman"/>
        </w:rPr>
        <w:t xml:space="preserve"> </w:t>
      </w:r>
      <w:proofErr w:type="gramStart"/>
      <w:r w:rsidRPr="00790860">
        <w:rPr>
          <w:rFonts w:ascii="Times New Roman" w:hAnsi="Times New Roman" w:cs="Times New Roman"/>
        </w:rPr>
        <w:t>were</w:t>
      </w:r>
      <w:proofErr w:type="gramEnd"/>
      <w:r w:rsidRPr="00790860">
        <w:rPr>
          <w:rFonts w:ascii="Times New Roman" w:hAnsi="Times New Roman" w:cs="Times New Roman"/>
        </w:rPr>
        <w:t xml:space="preserve"> simulated thermodynamically via chemical equilibria predictions, where a saturation index of 0 (0.5 for amorphous SiO</w:t>
      </w:r>
      <w:r w:rsidRPr="00790860">
        <w:rPr>
          <w:rFonts w:ascii="Times New Roman" w:hAnsi="Times New Roman" w:cs="Times New Roman"/>
          <w:vertAlign w:val="subscript"/>
        </w:rPr>
        <w:t>2</w:t>
      </w:r>
      <w:r w:rsidRPr="00790860">
        <w:rPr>
          <w:rFonts w:ascii="Times New Roman" w:hAnsi="Times New Roman" w:cs="Times New Roman"/>
        </w:rPr>
        <w:t xml:space="preserve"> and </w:t>
      </w:r>
      <w:proofErr w:type="gramStart"/>
      <w:r w:rsidRPr="00790860">
        <w:rPr>
          <w:rFonts w:ascii="Times New Roman" w:hAnsi="Times New Roman" w:cs="Times New Roman"/>
        </w:rPr>
        <w:t>Fe(</w:t>
      </w:r>
      <w:proofErr w:type="gramEnd"/>
      <w:r w:rsidRPr="00790860">
        <w:rPr>
          <w:rFonts w:ascii="Times New Roman" w:hAnsi="Times New Roman" w:cs="Times New Roman"/>
        </w:rPr>
        <w:t>OH)</w:t>
      </w:r>
      <w:r w:rsidRPr="00790860">
        <w:rPr>
          <w:rFonts w:ascii="Times New Roman" w:hAnsi="Times New Roman" w:cs="Times New Roman"/>
          <w:vertAlign w:val="subscript"/>
        </w:rPr>
        <w:t>3</w:t>
      </w:r>
      <w:r w:rsidRPr="00790860">
        <w:rPr>
          <w:rFonts w:ascii="Times New Roman" w:hAnsi="Times New Roman" w:cs="Times New Roman"/>
        </w:rPr>
        <w:t xml:space="preserve">) initiated precipitation. Calcite precipitation was also simulated via equilibrium dynamics, however, dissolution from calcite in the host rock was simulated kinetically using data from the Kinec_v3.dat database </w:t>
      </w:r>
      <w:sdt>
        <w:sdtPr>
          <w:rPr>
            <w:rFonts w:ascii="Times New Roman" w:hAnsi="Times New Roman" w:cs="Times New Roman"/>
            <w:color w:val="000000"/>
          </w:rPr>
          <w:tag w:val="MENDELEY_CITATION_v3_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"/>
          <w:id w:val="42794290"/>
          <w:placeholder>
            <w:docPart w:val="18F16163032B4FF8B0C98D11D7F67272"/>
          </w:placeholder>
        </w:sdtPr>
        <w:sdtContent>
          <w:r w:rsidRPr="00790860">
            <w:rPr>
              <w:rFonts w:ascii="Times New Roman" w:eastAsia="Times New Roman" w:hAnsi="Times New Roman" w:cs="Times New Roman"/>
              <w:color w:val="000000"/>
            </w:rPr>
            <w:t xml:space="preserve">(Oelkers &amp; </w:t>
          </w:r>
          <w:proofErr w:type="spellStart"/>
          <w:r w:rsidRPr="00790860">
            <w:rPr>
              <w:rFonts w:ascii="Times New Roman" w:eastAsia="Times New Roman" w:hAnsi="Times New Roman" w:cs="Times New Roman"/>
              <w:color w:val="000000"/>
            </w:rPr>
            <w:t>Addassi</w:t>
          </w:r>
          <w:proofErr w:type="spellEnd"/>
          <w:r w:rsidRPr="00790860">
            <w:rPr>
              <w:rFonts w:ascii="Times New Roman" w:eastAsia="Times New Roman" w:hAnsi="Times New Roman" w:cs="Times New Roman"/>
              <w:color w:val="000000"/>
            </w:rPr>
            <w:t>, 2025)</w:t>
          </w:r>
        </w:sdtContent>
      </w:sdt>
      <w:r w:rsidRPr="00790860">
        <w:rPr>
          <w:rFonts w:ascii="Times New Roman" w:hAnsi="Times New Roman" w:cs="Times New Roman"/>
        </w:rPr>
        <w:t xml:space="preserve">. All thermodynamic data required to simulate dissolution/precipitation were sourced from the LLNL.dat database </w:t>
      </w:r>
      <w:sdt>
        <w:sdtPr>
          <w:rPr>
            <w:rFonts w:ascii="Times New Roman" w:hAnsi="Times New Roman" w:cs="Times New Roman"/>
            <w:color w:val="000000"/>
          </w:rPr>
          <w:tag w:val="MENDELEY_CITATION_v3_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"/>
          <w:id w:val="-1226456386"/>
          <w:placeholder>
            <w:docPart w:val="92672C10B0B0490C832AF8CB1099A1A6"/>
          </w:placeholder>
        </w:sdtPr>
        <w:sdtContent>
          <w:r w:rsidRPr="00790860">
            <w:rPr>
              <w:rFonts w:ascii="Times New Roman" w:eastAsia="Times New Roman" w:hAnsi="Times New Roman" w:cs="Times New Roman"/>
              <w:color w:val="000000"/>
            </w:rPr>
            <w:t>(Parkhurst &amp; Appelo, 2013)</w:t>
          </w:r>
        </w:sdtContent>
      </w:sdt>
      <w:r w:rsidRPr="00790860">
        <w:rPr>
          <w:rFonts w:ascii="Times New Roman" w:hAnsi="Times New Roman" w:cs="Times New Roman"/>
          <w:color w:val="000000"/>
        </w:rPr>
        <w:t xml:space="preserve">, </w:t>
      </w:r>
      <w:proofErr w:type="gramStart"/>
      <w:r w:rsidRPr="00790860">
        <w:rPr>
          <w:rFonts w:ascii="Times New Roman" w:hAnsi="Times New Roman" w:cs="Times New Roman"/>
        </w:rPr>
        <w:t>with the exception of</w:t>
      </w:r>
      <w:proofErr w:type="gramEnd"/>
      <w:r w:rsidRPr="00790860">
        <w:rPr>
          <w:rFonts w:ascii="Times New Roman" w:hAnsi="Times New Roman" w:cs="Times New Roman"/>
        </w:rPr>
        <w:t xml:space="preserve"> amorphous SiO</w:t>
      </w:r>
      <w:r w:rsidRPr="00790860">
        <w:rPr>
          <w:rFonts w:ascii="Times New Roman" w:hAnsi="Times New Roman" w:cs="Times New Roman"/>
          <w:vertAlign w:val="subscript"/>
        </w:rPr>
        <w:t xml:space="preserve">2 </w:t>
      </w:r>
      <w:r w:rsidRPr="00790860">
        <w:rPr>
          <w:rFonts w:ascii="Times New Roman" w:hAnsi="Times New Roman" w:cs="Times New Roman"/>
        </w:rPr>
        <w:t xml:space="preserve">and </w:t>
      </w:r>
      <w:proofErr w:type="gramStart"/>
      <w:r w:rsidRPr="00790860">
        <w:rPr>
          <w:rFonts w:ascii="Times New Roman" w:hAnsi="Times New Roman" w:cs="Times New Roman"/>
        </w:rPr>
        <w:t>Al(</w:t>
      </w:r>
      <w:proofErr w:type="gramEnd"/>
      <w:r w:rsidRPr="00790860">
        <w:rPr>
          <w:rFonts w:ascii="Times New Roman" w:hAnsi="Times New Roman" w:cs="Times New Roman"/>
        </w:rPr>
        <w:t>OH)</w:t>
      </w:r>
      <w:r w:rsidRPr="00790860">
        <w:rPr>
          <w:rFonts w:ascii="Times New Roman" w:hAnsi="Times New Roman" w:cs="Times New Roman"/>
          <w:vertAlign w:val="subscript"/>
        </w:rPr>
        <w:t>3</w:t>
      </w:r>
      <w:r w:rsidRPr="00790860">
        <w:rPr>
          <w:rFonts w:ascii="Times New Roman" w:hAnsi="Times New Roman" w:cs="Times New Roman"/>
        </w:rPr>
        <w:t xml:space="preserve"> which were sourced from PHREEQC.dat, and </w:t>
      </w:r>
      <w:proofErr w:type="spellStart"/>
      <w:r w:rsidRPr="00790860">
        <w:rPr>
          <w:rFonts w:ascii="Times New Roman" w:hAnsi="Times New Roman" w:cs="Times New Roman"/>
        </w:rPr>
        <w:t>Schwertmannite</w:t>
      </w:r>
      <w:proofErr w:type="spellEnd"/>
      <w:r w:rsidRPr="00790860">
        <w:rPr>
          <w:rFonts w:ascii="Times New Roman" w:hAnsi="Times New Roman" w:cs="Times New Roman"/>
        </w:rPr>
        <w:t xml:space="preserve"> and Calcite which were both sourced from the </w:t>
      </w:r>
      <w:proofErr w:type="spellStart"/>
      <w:r w:rsidRPr="00790860">
        <w:rPr>
          <w:rFonts w:ascii="Times New Roman" w:hAnsi="Times New Roman" w:cs="Times New Roman"/>
        </w:rPr>
        <w:t>Thermoddem</w:t>
      </w:r>
      <w:proofErr w:type="spellEnd"/>
      <w:r w:rsidRPr="00790860">
        <w:rPr>
          <w:rFonts w:ascii="Times New Roman" w:hAnsi="Times New Roman" w:cs="Times New Roman"/>
        </w:rPr>
        <w:t xml:space="preserve"> database </w:t>
      </w:r>
      <w:sdt>
        <w:sdtPr>
          <w:rPr>
            <w:rFonts w:ascii="Times New Roman" w:hAnsi="Times New Roman" w:cs="Times New Roman"/>
            <w:color w:val="000000"/>
          </w:rPr>
          <w:tag w:val="MENDELEY_CITATION_v3_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"/>
          <w:id w:val="483209540"/>
          <w:placeholder>
            <w:docPart w:val="18F16163032B4FF8B0C98D11D7F67272"/>
          </w:placeholder>
        </w:sdtPr>
        <w:sdtContent>
          <w:r w:rsidRPr="00790860">
            <w:rPr>
              <w:rFonts w:ascii="Times New Roman" w:hAnsi="Times New Roman" w:cs="Times New Roman"/>
              <w:color w:val="000000"/>
            </w:rPr>
            <w:t>(Blanc, 2017)</w:t>
          </w:r>
        </w:sdtContent>
      </w:sdt>
      <w:r w:rsidRPr="00790860">
        <w:rPr>
          <w:rFonts w:ascii="Times New Roman" w:hAnsi="Times New Roman" w:cs="Times New Roman"/>
        </w:rPr>
        <w:t xml:space="preserve">.  </w:t>
      </w:r>
    </w:p>
    <w:p w14:paraId="6806EFCE" w14:textId="77777777" w:rsidR="00C51BE2" w:rsidRPr="00790860" w:rsidRDefault="00C51BE2" w:rsidP="00790860">
      <w:pPr>
        <w:jc w:val="both"/>
        <w:rPr>
          <w:rFonts w:ascii="Times New Roman" w:hAnsi="Times New Roman" w:cs="Times New Roman"/>
        </w:rPr>
      </w:pPr>
      <w:r w:rsidRPr="00790860">
        <w:rPr>
          <w:rFonts w:ascii="Times New Roman" w:hAnsi="Times New Roman" w:cs="Times New Roman"/>
        </w:rPr>
        <w:lastRenderedPageBreak/>
        <w:t xml:space="preserve">Rock mineralogy was determined from X-ray diffraction measurements. Carbonate concentrations were recalculated from coulometry data, and the mineralogy was renormalised to 100 wt.%. The mineralogy used in the model is reported in Supplementary Table S3. </w:t>
      </w:r>
    </w:p>
    <w:p w14:paraId="6D2A9809" w14:textId="77777777" w:rsidR="00C51BE2" w:rsidRPr="00790860" w:rsidRDefault="00C51BE2" w:rsidP="00790860">
      <w:pPr>
        <w:jc w:val="both"/>
        <w:rPr>
          <w:rFonts w:ascii="Times New Roman" w:hAnsi="Times New Roman" w:cs="Times New Roman"/>
        </w:rPr>
      </w:pPr>
      <w:r w:rsidRPr="00790860">
        <w:rPr>
          <w:rFonts w:ascii="Times New Roman" w:hAnsi="Times New Roman" w:cs="Times New Roman"/>
        </w:rPr>
        <w:t xml:space="preserve">The mineral chemistry of the minerals was optimised manually by combining whole-rock chemical assay data with the mineral stochiometric limits defined by the Handbook of Mineralogy </w:t>
      </w:r>
      <w:sdt>
        <w:sdtPr>
          <w:rPr>
            <w:rFonts w:ascii="Times New Roman" w:hAnsi="Times New Roman" w:cs="Times New Roman"/>
            <w:color w:val="000000"/>
          </w:rPr>
          <w:tag w:val="MENDELEY_CITATION_v3_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"/>
          <w:id w:val="64233716"/>
          <w:placeholder>
            <w:docPart w:val="9BAE796028A44199B9D3D05CF17565FD"/>
          </w:placeholder>
        </w:sdtPr>
        <w:sdtContent>
          <w:r w:rsidRPr="00790860">
            <w:rPr>
              <w:rFonts w:ascii="Times New Roman" w:hAnsi="Times New Roman" w:cs="Times New Roman"/>
              <w:color w:val="000000"/>
            </w:rPr>
            <w:t>(Anthony et al., 2002)</w:t>
          </w:r>
        </w:sdtContent>
      </w:sdt>
      <w:r w:rsidRPr="00790860">
        <w:rPr>
          <w:rFonts w:ascii="Times New Roman" w:hAnsi="Times New Roman" w:cs="Times New Roman"/>
          <w:color w:val="000000"/>
        </w:rPr>
        <w:t>. Good fits between measured Mg wt.% (23.6 wt.%, from the rock assay) and calculated Mg wt.% (23.9 wt.%, from the mineral chemistry optimisation) were observed, with a difference of 1%.</w:t>
      </w:r>
    </w:p>
    <w:p w14:paraId="1617882F" w14:textId="77777777" w:rsidR="00C51BE2" w:rsidRPr="00790860" w:rsidRDefault="00C51BE2" w:rsidP="00790860">
      <w:pPr>
        <w:jc w:val="both"/>
        <w:rPr>
          <w:rFonts w:ascii="Times New Roman" w:hAnsi="Times New Roman" w:cs="Times New Roman"/>
        </w:rPr>
      </w:pPr>
      <w:r w:rsidRPr="00790860">
        <w:rPr>
          <w:rFonts w:ascii="Times New Roman" w:hAnsi="Times New Roman" w:cs="Times New Roman"/>
        </w:rPr>
        <w:t xml:space="preserve">Mineral surface area was attributed across the mineral phases as a function of the three parameters noted above, with the addition of the “mineral surface roughness factor”, as defined in McBride, in prep. </w:t>
      </w:r>
    </w:p>
    <w:p w14:paraId="7751FBD1" w14:textId="72E9ADF0" w:rsidR="00161CEB" w:rsidRPr="00790860" w:rsidRDefault="00161CEB" w:rsidP="00790860">
      <w:pPr>
        <w:jc w:val="both"/>
        <w:rPr>
          <w:rFonts w:ascii="Times New Roman" w:hAnsi="Times New Roman" w:cs="Times New Roman"/>
        </w:rPr>
      </w:pPr>
      <w:r w:rsidRPr="00790860">
        <w:rPr>
          <w:rFonts w:ascii="Times New Roman" w:hAnsi="Times New Roman" w:cs="Times New Roman"/>
        </w:rPr>
        <w:t xml:space="preserve">More detailed </w:t>
      </w:r>
      <w:r w:rsidR="005A7119" w:rsidRPr="00790860">
        <w:rPr>
          <w:rFonts w:ascii="Times New Roman" w:hAnsi="Times New Roman" w:cs="Times New Roman"/>
        </w:rPr>
        <w:t>RTM cod</w:t>
      </w:r>
      <w:r w:rsidR="00EC5ABF" w:rsidRPr="00790860">
        <w:rPr>
          <w:rFonts w:ascii="Times New Roman" w:hAnsi="Times New Roman" w:cs="Times New Roman"/>
        </w:rPr>
        <w:t>ing files</w:t>
      </w:r>
      <w:r w:rsidR="005A7119" w:rsidRPr="00790860">
        <w:rPr>
          <w:rFonts w:ascii="Times New Roman" w:hAnsi="Times New Roman" w:cs="Times New Roman"/>
        </w:rPr>
        <w:t xml:space="preserve"> could be provided upon request. </w:t>
      </w:r>
    </w:p>
    <w:p w14:paraId="43008C9C" w14:textId="1FD030BE" w:rsidR="00B846AF" w:rsidRPr="00790860" w:rsidRDefault="00B846AF" w:rsidP="00790860">
      <w:pPr>
        <w:jc w:val="both"/>
        <w:rPr>
          <w:rFonts w:ascii="Times New Roman" w:hAnsi="Times New Roman" w:cs="Times New Roman"/>
          <w:highlight w:val="yellow"/>
        </w:rPr>
      </w:pPr>
    </w:p>
    <w:p w14:paraId="4DF1B9CC" w14:textId="77777777" w:rsidR="00B846AF" w:rsidRPr="00790860" w:rsidRDefault="00B846AF" w:rsidP="00790860">
      <w:pPr>
        <w:jc w:val="both"/>
        <w:rPr>
          <w:rFonts w:ascii="Times New Roman" w:hAnsi="Times New Roman" w:cs="Times New Roman"/>
        </w:rPr>
      </w:pPr>
      <w:r w:rsidRPr="00790860">
        <w:rPr>
          <w:rFonts w:ascii="Times New Roman" w:hAnsi="Times New Roman" w:cs="Times New Roman"/>
        </w:rPr>
        <w:br w:type="page"/>
      </w:r>
    </w:p>
    <w:p w14:paraId="5ECEFAD8" w14:textId="77777777" w:rsidR="002F106D" w:rsidRPr="002F106D" w:rsidRDefault="002F106D" w:rsidP="002F106D">
      <w:pPr>
        <w:pStyle w:val="Heading1"/>
        <w:spacing w:before="120" w:after="120" w:line="360" w:lineRule="auto"/>
        <w:jc w:val="both"/>
        <w:rPr>
          <w:rFonts w:ascii="Times New Roman" w:hAnsi="Times New Roman" w:cs="Times New Roman"/>
          <w:b/>
          <w:bCs/>
          <w:color w:val="auto"/>
          <w:sz w:val="24"/>
          <w:szCs w:val="24"/>
        </w:rPr>
      </w:pPr>
      <w:r w:rsidRPr="002F106D">
        <w:rPr>
          <w:rFonts w:ascii="Times New Roman" w:hAnsi="Times New Roman" w:cs="Times New Roman"/>
          <w:b/>
          <w:bCs/>
          <w:color w:val="auto"/>
          <w:sz w:val="24"/>
          <w:szCs w:val="24"/>
        </w:rPr>
        <w:lastRenderedPageBreak/>
        <w:t>References</w:t>
      </w:r>
    </w:p>
    <w:p w14:paraId="0D0AB952" w14:textId="12DEFE95" w:rsidR="007C2590" w:rsidRPr="007C2590" w:rsidRDefault="007C2590" w:rsidP="007C2590">
      <w:pPr>
        <w:pStyle w:val="Bibliography"/>
        <w:rPr>
          <w:rFonts w:ascii="Times New Roman" w:hAnsi="Times New Roman" w:cs="Times New Roman"/>
          <w:kern w:val="0"/>
        </w:rPr>
      </w:pPr>
      <w:r>
        <w:fldChar w:fldCharType="begin"/>
      </w:r>
      <w:r>
        <w:instrText xml:space="preserve"> ADDIN ZOTERO_BIBL {"uncited":[],"omitted":[],"custom":[]} CSL_BIBLIOGRAPHY </w:instrText>
      </w:r>
      <w:r>
        <w:fldChar w:fldCharType="separate"/>
      </w:r>
      <w:r w:rsidRPr="007C2590">
        <w:rPr>
          <w:rFonts w:ascii="Times New Roman" w:hAnsi="Times New Roman" w:cs="Times New Roman"/>
          <w:kern w:val="0"/>
        </w:rPr>
        <w:t>1.</w:t>
      </w:r>
      <w:r w:rsidRPr="007C2590">
        <w:rPr>
          <w:rFonts w:ascii="Times New Roman" w:hAnsi="Times New Roman" w:cs="Times New Roman"/>
          <w:kern w:val="0"/>
        </w:rPr>
        <w:tab/>
        <w:t>CDRfyi. CDR.fyi_Leaderboards. https://www.cdr.fyi/leaderboards (2025).</w:t>
      </w:r>
    </w:p>
    <w:p w14:paraId="6F74327D"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2.</w:t>
      </w:r>
      <w:r w:rsidRPr="007C2590">
        <w:rPr>
          <w:rFonts w:ascii="Times New Roman" w:hAnsi="Times New Roman" w:cs="Times New Roman"/>
          <w:kern w:val="0"/>
        </w:rPr>
        <w:tab/>
        <w:t xml:space="preserve">Renforth, P. The negative emission potential of alkaline materials. </w:t>
      </w:r>
      <w:r w:rsidRPr="007C2590">
        <w:rPr>
          <w:rFonts w:ascii="Times New Roman" w:hAnsi="Times New Roman" w:cs="Times New Roman"/>
          <w:i/>
          <w:iCs/>
          <w:kern w:val="0"/>
        </w:rPr>
        <w:t>Nat Commun</w:t>
      </w:r>
      <w:r w:rsidRPr="007C2590">
        <w:rPr>
          <w:rFonts w:ascii="Times New Roman" w:hAnsi="Times New Roman" w:cs="Times New Roman"/>
          <w:kern w:val="0"/>
        </w:rPr>
        <w:t xml:space="preserve"> </w:t>
      </w:r>
      <w:r w:rsidRPr="007C2590">
        <w:rPr>
          <w:rFonts w:ascii="Times New Roman" w:hAnsi="Times New Roman" w:cs="Times New Roman"/>
          <w:b/>
          <w:bCs/>
          <w:kern w:val="0"/>
        </w:rPr>
        <w:t>10</w:t>
      </w:r>
      <w:r w:rsidRPr="007C2590">
        <w:rPr>
          <w:rFonts w:ascii="Times New Roman" w:hAnsi="Times New Roman" w:cs="Times New Roman"/>
          <w:kern w:val="0"/>
        </w:rPr>
        <w:t>, 1401 (2019).</w:t>
      </w:r>
    </w:p>
    <w:p w14:paraId="57C1CBFC"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3.</w:t>
      </w:r>
      <w:r w:rsidRPr="007C2590">
        <w:rPr>
          <w:rFonts w:ascii="Times New Roman" w:hAnsi="Times New Roman" w:cs="Times New Roman"/>
          <w:kern w:val="0"/>
        </w:rPr>
        <w:tab/>
        <w:t>IEAGHG. Mineral Carbonation using Mine Tailings – A Strategic Overview of Potential and Opportunities, 2022-10, July 2022. (2022).</w:t>
      </w:r>
    </w:p>
    <w:p w14:paraId="40BB7603"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4.</w:t>
      </w:r>
      <w:r w:rsidRPr="007C2590">
        <w:rPr>
          <w:rFonts w:ascii="Times New Roman" w:hAnsi="Times New Roman" w:cs="Times New Roman"/>
          <w:kern w:val="0"/>
        </w:rPr>
        <w:tab/>
        <w:t xml:space="preserve">Kelemen, P. B. </w:t>
      </w:r>
      <w:r w:rsidRPr="007C2590">
        <w:rPr>
          <w:rFonts w:ascii="Times New Roman" w:hAnsi="Times New Roman" w:cs="Times New Roman"/>
          <w:i/>
          <w:iCs/>
          <w:kern w:val="0"/>
        </w:rPr>
        <w:t>et al.</w:t>
      </w:r>
      <w:r w:rsidRPr="007C2590">
        <w:rPr>
          <w:rFonts w:ascii="Times New Roman" w:hAnsi="Times New Roman" w:cs="Times New Roman"/>
          <w:kern w:val="0"/>
        </w:rPr>
        <w:t xml:space="preserve"> Engineered carbon mineralization in ultramafic rocks for CO2 removal from air: Review and new insights. </w:t>
      </w:r>
      <w:r w:rsidRPr="007C2590">
        <w:rPr>
          <w:rFonts w:ascii="Times New Roman" w:hAnsi="Times New Roman" w:cs="Times New Roman"/>
          <w:i/>
          <w:iCs/>
          <w:kern w:val="0"/>
        </w:rPr>
        <w:t>Chemical Geology</w:t>
      </w:r>
      <w:r w:rsidRPr="007C2590">
        <w:rPr>
          <w:rFonts w:ascii="Times New Roman" w:hAnsi="Times New Roman" w:cs="Times New Roman"/>
          <w:kern w:val="0"/>
        </w:rPr>
        <w:t xml:space="preserve"> </w:t>
      </w:r>
      <w:r w:rsidRPr="007C2590">
        <w:rPr>
          <w:rFonts w:ascii="Times New Roman" w:hAnsi="Times New Roman" w:cs="Times New Roman"/>
          <w:b/>
          <w:bCs/>
          <w:kern w:val="0"/>
        </w:rPr>
        <w:t>550</w:t>
      </w:r>
      <w:r w:rsidRPr="007C2590">
        <w:rPr>
          <w:rFonts w:ascii="Times New Roman" w:hAnsi="Times New Roman" w:cs="Times New Roman"/>
          <w:kern w:val="0"/>
        </w:rPr>
        <w:t>, 119628 (2020).</w:t>
      </w:r>
    </w:p>
    <w:p w14:paraId="72AB2768"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5.</w:t>
      </w:r>
      <w:r w:rsidRPr="007C2590">
        <w:rPr>
          <w:rFonts w:ascii="Times New Roman" w:hAnsi="Times New Roman" w:cs="Times New Roman"/>
          <w:kern w:val="0"/>
        </w:rPr>
        <w:tab/>
        <w:t xml:space="preserve">Faber, G. </w:t>
      </w:r>
      <w:r w:rsidRPr="007C2590">
        <w:rPr>
          <w:rFonts w:ascii="Times New Roman" w:hAnsi="Times New Roman" w:cs="Times New Roman"/>
          <w:i/>
          <w:iCs/>
          <w:kern w:val="0"/>
        </w:rPr>
        <w:t>et al.</w:t>
      </w:r>
      <w:r w:rsidRPr="007C2590">
        <w:rPr>
          <w:rFonts w:ascii="Times New Roman" w:hAnsi="Times New Roman" w:cs="Times New Roman"/>
          <w:kern w:val="0"/>
        </w:rPr>
        <w:t xml:space="preserve"> Adapting Technology Learning Curves for Prospective Techno-Economic and Life Cycle Assessments of Emerging Carbon Capture and Utilization Pathways. </w:t>
      </w:r>
      <w:r w:rsidRPr="007C2590">
        <w:rPr>
          <w:rFonts w:ascii="Times New Roman" w:hAnsi="Times New Roman" w:cs="Times New Roman"/>
          <w:i/>
          <w:iCs/>
          <w:kern w:val="0"/>
        </w:rPr>
        <w:t>Frontiers in Climate</w:t>
      </w:r>
      <w:r w:rsidRPr="007C2590">
        <w:rPr>
          <w:rFonts w:ascii="Times New Roman" w:hAnsi="Times New Roman" w:cs="Times New Roman"/>
          <w:kern w:val="0"/>
        </w:rPr>
        <w:t xml:space="preserve"> </w:t>
      </w:r>
      <w:r w:rsidRPr="007C2590">
        <w:rPr>
          <w:rFonts w:ascii="Times New Roman" w:hAnsi="Times New Roman" w:cs="Times New Roman"/>
          <w:b/>
          <w:bCs/>
          <w:kern w:val="0"/>
        </w:rPr>
        <w:t>4</w:t>
      </w:r>
      <w:r w:rsidRPr="007C2590">
        <w:rPr>
          <w:rFonts w:ascii="Times New Roman" w:hAnsi="Times New Roman" w:cs="Times New Roman"/>
          <w:kern w:val="0"/>
        </w:rPr>
        <w:t>, (2022).</w:t>
      </w:r>
    </w:p>
    <w:p w14:paraId="2B13A436"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6.</w:t>
      </w:r>
      <w:r w:rsidRPr="007C2590">
        <w:rPr>
          <w:rFonts w:ascii="Times New Roman" w:hAnsi="Times New Roman" w:cs="Times New Roman"/>
          <w:kern w:val="0"/>
        </w:rPr>
        <w:tab/>
        <w:t xml:space="preserve">Roussanaly, S. </w:t>
      </w:r>
      <w:r w:rsidRPr="007C2590">
        <w:rPr>
          <w:rFonts w:ascii="Times New Roman" w:hAnsi="Times New Roman" w:cs="Times New Roman"/>
          <w:i/>
          <w:iCs/>
          <w:kern w:val="0"/>
        </w:rPr>
        <w:t>et al.</w:t>
      </w:r>
      <w:r w:rsidRPr="007C2590">
        <w:rPr>
          <w:rFonts w:ascii="Times New Roman" w:hAnsi="Times New Roman" w:cs="Times New Roman"/>
          <w:kern w:val="0"/>
        </w:rPr>
        <w:t xml:space="preserve"> </w:t>
      </w:r>
      <w:r w:rsidRPr="007C2590">
        <w:rPr>
          <w:rFonts w:ascii="Times New Roman" w:hAnsi="Times New Roman" w:cs="Times New Roman"/>
          <w:i/>
          <w:iCs/>
          <w:kern w:val="0"/>
        </w:rPr>
        <w:t>Towards Improved Guidelines for Cost Evaluation of Carbon Capture and Storage</w:t>
      </w:r>
      <w:r w:rsidRPr="007C2590">
        <w:rPr>
          <w:rFonts w:ascii="Times New Roman" w:hAnsi="Times New Roman" w:cs="Times New Roman"/>
          <w:kern w:val="0"/>
        </w:rPr>
        <w:t>. None, 1779820 https://www.osti.gov/servlets/purl/1779820/ (2021) doi:10.2172/1779820.</w:t>
      </w:r>
    </w:p>
    <w:p w14:paraId="2B8F86F5"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7.</w:t>
      </w:r>
      <w:r w:rsidRPr="007C2590">
        <w:rPr>
          <w:rFonts w:ascii="Times New Roman" w:hAnsi="Times New Roman" w:cs="Times New Roman"/>
          <w:kern w:val="0"/>
        </w:rPr>
        <w:tab/>
        <w:t xml:space="preserve">Captura. </w:t>
      </w:r>
      <w:r w:rsidRPr="007C2590">
        <w:rPr>
          <w:rFonts w:ascii="Times New Roman" w:hAnsi="Times New Roman" w:cs="Times New Roman"/>
          <w:i/>
          <w:iCs/>
          <w:kern w:val="0"/>
        </w:rPr>
        <w:t>Innovations and Cost Reductions in Direct Ocean Capture</w:t>
      </w:r>
      <w:r w:rsidRPr="007C2590">
        <w:rPr>
          <w:rFonts w:ascii="Times New Roman" w:hAnsi="Times New Roman" w:cs="Times New Roman"/>
          <w:kern w:val="0"/>
        </w:rPr>
        <w:t>. https://capturacorp.com/wp-content/uploads/2024/08/DOC-innovations-and-cost-reductions.pdf (2024).</w:t>
      </w:r>
    </w:p>
    <w:p w14:paraId="3C392897"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8.</w:t>
      </w:r>
      <w:r w:rsidRPr="007C2590">
        <w:rPr>
          <w:rFonts w:ascii="Times New Roman" w:hAnsi="Times New Roman" w:cs="Times New Roman"/>
          <w:kern w:val="0"/>
        </w:rPr>
        <w:tab/>
        <w:t xml:space="preserve">Breyer, C., Fasihi, M., Bajamundi, C. &amp; Creutzig, F. Direct Air Capture of CO2: A Key Technology for Ambitious Climate Change Mitigation. </w:t>
      </w:r>
      <w:r w:rsidRPr="007C2590">
        <w:rPr>
          <w:rFonts w:ascii="Times New Roman" w:hAnsi="Times New Roman" w:cs="Times New Roman"/>
          <w:i/>
          <w:iCs/>
          <w:kern w:val="0"/>
        </w:rPr>
        <w:t>Joule</w:t>
      </w:r>
      <w:r w:rsidRPr="007C2590">
        <w:rPr>
          <w:rFonts w:ascii="Times New Roman" w:hAnsi="Times New Roman" w:cs="Times New Roman"/>
          <w:kern w:val="0"/>
        </w:rPr>
        <w:t xml:space="preserve"> </w:t>
      </w:r>
      <w:r w:rsidRPr="007C2590">
        <w:rPr>
          <w:rFonts w:ascii="Times New Roman" w:hAnsi="Times New Roman" w:cs="Times New Roman"/>
          <w:b/>
          <w:bCs/>
          <w:kern w:val="0"/>
        </w:rPr>
        <w:t>3</w:t>
      </w:r>
      <w:r w:rsidRPr="007C2590">
        <w:rPr>
          <w:rFonts w:ascii="Times New Roman" w:hAnsi="Times New Roman" w:cs="Times New Roman"/>
          <w:kern w:val="0"/>
        </w:rPr>
        <w:t>, 2053–2057 (2019).</w:t>
      </w:r>
    </w:p>
    <w:p w14:paraId="77D6FC8C"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9.</w:t>
      </w:r>
      <w:r w:rsidRPr="007C2590">
        <w:rPr>
          <w:rFonts w:ascii="Times New Roman" w:hAnsi="Times New Roman" w:cs="Times New Roman"/>
          <w:kern w:val="0"/>
        </w:rPr>
        <w:tab/>
        <w:t xml:space="preserve">McQueen, N. </w:t>
      </w:r>
      <w:r w:rsidRPr="007C2590">
        <w:rPr>
          <w:rFonts w:ascii="Times New Roman" w:hAnsi="Times New Roman" w:cs="Times New Roman"/>
          <w:i/>
          <w:iCs/>
          <w:kern w:val="0"/>
        </w:rPr>
        <w:t>et al.</w:t>
      </w:r>
      <w:r w:rsidRPr="007C2590">
        <w:rPr>
          <w:rFonts w:ascii="Times New Roman" w:hAnsi="Times New Roman" w:cs="Times New Roman"/>
          <w:kern w:val="0"/>
        </w:rPr>
        <w:t xml:space="preserve"> A review of direct air capture (DAC): scaling up commercial technologies and innovating for the future. </w:t>
      </w:r>
      <w:r w:rsidRPr="007C2590">
        <w:rPr>
          <w:rFonts w:ascii="Times New Roman" w:hAnsi="Times New Roman" w:cs="Times New Roman"/>
          <w:i/>
          <w:iCs/>
          <w:kern w:val="0"/>
        </w:rPr>
        <w:t>Prog. Energy</w:t>
      </w:r>
      <w:r w:rsidRPr="007C2590">
        <w:rPr>
          <w:rFonts w:ascii="Times New Roman" w:hAnsi="Times New Roman" w:cs="Times New Roman"/>
          <w:kern w:val="0"/>
        </w:rPr>
        <w:t xml:space="preserve"> </w:t>
      </w:r>
      <w:r w:rsidRPr="007C2590">
        <w:rPr>
          <w:rFonts w:ascii="Times New Roman" w:hAnsi="Times New Roman" w:cs="Times New Roman"/>
          <w:b/>
          <w:bCs/>
          <w:kern w:val="0"/>
        </w:rPr>
        <w:t>3</w:t>
      </w:r>
      <w:r w:rsidRPr="007C2590">
        <w:rPr>
          <w:rFonts w:ascii="Times New Roman" w:hAnsi="Times New Roman" w:cs="Times New Roman"/>
          <w:kern w:val="0"/>
        </w:rPr>
        <w:t>, 032001 (2021).</w:t>
      </w:r>
    </w:p>
    <w:p w14:paraId="0DA382F2"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10.</w:t>
      </w:r>
      <w:r w:rsidRPr="007C2590">
        <w:rPr>
          <w:rFonts w:ascii="Times New Roman" w:hAnsi="Times New Roman" w:cs="Times New Roman"/>
          <w:kern w:val="0"/>
        </w:rPr>
        <w:tab/>
        <w:t xml:space="preserve">Sievert, K., Schmidt, T. S. &amp; Steffen, B. Considering technology characteristics to project future costs of direct air capture. </w:t>
      </w:r>
      <w:r w:rsidRPr="007C2590">
        <w:rPr>
          <w:rFonts w:ascii="Times New Roman" w:hAnsi="Times New Roman" w:cs="Times New Roman"/>
          <w:i/>
          <w:iCs/>
          <w:kern w:val="0"/>
        </w:rPr>
        <w:t>Joule</w:t>
      </w:r>
      <w:r w:rsidRPr="007C2590">
        <w:rPr>
          <w:rFonts w:ascii="Times New Roman" w:hAnsi="Times New Roman" w:cs="Times New Roman"/>
          <w:kern w:val="0"/>
        </w:rPr>
        <w:t xml:space="preserve"> </w:t>
      </w:r>
      <w:r w:rsidRPr="007C2590">
        <w:rPr>
          <w:rFonts w:ascii="Times New Roman" w:hAnsi="Times New Roman" w:cs="Times New Roman"/>
          <w:b/>
          <w:bCs/>
          <w:kern w:val="0"/>
        </w:rPr>
        <w:t>8</w:t>
      </w:r>
      <w:r w:rsidRPr="007C2590">
        <w:rPr>
          <w:rFonts w:ascii="Times New Roman" w:hAnsi="Times New Roman" w:cs="Times New Roman"/>
          <w:kern w:val="0"/>
        </w:rPr>
        <w:t>, 979–999 (2024).</w:t>
      </w:r>
    </w:p>
    <w:p w14:paraId="54E32999"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11.</w:t>
      </w:r>
      <w:r w:rsidRPr="007C2590">
        <w:rPr>
          <w:rFonts w:ascii="Times New Roman" w:hAnsi="Times New Roman" w:cs="Times New Roman"/>
          <w:kern w:val="0"/>
        </w:rPr>
        <w:tab/>
        <w:t xml:space="preserve">Young, J. </w:t>
      </w:r>
      <w:r w:rsidRPr="007C2590">
        <w:rPr>
          <w:rFonts w:ascii="Times New Roman" w:hAnsi="Times New Roman" w:cs="Times New Roman"/>
          <w:i/>
          <w:iCs/>
          <w:kern w:val="0"/>
        </w:rPr>
        <w:t>et al.</w:t>
      </w:r>
      <w:r w:rsidRPr="007C2590">
        <w:rPr>
          <w:rFonts w:ascii="Times New Roman" w:hAnsi="Times New Roman" w:cs="Times New Roman"/>
          <w:kern w:val="0"/>
        </w:rPr>
        <w:t xml:space="preserve"> The cost of direct air capture and storage can be reduced via strategic deployment but is unlikely to fall below stated cost targets. </w:t>
      </w:r>
      <w:r w:rsidRPr="007C2590">
        <w:rPr>
          <w:rFonts w:ascii="Times New Roman" w:hAnsi="Times New Roman" w:cs="Times New Roman"/>
          <w:i/>
          <w:iCs/>
          <w:kern w:val="0"/>
        </w:rPr>
        <w:t>One Earth</w:t>
      </w:r>
      <w:r w:rsidRPr="007C2590">
        <w:rPr>
          <w:rFonts w:ascii="Times New Roman" w:hAnsi="Times New Roman" w:cs="Times New Roman"/>
          <w:kern w:val="0"/>
        </w:rPr>
        <w:t xml:space="preserve"> </w:t>
      </w:r>
      <w:r w:rsidRPr="007C2590">
        <w:rPr>
          <w:rFonts w:ascii="Times New Roman" w:hAnsi="Times New Roman" w:cs="Times New Roman"/>
          <w:b/>
          <w:bCs/>
          <w:kern w:val="0"/>
        </w:rPr>
        <w:t>6</w:t>
      </w:r>
      <w:r w:rsidRPr="007C2590">
        <w:rPr>
          <w:rFonts w:ascii="Times New Roman" w:hAnsi="Times New Roman" w:cs="Times New Roman"/>
          <w:kern w:val="0"/>
        </w:rPr>
        <w:t>, 899–917 (2023).</w:t>
      </w:r>
    </w:p>
    <w:p w14:paraId="29BFA874"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lastRenderedPageBreak/>
        <w:t>12.</w:t>
      </w:r>
      <w:r w:rsidRPr="007C2590">
        <w:rPr>
          <w:rFonts w:ascii="Times New Roman" w:hAnsi="Times New Roman" w:cs="Times New Roman"/>
          <w:kern w:val="0"/>
        </w:rPr>
        <w:tab/>
        <w:t xml:space="preserve">Caldera, U. &amp; Breyer, C. Learning Curve for Seawater Reverse Osmosis Desalination Plants: Capital Cost Trend of the Past, Present, and Future. </w:t>
      </w:r>
      <w:r w:rsidRPr="007C2590">
        <w:rPr>
          <w:rFonts w:ascii="Times New Roman" w:hAnsi="Times New Roman" w:cs="Times New Roman"/>
          <w:i/>
          <w:iCs/>
          <w:kern w:val="0"/>
        </w:rPr>
        <w:t>Water Resources Research</w:t>
      </w:r>
      <w:r w:rsidRPr="007C2590">
        <w:rPr>
          <w:rFonts w:ascii="Times New Roman" w:hAnsi="Times New Roman" w:cs="Times New Roman"/>
          <w:kern w:val="0"/>
        </w:rPr>
        <w:t xml:space="preserve"> </w:t>
      </w:r>
      <w:r w:rsidRPr="007C2590">
        <w:rPr>
          <w:rFonts w:ascii="Times New Roman" w:hAnsi="Times New Roman" w:cs="Times New Roman"/>
          <w:b/>
          <w:bCs/>
          <w:kern w:val="0"/>
        </w:rPr>
        <w:t>53</w:t>
      </w:r>
      <w:r w:rsidRPr="007C2590">
        <w:rPr>
          <w:rFonts w:ascii="Times New Roman" w:hAnsi="Times New Roman" w:cs="Times New Roman"/>
          <w:kern w:val="0"/>
        </w:rPr>
        <w:t>, 10523–10538 (2017).</w:t>
      </w:r>
    </w:p>
    <w:p w14:paraId="38AE23C3"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13.</w:t>
      </w:r>
      <w:r w:rsidRPr="007C2590">
        <w:rPr>
          <w:rFonts w:ascii="Times New Roman" w:hAnsi="Times New Roman" w:cs="Times New Roman"/>
          <w:kern w:val="0"/>
        </w:rPr>
        <w:tab/>
        <w:t xml:space="preserve">Oxley, A., Smith, M. E. &amp; Caceres, O. Why heap leach nickel laterites? </w:t>
      </w:r>
      <w:r w:rsidRPr="007C2590">
        <w:rPr>
          <w:rFonts w:ascii="Times New Roman" w:hAnsi="Times New Roman" w:cs="Times New Roman"/>
          <w:i/>
          <w:iCs/>
          <w:kern w:val="0"/>
        </w:rPr>
        <w:t>Minerals Engineering</w:t>
      </w:r>
      <w:r w:rsidRPr="007C2590">
        <w:rPr>
          <w:rFonts w:ascii="Times New Roman" w:hAnsi="Times New Roman" w:cs="Times New Roman"/>
          <w:kern w:val="0"/>
        </w:rPr>
        <w:t xml:space="preserve"> </w:t>
      </w:r>
      <w:r w:rsidRPr="007C2590">
        <w:rPr>
          <w:rFonts w:ascii="Times New Roman" w:hAnsi="Times New Roman" w:cs="Times New Roman"/>
          <w:b/>
          <w:bCs/>
          <w:kern w:val="0"/>
        </w:rPr>
        <w:t>88</w:t>
      </w:r>
      <w:r w:rsidRPr="007C2590">
        <w:rPr>
          <w:rFonts w:ascii="Times New Roman" w:hAnsi="Times New Roman" w:cs="Times New Roman"/>
          <w:kern w:val="0"/>
        </w:rPr>
        <w:t>, 53–60 (2016).</w:t>
      </w:r>
    </w:p>
    <w:p w14:paraId="0B9EBD78"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14.</w:t>
      </w:r>
      <w:r w:rsidRPr="007C2590">
        <w:rPr>
          <w:rFonts w:ascii="Times New Roman" w:hAnsi="Times New Roman" w:cs="Times New Roman"/>
          <w:kern w:val="0"/>
        </w:rPr>
        <w:tab/>
        <w:t xml:space="preserve">Valuates Reports. Bipolar Membranes Market, Report Size, Worth, Revenue, Growth, Industry Value, Share 2024. </w:t>
      </w:r>
      <w:r w:rsidRPr="007C2590">
        <w:rPr>
          <w:rFonts w:ascii="Times New Roman" w:hAnsi="Times New Roman" w:cs="Times New Roman"/>
          <w:i/>
          <w:iCs/>
          <w:kern w:val="0"/>
        </w:rPr>
        <w:t>Valuates Reports</w:t>
      </w:r>
      <w:r w:rsidRPr="007C2590">
        <w:rPr>
          <w:rFonts w:ascii="Times New Roman" w:hAnsi="Times New Roman" w:cs="Times New Roman"/>
          <w:kern w:val="0"/>
        </w:rPr>
        <w:t xml:space="preserve"> https://reports.valuates.com/market-reports/QYRE-Auto-32U2344/global-bipolar-membranes (2024).</w:t>
      </w:r>
    </w:p>
    <w:p w14:paraId="63D75EF6"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15.</w:t>
      </w:r>
      <w:r w:rsidRPr="007C2590">
        <w:rPr>
          <w:rFonts w:ascii="Times New Roman" w:hAnsi="Times New Roman" w:cs="Times New Roman"/>
          <w:kern w:val="0"/>
        </w:rPr>
        <w:tab/>
        <w:t xml:space="preserve">Virruso, G. </w:t>
      </w:r>
      <w:r w:rsidRPr="007C2590">
        <w:rPr>
          <w:rFonts w:ascii="Times New Roman" w:hAnsi="Times New Roman" w:cs="Times New Roman"/>
          <w:i/>
          <w:iCs/>
          <w:kern w:val="0"/>
        </w:rPr>
        <w:t>et al.</w:t>
      </w:r>
      <w:r w:rsidRPr="007C2590">
        <w:rPr>
          <w:rFonts w:ascii="Times New Roman" w:hAnsi="Times New Roman" w:cs="Times New Roman"/>
          <w:kern w:val="0"/>
        </w:rPr>
        <w:t xml:space="preserve"> Multi-scale modelling of an electrodialysis with bipolar membranes pilot plant and economic evaluation of its potential. </w:t>
      </w:r>
      <w:r w:rsidRPr="007C2590">
        <w:rPr>
          <w:rFonts w:ascii="Times New Roman" w:hAnsi="Times New Roman" w:cs="Times New Roman"/>
          <w:i/>
          <w:iCs/>
          <w:kern w:val="0"/>
        </w:rPr>
        <w:t>Desalination</w:t>
      </w:r>
      <w:r w:rsidRPr="007C2590">
        <w:rPr>
          <w:rFonts w:ascii="Times New Roman" w:hAnsi="Times New Roman" w:cs="Times New Roman"/>
          <w:kern w:val="0"/>
        </w:rPr>
        <w:t xml:space="preserve"> </w:t>
      </w:r>
      <w:r w:rsidRPr="007C2590">
        <w:rPr>
          <w:rFonts w:ascii="Times New Roman" w:hAnsi="Times New Roman" w:cs="Times New Roman"/>
          <w:b/>
          <w:bCs/>
          <w:kern w:val="0"/>
        </w:rPr>
        <w:t>583</w:t>
      </w:r>
      <w:r w:rsidRPr="007C2590">
        <w:rPr>
          <w:rFonts w:ascii="Times New Roman" w:hAnsi="Times New Roman" w:cs="Times New Roman"/>
          <w:kern w:val="0"/>
        </w:rPr>
        <w:t>, 117724 (2024).</w:t>
      </w:r>
    </w:p>
    <w:p w14:paraId="5862F050"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16.</w:t>
      </w:r>
      <w:r w:rsidRPr="007C2590">
        <w:rPr>
          <w:rFonts w:ascii="Times New Roman" w:hAnsi="Times New Roman" w:cs="Times New Roman"/>
          <w:kern w:val="0"/>
        </w:rPr>
        <w:tab/>
        <w:t xml:space="preserve">Frierdich, A. J., McBride, A., Tomkinson, S. &amp; Southall, S. C. Nickel Cycling and Negative Feedback on Fe(II)-Catalyzed Recrystallization of Goethite. </w:t>
      </w:r>
      <w:r w:rsidRPr="007C2590">
        <w:rPr>
          <w:rFonts w:ascii="Times New Roman" w:hAnsi="Times New Roman" w:cs="Times New Roman"/>
          <w:i/>
          <w:iCs/>
          <w:kern w:val="0"/>
        </w:rPr>
        <w:t>ACS Earth Space Chem.</w:t>
      </w:r>
      <w:r w:rsidRPr="007C2590">
        <w:rPr>
          <w:rFonts w:ascii="Times New Roman" w:hAnsi="Times New Roman" w:cs="Times New Roman"/>
          <w:kern w:val="0"/>
        </w:rPr>
        <w:t xml:space="preserve"> </w:t>
      </w:r>
      <w:r w:rsidRPr="007C2590">
        <w:rPr>
          <w:rFonts w:ascii="Times New Roman" w:hAnsi="Times New Roman" w:cs="Times New Roman"/>
          <w:b/>
          <w:bCs/>
          <w:kern w:val="0"/>
        </w:rPr>
        <w:t>3</w:t>
      </w:r>
      <w:r w:rsidRPr="007C2590">
        <w:rPr>
          <w:rFonts w:ascii="Times New Roman" w:hAnsi="Times New Roman" w:cs="Times New Roman"/>
          <w:kern w:val="0"/>
        </w:rPr>
        <w:t>, 1932–1941 (2019).</w:t>
      </w:r>
    </w:p>
    <w:p w14:paraId="66AA0AF2"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17.</w:t>
      </w:r>
      <w:r w:rsidRPr="007C2590">
        <w:rPr>
          <w:rFonts w:ascii="Times New Roman" w:hAnsi="Times New Roman" w:cs="Times New Roman"/>
          <w:kern w:val="0"/>
        </w:rPr>
        <w:tab/>
        <w:t>Allied offsets. Tracking Global DAC Deployments. https://blog.alliedoffsets.com/tracking-global-dac-deployments (2024).</w:t>
      </w:r>
    </w:p>
    <w:p w14:paraId="2472D69C"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18.</w:t>
      </w:r>
      <w:r w:rsidRPr="007C2590">
        <w:rPr>
          <w:rFonts w:ascii="Times New Roman" w:hAnsi="Times New Roman" w:cs="Times New Roman"/>
          <w:kern w:val="0"/>
        </w:rPr>
        <w:tab/>
        <w:t xml:space="preserve">Jones, E., Qadir, M., van Vliet, M. T. H., Smakhtin, V. &amp; Kang, S. The state of desalination and brine production: A global outlook. </w:t>
      </w:r>
      <w:r w:rsidRPr="007C2590">
        <w:rPr>
          <w:rFonts w:ascii="Times New Roman" w:hAnsi="Times New Roman" w:cs="Times New Roman"/>
          <w:i/>
          <w:iCs/>
          <w:kern w:val="0"/>
        </w:rPr>
        <w:t>Science of The Total Environment</w:t>
      </w:r>
      <w:r w:rsidRPr="007C2590">
        <w:rPr>
          <w:rFonts w:ascii="Times New Roman" w:hAnsi="Times New Roman" w:cs="Times New Roman"/>
          <w:kern w:val="0"/>
        </w:rPr>
        <w:t xml:space="preserve"> </w:t>
      </w:r>
      <w:r w:rsidRPr="007C2590">
        <w:rPr>
          <w:rFonts w:ascii="Times New Roman" w:hAnsi="Times New Roman" w:cs="Times New Roman"/>
          <w:b/>
          <w:bCs/>
          <w:kern w:val="0"/>
        </w:rPr>
        <w:t>657</w:t>
      </w:r>
      <w:r w:rsidRPr="007C2590">
        <w:rPr>
          <w:rFonts w:ascii="Times New Roman" w:hAnsi="Times New Roman" w:cs="Times New Roman"/>
          <w:kern w:val="0"/>
        </w:rPr>
        <w:t>, 1343–1356 (2019).</w:t>
      </w:r>
    </w:p>
    <w:p w14:paraId="649FD957"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19.</w:t>
      </w:r>
      <w:r w:rsidRPr="007C2590">
        <w:rPr>
          <w:rFonts w:ascii="Times New Roman" w:hAnsi="Times New Roman" w:cs="Times New Roman"/>
          <w:kern w:val="0"/>
        </w:rPr>
        <w:tab/>
        <w:t xml:space="preserve">David, R. R. Strategic Materials and Energy Transition: Nickel. </w:t>
      </w:r>
      <w:r w:rsidRPr="007C2590">
        <w:rPr>
          <w:rFonts w:ascii="Times New Roman" w:hAnsi="Times New Roman" w:cs="Times New Roman"/>
          <w:i/>
          <w:iCs/>
          <w:kern w:val="0"/>
        </w:rPr>
        <w:t>Energy Industry Review</w:t>
      </w:r>
      <w:r w:rsidRPr="007C2590">
        <w:rPr>
          <w:rFonts w:ascii="Times New Roman" w:hAnsi="Times New Roman" w:cs="Times New Roman"/>
          <w:kern w:val="0"/>
        </w:rPr>
        <w:t xml:space="preserve"> https://energyindustryreview.com/metals-mining/strategic-materials-and-energy-transition-nickel/ (2022).</w:t>
      </w:r>
    </w:p>
    <w:p w14:paraId="6361C10F" w14:textId="77777777" w:rsidR="007C2590" w:rsidRPr="007C2590" w:rsidRDefault="007C2590" w:rsidP="007C2590">
      <w:pPr>
        <w:pStyle w:val="Bibliography"/>
        <w:rPr>
          <w:rFonts w:ascii="Times New Roman" w:hAnsi="Times New Roman" w:cs="Times New Roman"/>
          <w:kern w:val="0"/>
        </w:rPr>
      </w:pPr>
      <w:r w:rsidRPr="007C2590">
        <w:rPr>
          <w:rFonts w:ascii="Times New Roman" w:hAnsi="Times New Roman" w:cs="Times New Roman"/>
          <w:kern w:val="0"/>
        </w:rPr>
        <w:t>20.</w:t>
      </w:r>
      <w:r w:rsidRPr="007C2590">
        <w:rPr>
          <w:rFonts w:ascii="Times New Roman" w:hAnsi="Times New Roman" w:cs="Times New Roman"/>
          <w:kern w:val="0"/>
        </w:rPr>
        <w:tab/>
        <w:t xml:space="preserve">Mudd, G. M. &amp; Jowitt, S. M. The New Century for Nickel Resources, Reserves, and Mining: Reassessing the Sustainability of the Devil’s Metal. </w:t>
      </w:r>
      <w:r w:rsidRPr="007C2590">
        <w:rPr>
          <w:rFonts w:ascii="Times New Roman" w:hAnsi="Times New Roman" w:cs="Times New Roman"/>
          <w:i/>
          <w:iCs/>
          <w:kern w:val="0"/>
        </w:rPr>
        <w:t>Economic Geology</w:t>
      </w:r>
      <w:r w:rsidRPr="007C2590">
        <w:rPr>
          <w:rFonts w:ascii="Times New Roman" w:hAnsi="Times New Roman" w:cs="Times New Roman"/>
          <w:kern w:val="0"/>
        </w:rPr>
        <w:t xml:space="preserve"> </w:t>
      </w:r>
      <w:r w:rsidRPr="007C2590">
        <w:rPr>
          <w:rFonts w:ascii="Times New Roman" w:hAnsi="Times New Roman" w:cs="Times New Roman"/>
          <w:b/>
          <w:bCs/>
          <w:kern w:val="0"/>
        </w:rPr>
        <w:t>117</w:t>
      </w:r>
      <w:r w:rsidRPr="007C2590">
        <w:rPr>
          <w:rFonts w:ascii="Times New Roman" w:hAnsi="Times New Roman" w:cs="Times New Roman"/>
          <w:kern w:val="0"/>
        </w:rPr>
        <w:t>, 1961–1983 (2022).</w:t>
      </w:r>
    </w:p>
    <w:p w14:paraId="59482040" w14:textId="5B482C0B" w:rsidR="00E71C02" w:rsidRPr="001A4923" w:rsidRDefault="007C2590" w:rsidP="00B846AF">
      <w:pPr>
        <w:spacing w:line="360" w:lineRule="auto"/>
        <w:rPr>
          <w:rFonts w:ascii="Times New Roman" w:eastAsiaTheme="majorEastAsia" w:hAnsi="Times New Roman" w:cs="Times New Roman"/>
          <w:b/>
        </w:rPr>
      </w:pPr>
      <w:r>
        <w:rPr>
          <w:rFonts w:ascii="Times New Roman" w:hAnsi="Times New Roman" w:cs="Times New Roman"/>
        </w:rPr>
        <w:fldChar w:fldCharType="end"/>
      </w:r>
    </w:p>
    <w:sectPr w:rsidR="00E71C02" w:rsidRPr="001A49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39F1" w14:textId="77777777" w:rsidR="006267BF" w:rsidRDefault="006267BF">
      <w:pPr>
        <w:spacing w:after="0" w:line="240" w:lineRule="auto"/>
      </w:pPr>
      <w:r>
        <w:separator/>
      </w:r>
    </w:p>
  </w:endnote>
  <w:endnote w:type="continuationSeparator" w:id="0">
    <w:p w14:paraId="17418F6F" w14:textId="77777777" w:rsidR="006267BF" w:rsidRDefault="0062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haris SI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068754"/>
      <w:docPartObj>
        <w:docPartGallery w:val="Page Numbers (Bottom of Page)"/>
        <w:docPartUnique/>
      </w:docPartObj>
    </w:sdtPr>
    <w:sdtEndPr>
      <w:rPr>
        <w:rFonts w:ascii="Calibri" w:hAnsi="Calibri" w:cs="Calibri"/>
        <w:noProof/>
        <w:sz w:val="22"/>
        <w:szCs w:val="22"/>
      </w:rPr>
    </w:sdtEndPr>
    <w:sdtContent>
      <w:p w14:paraId="140E2913" w14:textId="77777777" w:rsidR="002F106D" w:rsidRPr="00246500" w:rsidRDefault="002F106D" w:rsidP="00200596">
        <w:pPr>
          <w:pStyle w:val="Footer"/>
          <w:jc w:val="center"/>
          <w:rPr>
            <w:rFonts w:ascii="Calibri" w:hAnsi="Calibri" w:cs="Calibri"/>
            <w:sz w:val="22"/>
            <w:szCs w:val="22"/>
          </w:rPr>
        </w:pPr>
        <w:r w:rsidRPr="00246500">
          <w:rPr>
            <w:rFonts w:ascii="Calibri" w:hAnsi="Calibri" w:cs="Calibri"/>
            <w:sz w:val="22"/>
            <w:szCs w:val="22"/>
          </w:rPr>
          <w:fldChar w:fldCharType="begin"/>
        </w:r>
        <w:r w:rsidRPr="00246500">
          <w:rPr>
            <w:rFonts w:ascii="Calibri" w:hAnsi="Calibri" w:cs="Calibri"/>
            <w:sz w:val="22"/>
            <w:szCs w:val="22"/>
          </w:rPr>
          <w:instrText xml:space="preserve"> PAGE   \* MERGEFORMAT </w:instrText>
        </w:r>
        <w:r w:rsidRPr="00246500">
          <w:rPr>
            <w:rFonts w:ascii="Calibri" w:hAnsi="Calibri" w:cs="Calibri"/>
            <w:sz w:val="22"/>
            <w:szCs w:val="22"/>
          </w:rPr>
          <w:fldChar w:fldCharType="separate"/>
        </w:r>
        <w:r w:rsidRPr="00246500">
          <w:rPr>
            <w:rFonts w:ascii="Calibri" w:hAnsi="Calibri" w:cs="Calibri"/>
            <w:noProof/>
            <w:sz w:val="22"/>
            <w:szCs w:val="22"/>
          </w:rPr>
          <w:t>2</w:t>
        </w:r>
        <w:r w:rsidRPr="00246500">
          <w:rPr>
            <w:rFonts w:ascii="Calibri" w:hAnsi="Calibri" w:cs="Calibri"/>
            <w:noProof/>
            <w:sz w:val="22"/>
            <w:szCs w:val="22"/>
          </w:rPr>
          <w:fldChar w:fldCharType="end"/>
        </w:r>
      </w:p>
    </w:sdtContent>
  </w:sdt>
  <w:p w14:paraId="7E4A6862" w14:textId="77777777" w:rsidR="002F106D" w:rsidRDefault="002F1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120B" w14:textId="77777777" w:rsidR="006267BF" w:rsidRDefault="006267BF">
      <w:pPr>
        <w:spacing w:after="0" w:line="240" w:lineRule="auto"/>
      </w:pPr>
      <w:r>
        <w:separator/>
      </w:r>
    </w:p>
  </w:footnote>
  <w:footnote w:type="continuationSeparator" w:id="0">
    <w:p w14:paraId="3B74EA3A" w14:textId="77777777" w:rsidR="006267BF" w:rsidRDefault="00626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D34"/>
    <w:multiLevelType w:val="hybridMultilevel"/>
    <w:tmpl w:val="A58C5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92731"/>
    <w:multiLevelType w:val="hybridMultilevel"/>
    <w:tmpl w:val="6E8C5D5E"/>
    <w:lvl w:ilvl="0" w:tplc="CF207A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54361"/>
    <w:multiLevelType w:val="hybridMultilevel"/>
    <w:tmpl w:val="21A04FF8"/>
    <w:lvl w:ilvl="0" w:tplc="522010F0">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1B193892"/>
    <w:multiLevelType w:val="multilevel"/>
    <w:tmpl w:val="0684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D47B0"/>
    <w:multiLevelType w:val="multilevel"/>
    <w:tmpl w:val="56C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C1BC6"/>
    <w:multiLevelType w:val="multilevel"/>
    <w:tmpl w:val="79F6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14C3F"/>
    <w:multiLevelType w:val="multilevel"/>
    <w:tmpl w:val="56C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A3A62"/>
    <w:multiLevelType w:val="hybridMultilevel"/>
    <w:tmpl w:val="11788556"/>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41C43611"/>
    <w:multiLevelType w:val="hybridMultilevel"/>
    <w:tmpl w:val="4BAEC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6045D74"/>
    <w:multiLevelType w:val="multilevel"/>
    <w:tmpl w:val="0138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B30F3"/>
    <w:multiLevelType w:val="hybridMultilevel"/>
    <w:tmpl w:val="78B8B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6B0B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23657F"/>
    <w:multiLevelType w:val="multilevel"/>
    <w:tmpl w:val="56C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27E4E"/>
    <w:multiLevelType w:val="multilevel"/>
    <w:tmpl w:val="56C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42F7D"/>
    <w:multiLevelType w:val="hybridMultilevel"/>
    <w:tmpl w:val="E23A73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116C38"/>
    <w:multiLevelType w:val="hybridMultilevel"/>
    <w:tmpl w:val="672C8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87184F"/>
    <w:multiLevelType w:val="multilevel"/>
    <w:tmpl w:val="56C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1118DC"/>
    <w:multiLevelType w:val="multilevel"/>
    <w:tmpl w:val="46102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293B6C"/>
    <w:multiLevelType w:val="multilevel"/>
    <w:tmpl w:val="56C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706886">
    <w:abstractNumId w:val="11"/>
  </w:num>
  <w:num w:numId="2" w16cid:durableId="1921867534">
    <w:abstractNumId w:val="15"/>
  </w:num>
  <w:num w:numId="3" w16cid:durableId="1699889918">
    <w:abstractNumId w:val="8"/>
  </w:num>
  <w:num w:numId="4" w16cid:durableId="1586645082">
    <w:abstractNumId w:val="17"/>
  </w:num>
  <w:num w:numId="5" w16cid:durableId="164975531">
    <w:abstractNumId w:val="7"/>
  </w:num>
  <w:num w:numId="6" w16cid:durableId="1879125641">
    <w:abstractNumId w:val="14"/>
  </w:num>
  <w:num w:numId="7" w16cid:durableId="2130316120">
    <w:abstractNumId w:val="0"/>
  </w:num>
  <w:num w:numId="8" w16cid:durableId="747574106">
    <w:abstractNumId w:val="2"/>
  </w:num>
  <w:num w:numId="9" w16cid:durableId="513112797">
    <w:abstractNumId w:val="10"/>
  </w:num>
  <w:num w:numId="10" w16cid:durableId="1771268987">
    <w:abstractNumId w:val="18"/>
  </w:num>
  <w:num w:numId="11" w16cid:durableId="2435492">
    <w:abstractNumId w:val="4"/>
  </w:num>
  <w:num w:numId="12" w16cid:durableId="135267584">
    <w:abstractNumId w:val="12"/>
  </w:num>
  <w:num w:numId="13" w16cid:durableId="1190071448">
    <w:abstractNumId w:val="13"/>
  </w:num>
  <w:num w:numId="14" w16cid:durableId="1617560118">
    <w:abstractNumId w:val="16"/>
  </w:num>
  <w:num w:numId="15" w16cid:durableId="884945100">
    <w:abstractNumId w:val="6"/>
  </w:num>
  <w:num w:numId="16" w16cid:durableId="1269629460">
    <w:abstractNumId w:val="5"/>
  </w:num>
  <w:num w:numId="17" w16cid:durableId="234316515">
    <w:abstractNumId w:val="3"/>
  </w:num>
  <w:num w:numId="18" w16cid:durableId="79983007">
    <w:abstractNumId w:val="9"/>
  </w:num>
  <w:num w:numId="19" w16cid:durableId="101052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94"/>
    <w:rsid w:val="000061C1"/>
    <w:rsid w:val="00014FD6"/>
    <w:rsid w:val="0002071E"/>
    <w:rsid w:val="0002468E"/>
    <w:rsid w:val="00037D47"/>
    <w:rsid w:val="00043E51"/>
    <w:rsid w:val="0004687A"/>
    <w:rsid w:val="00090294"/>
    <w:rsid w:val="000B085E"/>
    <w:rsid w:val="000B3ABA"/>
    <w:rsid w:val="000C6CAC"/>
    <w:rsid w:val="000F2938"/>
    <w:rsid w:val="0010458E"/>
    <w:rsid w:val="001210A3"/>
    <w:rsid w:val="00124AF7"/>
    <w:rsid w:val="00142DFD"/>
    <w:rsid w:val="00161CEB"/>
    <w:rsid w:val="0016573E"/>
    <w:rsid w:val="001668E6"/>
    <w:rsid w:val="0018310A"/>
    <w:rsid w:val="001842BD"/>
    <w:rsid w:val="00187C85"/>
    <w:rsid w:val="001A3000"/>
    <w:rsid w:val="001A4923"/>
    <w:rsid w:val="001B243A"/>
    <w:rsid w:val="001D255F"/>
    <w:rsid w:val="001E64FF"/>
    <w:rsid w:val="001F0CE4"/>
    <w:rsid w:val="001F3059"/>
    <w:rsid w:val="001F371B"/>
    <w:rsid w:val="00203FBA"/>
    <w:rsid w:val="002044E6"/>
    <w:rsid w:val="00206555"/>
    <w:rsid w:val="00207716"/>
    <w:rsid w:val="00223F07"/>
    <w:rsid w:val="00224614"/>
    <w:rsid w:val="002267B4"/>
    <w:rsid w:val="002335B9"/>
    <w:rsid w:val="002339DB"/>
    <w:rsid w:val="0024356D"/>
    <w:rsid w:val="00243664"/>
    <w:rsid w:val="002732D9"/>
    <w:rsid w:val="002907C9"/>
    <w:rsid w:val="002930DE"/>
    <w:rsid w:val="00293F4B"/>
    <w:rsid w:val="002B02AB"/>
    <w:rsid w:val="002D727A"/>
    <w:rsid w:val="002D7AAE"/>
    <w:rsid w:val="002F106D"/>
    <w:rsid w:val="00301C1C"/>
    <w:rsid w:val="003242C7"/>
    <w:rsid w:val="0032579A"/>
    <w:rsid w:val="0034199D"/>
    <w:rsid w:val="00342EED"/>
    <w:rsid w:val="0037229B"/>
    <w:rsid w:val="00380044"/>
    <w:rsid w:val="00380F38"/>
    <w:rsid w:val="00384C45"/>
    <w:rsid w:val="003900C2"/>
    <w:rsid w:val="003B3D31"/>
    <w:rsid w:val="003D20BB"/>
    <w:rsid w:val="003E5C63"/>
    <w:rsid w:val="003E66E6"/>
    <w:rsid w:val="003F65DB"/>
    <w:rsid w:val="0040186A"/>
    <w:rsid w:val="0040567E"/>
    <w:rsid w:val="00423C58"/>
    <w:rsid w:val="00424049"/>
    <w:rsid w:val="00434056"/>
    <w:rsid w:val="00447239"/>
    <w:rsid w:val="00457425"/>
    <w:rsid w:val="004705A3"/>
    <w:rsid w:val="004C35EA"/>
    <w:rsid w:val="004E2F78"/>
    <w:rsid w:val="004E75AF"/>
    <w:rsid w:val="005064F3"/>
    <w:rsid w:val="0051796D"/>
    <w:rsid w:val="00545707"/>
    <w:rsid w:val="00547BA0"/>
    <w:rsid w:val="00552328"/>
    <w:rsid w:val="00560BD4"/>
    <w:rsid w:val="0057327D"/>
    <w:rsid w:val="00587E29"/>
    <w:rsid w:val="005A3CFD"/>
    <w:rsid w:val="005A7119"/>
    <w:rsid w:val="005B6310"/>
    <w:rsid w:val="005D6E5F"/>
    <w:rsid w:val="005F35E0"/>
    <w:rsid w:val="00607DD1"/>
    <w:rsid w:val="006267BF"/>
    <w:rsid w:val="00671683"/>
    <w:rsid w:val="0069005E"/>
    <w:rsid w:val="00694985"/>
    <w:rsid w:val="006A0D63"/>
    <w:rsid w:val="006A4F83"/>
    <w:rsid w:val="006A6337"/>
    <w:rsid w:val="006B5C6B"/>
    <w:rsid w:val="006C2881"/>
    <w:rsid w:val="006C3051"/>
    <w:rsid w:val="006D46B9"/>
    <w:rsid w:val="006D5645"/>
    <w:rsid w:val="006E1E61"/>
    <w:rsid w:val="006F1BCD"/>
    <w:rsid w:val="007220FF"/>
    <w:rsid w:val="00723206"/>
    <w:rsid w:val="00790860"/>
    <w:rsid w:val="007B3E8D"/>
    <w:rsid w:val="007C2590"/>
    <w:rsid w:val="007C69F9"/>
    <w:rsid w:val="007D24F5"/>
    <w:rsid w:val="007D41C3"/>
    <w:rsid w:val="007E202B"/>
    <w:rsid w:val="007F0697"/>
    <w:rsid w:val="007F31C9"/>
    <w:rsid w:val="007F5658"/>
    <w:rsid w:val="008004C3"/>
    <w:rsid w:val="008023BC"/>
    <w:rsid w:val="00806E91"/>
    <w:rsid w:val="00821323"/>
    <w:rsid w:val="0083399D"/>
    <w:rsid w:val="00847683"/>
    <w:rsid w:val="0087481D"/>
    <w:rsid w:val="00890722"/>
    <w:rsid w:val="008D1C2C"/>
    <w:rsid w:val="008E7559"/>
    <w:rsid w:val="00904432"/>
    <w:rsid w:val="009067AA"/>
    <w:rsid w:val="0091783F"/>
    <w:rsid w:val="009353C9"/>
    <w:rsid w:val="009475D3"/>
    <w:rsid w:val="00953DAA"/>
    <w:rsid w:val="00980179"/>
    <w:rsid w:val="009A4792"/>
    <w:rsid w:val="009B1399"/>
    <w:rsid w:val="009B42D5"/>
    <w:rsid w:val="009C1D59"/>
    <w:rsid w:val="009C770A"/>
    <w:rsid w:val="009D22F0"/>
    <w:rsid w:val="009E43A0"/>
    <w:rsid w:val="00A07EB2"/>
    <w:rsid w:val="00A1351F"/>
    <w:rsid w:val="00A148F3"/>
    <w:rsid w:val="00A21F73"/>
    <w:rsid w:val="00A24874"/>
    <w:rsid w:val="00A27BA0"/>
    <w:rsid w:val="00A44333"/>
    <w:rsid w:val="00A5485A"/>
    <w:rsid w:val="00A67C6C"/>
    <w:rsid w:val="00A67CB0"/>
    <w:rsid w:val="00A74ECB"/>
    <w:rsid w:val="00A81883"/>
    <w:rsid w:val="00AA5F0D"/>
    <w:rsid w:val="00AA65AE"/>
    <w:rsid w:val="00AD0C44"/>
    <w:rsid w:val="00AD495D"/>
    <w:rsid w:val="00AF55EA"/>
    <w:rsid w:val="00B07C41"/>
    <w:rsid w:val="00B13EC0"/>
    <w:rsid w:val="00B1467B"/>
    <w:rsid w:val="00B15AA3"/>
    <w:rsid w:val="00B23512"/>
    <w:rsid w:val="00B26A33"/>
    <w:rsid w:val="00B41340"/>
    <w:rsid w:val="00B4234B"/>
    <w:rsid w:val="00B43498"/>
    <w:rsid w:val="00B6225B"/>
    <w:rsid w:val="00B63734"/>
    <w:rsid w:val="00B846AF"/>
    <w:rsid w:val="00BB5A8E"/>
    <w:rsid w:val="00BD1CCF"/>
    <w:rsid w:val="00BD2D74"/>
    <w:rsid w:val="00BE6E7E"/>
    <w:rsid w:val="00BF1D32"/>
    <w:rsid w:val="00BF2477"/>
    <w:rsid w:val="00BF3D2F"/>
    <w:rsid w:val="00BF60AC"/>
    <w:rsid w:val="00C01B55"/>
    <w:rsid w:val="00C06782"/>
    <w:rsid w:val="00C124ED"/>
    <w:rsid w:val="00C51BE2"/>
    <w:rsid w:val="00C62C81"/>
    <w:rsid w:val="00C65492"/>
    <w:rsid w:val="00C673AF"/>
    <w:rsid w:val="00C72B7D"/>
    <w:rsid w:val="00C73755"/>
    <w:rsid w:val="00C73F7A"/>
    <w:rsid w:val="00C901C4"/>
    <w:rsid w:val="00CA5926"/>
    <w:rsid w:val="00CA6253"/>
    <w:rsid w:val="00CA62D7"/>
    <w:rsid w:val="00CB5652"/>
    <w:rsid w:val="00CC66A6"/>
    <w:rsid w:val="00CD7021"/>
    <w:rsid w:val="00CE7650"/>
    <w:rsid w:val="00D0575E"/>
    <w:rsid w:val="00D256C3"/>
    <w:rsid w:val="00D55A55"/>
    <w:rsid w:val="00D62978"/>
    <w:rsid w:val="00DB5F2C"/>
    <w:rsid w:val="00DB79CA"/>
    <w:rsid w:val="00E025E0"/>
    <w:rsid w:val="00E11C8E"/>
    <w:rsid w:val="00E12CCE"/>
    <w:rsid w:val="00E16145"/>
    <w:rsid w:val="00E33C40"/>
    <w:rsid w:val="00E40E26"/>
    <w:rsid w:val="00E417B2"/>
    <w:rsid w:val="00E463B7"/>
    <w:rsid w:val="00E4795B"/>
    <w:rsid w:val="00E57302"/>
    <w:rsid w:val="00E67081"/>
    <w:rsid w:val="00E71C02"/>
    <w:rsid w:val="00EB4D7D"/>
    <w:rsid w:val="00EB5A1F"/>
    <w:rsid w:val="00EC524A"/>
    <w:rsid w:val="00EC5ABF"/>
    <w:rsid w:val="00EC5DDC"/>
    <w:rsid w:val="00EE075E"/>
    <w:rsid w:val="00EE669A"/>
    <w:rsid w:val="00EF5C44"/>
    <w:rsid w:val="00F23575"/>
    <w:rsid w:val="00F23631"/>
    <w:rsid w:val="00F2639F"/>
    <w:rsid w:val="00F55258"/>
    <w:rsid w:val="00F76DFD"/>
    <w:rsid w:val="00F95093"/>
    <w:rsid w:val="00FA43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973A"/>
  <w15:chartTrackingRefBased/>
  <w15:docId w15:val="{D469DACE-3C10-42E5-AB8B-42B4FB07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AF"/>
  </w:style>
  <w:style w:type="paragraph" w:styleId="Heading1">
    <w:name w:val="heading 1"/>
    <w:basedOn w:val="Normal"/>
    <w:next w:val="Normal"/>
    <w:link w:val="Heading1Char"/>
    <w:uiPriority w:val="9"/>
    <w:qFormat/>
    <w:rsid w:val="00090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0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0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0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0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0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0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294"/>
    <w:rPr>
      <w:rFonts w:eastAsiaTheme="majorEastAsia" w:cstheme="majorBidi"/>
      <w:color w:val="272727" w:themeColor="text1" w:themeTint="D8"/>
    </w:rPr>
  </w:style>
  <w:style w:type="paragraph" w:styleId="Title">
    <w:name w:val="Title"/>
    <w:basedOn w:val="Normal"/>
    <w:next w:val="Normal"/>
    <w:link w:val="TitleChar"/>
    <w:uiPriority w:val="10"/>
    <w:qFormat/>
    <w:rsid w:val="00090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294"/>
    <w:pPr>
      <w:spacing w:before="160"/>
      <w:jc w:val="center"/>
    </w:pPr>
    <w:rPr>
      <w:i/>
      <w:iCs/>
      <w:color w:val="404040" w:themeColor="text1" w:themeTint="BF"/>
    </w:rPr>
  </w:style>
  <w:style w:type="character" w:customStyle="1" w:styleId="QuoteChar">
    <w:name w:val="Quote Char"/>
    <w:basedOn w:val="DefaultParagraphFont"/>
    <w:link w:val="Quote"/>
    <w:uiPriority w:val="29"/>
    <w:rsid w:val="00090294"/>
    <w:rPr>
      <w:i/>
      <w:iCs/>
      <w:color w:val="404040" w:themeColor="text1" w:themeTint="BF"/>
    </w:rPr>
  </w:style>
  <w:style w:type="paragraph" w:styleId="ListParagraph">
    <w:name w:val="List Paragraph"/>
    <w:basedOn w:val="Normal"/>
    <w:uiPriority w:val="34"/>
    <w:qFormat/>
    <w:rsid w:val="00090294"/>
    <w:pPr>
      <w:ind w:left="720"/>
      <w:contextualSpacing/>
    </w:pPr>
  </w:style>
  <w:style w:type="character" w:styleId="IntenseEmphasis">
    <w:name w:val="Intense Emphasis"/>
    <w:basedOn w:val="DefaultParagraphFont"/>
    <w:uiPriority w:val="21"/>
    <w:qFormat/>
    <w:rsid w:val="00090294"/>
    <w:rPr>
      <w:i/>
      <w:iCs/>
      <w:color w:val="0F4761" w:themeColor="accent1" w:themeShade="BF"/>
    </w:rPr>
  </w:style>
  <w:style w:type="paragraph" w:styleId="IntenseQuote">
    <w:name w:val="Intense Quote"/>
    <w:basedOn w:val="Normal"/>
    <w:next w:val="Normal"/>
    <w:link w:val="IntenseQuoteChar"/>
    <w:uiPriority w:val="30"/>
    <w:qFormat/>
    <w:rsid w:val="00090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294"/>
    <w:rPr>
      <w:i/>
      <w:iCs/>
      <w:color w:val="0F4761" w:themeColor="accent1" w:themeShade="BF"/>
    </w:rPr>
  </w:style>
  <w:style w:type="character" w:styleId="IntenseReference">
    <w:name w:val="Intense Reference"/>
    <w:basedOn w:val="DefaultParagraphFont"/>
    <w:uiPriority w:val="32"/>
    <w:qFormat/>
    <w:rsid w:val="00090294"/>
    <w:rPr>
      <w:b/>
      <w:bCs/>
      <w:smallCaps/>
      <w:color w:val="0F4761" w:themeColor="accent1" w:themeShade="BF"/>
      <w:spacing w:val="5"/>
    </w:rPr>
  </w:style>
  <w:style w:type="paragraph" w:styleId="Bibliography">
    <w:name w:val="Bibliography"/>
    <w:basedOn w:val="Normal"/>
    <w:next w:val="Normal"/>
    <w:uiPriority w:val="37"/>
    <w:unhideWhenUsed/>
    <w:rsid w:val="00B846AF"/>
    <w:pPr>
      <w:tabs>
        <w:tab w:val="left" w:pos="384"/>
      </w:tabs>
      <w:spacing w:after="0" w:line="480" w:lineRule="auto"/>
      <w:ind w:left="384" w:hanging="384"/>
    </w:pPr>
  </w:style>
  <w:style w:type="character" w:styleId="FootnoteReference">
    <w:name w:val="footnote reference"/>
    <w:basedOn w:val="DefaultParagraphFont"/>
    <w:uiPriority w:val="99"/>
    <w:semiHidden/>
    <w:unhideWhenUsed/>
    <w:rsid w:val="00B846AF"/>
    <w:rPr>
      <w:vertAlign w:val="superscript"/>
    </w:rPr>
  </w:style>
  <w:style w:type="paragraph" w:customStyle="1" w:styleId="Default">
    <w:name w:val="Default"/>
    <w:rsid w:val="00B846AF"/>
    <w:pPr>
      <w:autoSpaceDE w:val="0"/>
      <w:autoSpaceDN w:val="0"/>
      <w:adjustRightInd w:val="0"/>
      <w:spacing w:after="0" w:line="240" w:lineRule="auto"/>
    </w:pPr>
    <w:rPr>
      <w:rFonts w:ascii="Charis SIL" w:hAnsi="Charis SIL" w:cs="Charis SIL"/>
      <w:color w:val="000000"/>
      <w:kern w:val="0"/>
    </w:rPr>
  </w:style>
  <w:style w:type="table" w:styleId="TableGrid">
    <w:name w:val="Table Grid"/>
    <w:basedOn w:val="TableNormal"/>
    <w:uiPriority w:val="39"/>
    <w:rsid w:val="00B846A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846AF"/>
    <w:pPr>
      <w:spacing w:after="200" w:line="240" w:lineRule="auto"/>
    </w:pPr>
    <w:rPr>
      <w:i/>
      <w:iCs/>
      <w:color w:val="0E2841" w:themeColor="text2"/>
      <w:kern w:val="0"/>
      <w:sz w:val="18"/>
      <w:szCs w:val="18"/>
      <w14:ligatures w14:val="none"/>
    </w:rPr>
  </w:style>
  <w:style w:type="character" w:styleId="Hyperlink">
    <w:name w:val="Hyperlink"/>
    <w:basedOn w:val="DefaultParagraphFont"/>
    <w:uiPriority w:val="99"/>
    <w:unhideWhenUsed/>
    <w:rsid w:val="00B846AF"/>
    <w:rPr>
      <w:color w:val="467886" w:themeColor="hyperlink"/>
      <w:u w:val="single"/>
    </w:rPr>
  </w:style>
  <w:style w:type="character" w:styleId="UnresolvedMention">
    <w:name w:val="Unresolved Mention"/>
    <w:basedOn w:val="DefaultParagraphFont"/>
    <w:uiPriority w:val="99"/>
    <w:semiHidden/>
    <w:unhideWhenUsed/>
    <w:rsid w:val="00B846AF"/>
    <w:rPr>
      <w:color w:val="605E5C"/>
      <w:shd w:val="clear" w:color="auto" w:fill="E1DFDD"/>
    </w:rPr>
  </w:style>
  <w:style w:type="character" w:customStyle="1" w:styleId="anchor-text">
    <w:name w:val="anchor-text"/>
    <w:basedOn w:val="DefaultParagraphFont"/>
    <w:rsid w:val="00B846AF"/>
  </w:style>
  <w:style w:type="character" w:styleId="PlaceholderText">
    <w:name w:val="Placeholder Text"/>
    <w:basedOn w:val="DefaultParagraphFont"/>
    <w:uiPriority w:val="99"/>
    <w:semiHidden/>
    <w:rsid w:val="00B846AF"/>
    <w:rPr>
      <w:color w:val="666666"/>
    </w:rPr>
  </w:style>
  <w:style w:type="character" w:styleId="FollowedHyperlink">
    <w:name w:val="FollowedHyperlink"/>
    <w:basedOn w:val="DefaultParagraphFont"/>
    <w:uiPriority w:val="99"/>
    <w:semiHidden/>
    <w:unhideWhenUsed/>
    <w:rsid w:val="00B846AF"/>
    <w:rPr>
      <w:color w:val="96607D" w:themeColor="followedHyperlink"/>
      <w:u w:val="single"/>
    </w:rPr>
  </w:style>
  <w:style w:type="character" w:customStyle="1" w:styleId="hlfld-contribauthor">
    <w:name w:val="hlfld-contribauthor"/>
    <w:basedOn w:val="DefaultParagraphFont"/>
    <w:rsid w:val="00B846AF"/>
  </w:style>
  <w:style w:type="paragraph" w:styleId="FootnoteText">
    <w:name w:val="footnote text"/>
    <w:basedOn w:val="Normal"/>
    <w:link w:val="FootnoteTextChar"/>
    <w:uiPriority w:val="99"/>
    <w:semiHidden/>
    <w:unhideWhenUsed/>
    <w:rsid w:val="00B846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46AF"/>
    <w:rPr>
      <w:sz w:val="20"/>
      <w:szCs w:val="20"/>
    </w:rPr>
  </w:style>
  <w:style w:type="paragraph" w:styleId="Header">
    <w:name w:val="header"/>
    <w:basedOn w:val="Normal"/>
    <w:link w:val="HeaderChar"/>
    <w:uiPriority w:val="99"/>
    <w:unhideWhenUsed/>
    <w:rsid w:val="00B84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6AF"/>
  </w:style>
  <w:style w:type="paragraph" w:styleId="Footer">
    <w:name w:val="footer"/>
    <w:basedOn w:val="Normal"/>
    <w:link w:val="FooterChar"/>
    <w:uiPriority w:val="99"/>
    <w:unhideWhenUsed/>
    <w:rsid w:val="00B84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6AF"/>
  </w:style>
  <w:style w:type="character" w:styleId="CommentReference">
    <w:name w:val="annotation reference"/>
    <w:basedOn w:val="DefaultParagraphFont"/>
    <w:uiPriority w:val="99"/>
    <w:semiHidden/>
    <w:unhideWhenUsed/>
    <w:rsid w:val="00B846AF"/>
    <w:rPr>
      <w:sz w:val="16"/>
      <w:szCs w:val="16"/>
    </w:rPr>
  </w:style>
  <w:style w:type="paragraph" w:styleId="CommentText">
    <w:name w:val="annotation text"/>
    <w:basedOn w:val="Normal"/>
    <w:link w:val="CommentTextChar"/>
    <w:uiPriority w:val="99"/>
    <w:unhideWhenUsed/>
    <w:rsid w:val="00B846AF"/>
    <w:pPr>
      <w:spacing w:line="240" w:lineRule="auto"/>
    </w:pPr>
    <w:rPr>
      <w:sz w:val="20"/>
      <w:szCs w:val="20"/>
    </w:rPr>
  </w:style>
  <w:style w:type="character" w:customStyle="1" w:styleId="CommentTextChar">
    <w:name w:val="Comment Text Char"/>
    <w:basedOn w:val="DefaultParagraphFont"/>
    <w:link w:val="CommentText"/>
    <w:uiPriority w:val="99"/>
    <w:rsid w:val="00B846AF"/>
    <w:rPr>
      <w:sz w:val="20"/>
      <w:szCs w:val="20"/>
    </w:rPr>
  </w:style>
  <w:style w:type="paragraph" w:styleId="CommentSubject">
    <w:name w:val="annotation subject"/>
    <w:basedOn w:val="CommentText"/>
    <w:next w:val="CommentText"/>
    <w:link w:val="CommentSubjectChar"/>
    <w:uiPriority w:val="99"/>
    <w:semiHidden/>
    <w:unhideWhenUsed/>
    <w:rsid w:val="00B846AF"/>
    <w:rPr>
      <w:b/>
      <w:bCs/>
    </w:rPr>
  </w:style>
  <w:style w:type="character" w:customStyle="1" w:styleId="CommentSubjectChar">
    <w:name w:val="Comment Subject Char"/>
    <w:basedOn w:val="CommentTextChar"/>
    <w:link w:val="CommentSubject"/>
    <w:uiPriority w:val="99"/>
    <w:semiHidden/>
    <w:rsid w:val="00B846AF"/>
    <w:rPr>
      <w:b/>
      <w:bCs/>
      <w:sz w:val="20"/>
      <w:szCs w:val="20"/>
    </w:rPr>
  </w:style>
  <w:style w:type="paragraph" w:styleId="NormalWeb">
    <w:name w:val="Normal (Web)"/>
    <w:basedOn w:val="Normal"/>
    <w:uiPriority w:val="99"/>
    <w:semiHidden/>
    <w:unhideWhenUsed/>
    <w:rsid w:val="00B846A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B846AF"/>
    <w:pPr>
      <w:spacing w:after="0" w:line="240" w:lineRule="auto"/>
    </w:pPr>
  </w:style>
  <w:style w:type="character" w:styleId="Strong">
    <w:name w:val="Strong"/>
    <w:basedOn w:val="DefaultParagraphFont"/>
    <w:uiPriority w:val="22"/>
    <w:qFormat/>
    <w:rsid w:val="00B846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08517">
      <w:bodyDiv w:val="1"/>
      <w:marLeft w:val="0"/>
      <w:marRight w:val="0"/>
      <w:marTop w:val="0"/>
      <w:marBottom w:val="0"/>
      <w:divBdr>
        <w:top w:val="none" w:sz="0" w:space="0" w:color="auto"/>
        <w:left w:val="none" w:sz="0" w:space="0" w:color="auto"/>
        <w:bottom w:val="none" w:sz="0" w:space="0" w:color="auto"/>
        <w:right w:val="none" w:sz="0" w:space="0" w:color="auto"/>
      </w:divBdr>
    </w:div>
    <w:div w:id="560407078">
      <w:bodyDiv w:val="1"/>
      <w:marLeft w:val="0"/>
      <w:marRight w:val="0"/>
      <w:marTop w:val="0"/>
      <w:marBottom w:val="0"/>
      <w:divBdr>
        <w:top w:val="none" w:sz="0" w:space="0" w:color="auto"/>
        <w:left w:val="none" w:sz="0" w:space="0" w:color="auto"/>
        <w:bottom w:val="none" w:sz="0" w:space="0" w:color="auto"/>
        <w:right w:val="none" w:sz="0" w:space="0" w:color="auto"/>
      </w:divBdr>
    </w:div>
    <w:div w:id="804808878">
      <w:bodyDiv w:val="1"/>
      <w:marLeft w:val="0"/>
      <w:marRight w:val="0"/>
      <w:marTop w:val="0"/>
      <w:marBottom w:val="0"/>
      <w:divBdr>
        <w:top w:val="none" w:sz="0" w:space="0" w:color="auto"/>
        <w:left w:val="none" w:sz="0" w:space="0" w:color="auto"/>
        <w:bottom w:val="none" w:sz="0" w:space="0" w:color="auto"/>
        <w:right w:val="none" w:sz="0" w:space="0" w:color="auto"/>
      </w:divBdr>
    </w:div>
    <w:div w:id="986478180">
      <w:bodyDiv w:val="1"/>
      <w:marLeft w:val="0"/>
      <w:marRight w:val="0"/>
      <w:marTop w:val="0"/>
      <w:marBottom w:val="0"/>
      <w:divBdr>
        <w:top w:val="none" w:sz="0" w:space="0" w:color="auto"/>
        <w:left w:val="none" w:sz="0" w:space="0" w:color="auto"/>
        <w:bottom w:val="none" w:sz="0" w:space="0" w:color="auto"/>
        <w:right w:val="none" w:sz="0" w:space="0" w:color="auto"/>
      </w:divBdr>
    </w:div>
    <w:div w:id="1352301175">
      <w:bodyDiv w:val="1"/>
      <w:marLeft w:val="0"/>
      <w:marRight w:val="0"/>
      <w:marTop w:val="0"/>
      <w:marBottom w:val="0"/>
      <w:divBdr>
        <w:top w:val="none" w:sz="0" w:space="0" w:color="auto"/>
        <w:left w:val="none" w:sz="0" w:space="0" w:color="auto"/>
        <w:bottom w:val="none" w:sz="0" w:space="0" w:color="auto"/>
        <w:right w:val="none" w:sz="0" w:space="0" w:color="auto"/>
      </w:divBdr>
    </w:div>
    <w:div w:id="1657681651">
      <w:bodyDiv w:val="1"/>
      <w:marLeft w:val="0"/>
      <w:marRight w:val="0"/>
      <w:marTop w:val="0"/>
      <w:marBottom w:val="0"/>
      <w:divBdr>
        <w:top w:val="none" w:sz="0" w:space="0" w:color="auto"/>
        <w:left w:val="none" w:sz="0" w:space="0" w:color="auto"/>
        <w:bottom w:val="none" w:sz="0" w:space="0" w:color="auto"/>
        <w:right w:val="none" w:sz="0" w:space="0" w:color="auto"/>
      </w:divBdr>
    </w:div>
    <w:div w:id="1831173778">
      <w:bodyDiv w:val="1"/>
      <w:marLeft w:val="0"/>
      <w:marRight w:val="0"/>
      <w:marTop w:val="0"/>
      <w:marBottom w:val="0"/>
      <w:divBdr>
        <w:top w:val="none" w:sz="0" w:space="0" w:color="auto"/>
        <w:left w:val="none" w:sz="0" w:space="0" w:color="auto"/>
        <w:bottom w:val="none" w:sz="0" w:space="0" w:color="auto"/>
        <w:right w:val="none" w:sz="0" w:space="0" w:color="auto"/>
      </w:divBdr>
    </w:div>
    <w:div w:id="206748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6B84099D7480C8ACFF2BF7C5A72EA"/>
        <w:category>
          <w:name w:val="General"/>
          <w:gallery w:val="placeholder"/>
        </w:category>
        <w:types>
          <w:type w:val="bbPlcHdr"/>
        </w:types>
        <w:behaviors>
          <w:behavior w:val="content"/>
        </w:behaviors>
        <w:guid w:val="{633105A1-5EC1-4627-9930-DCE1206A5789}"/>
      </w:docPartPr>
      <w:docPartBody>
        <w:p w:rsidR="007D6E80" w:rsidRDefault="0009571E" w:rsidP="0009571E">
          <w:pPr>
            <w:pStyle w:val="82E6B84099D7480C8ACFF2BF7C5A72EA"/>
          </w:pPr>
          <w:r w:rsidRPr="00ED5410">
            <w:rPr>
              <w:rStyle w:val="PlaceholderText"/>
            </w:rPr>
            <w:t>Click or tap here to enter text.</w:t>
          </w:r>
        </w:p>
      </w:docPartBody>
    </w:docPart>
    <w:docPart>
      <w:docPartPr>
        <w:name w:val="92672C10B0B0490C832AF8CB1099A1A6"/>
        <w:category>
          <w:name w:val="General"/>
          <w:gallery w:val="placeholder"/>
        </w:category>
        <w:types>
          <w:type w:val="bbPlcHdr"/>
        </w:types>
        <w:behaviors>
          <w:behavior w:val="content"/>
        </w:behaviors>
        <w:guid w:val="{D14A84BD-D34F-40E7-938E-42AF9E5338ED}"/>
      </w:docPartPr>
      <w:docPartBody>
        <w:p w:rsidR="007D6E80" w:rsidRDefault="0009571E" w:rsidP="0009571E">
          <w:pPr>
            <w:pStyle w:val="92672C10B0B0490C832AF8CB1099A1A6"/>
          </w:pPr>
          <w:r w:rsidRPr="00ED5410">
            <w:rPr>
              <w:rStyle w:val="PlaceholderText"/>
            </w:rPr>
            <w:t>Click or tap here to enter text.</w:t>
          </w:r>
        </w:p>
      </w:docPartBody>
    </w:docPart>
    <w:docPart>
      <w:docPartPr>
        <w:name w:val="9BAE796028A44199B9D3D05CF17565FD"/>
        <w:category>
          <w:name w:val="General"/>
          <w:gallery w:val="placeholder"/>
        </w:category>
        <w:types>
          <w:type w:val="bbPlcHdr"/>
        </w:types>
        <w:behaviors>
          <w:behavior w:val="content"/>
        </w:behaviors>
        <w:guid w:val="{138E63C0-9347-4DBF-A742-F0007494B9E3}"/>
      </w:docPartPr>
      <w:docPartBody>
        <w:p w:rsidR="007D6E80" w:rsidRDefault="0009571E" w:rsidP="0009571E">
          <w:pPr>
            <w:pStyle w:val="9BAE796028A44199B9D3D05CF17565FD"/>
          </w:pPr>
          <w:r w:rsidRPr="00C817D0">
            <w:rPr>
              <w:rStyle w:val="PlaceholderText"/>
            </w:rPr>
            <w:t>Click or tap here to enter text.</w:t>
          </w:r>
        </w:p>
      </w:docPartBody>
    </w:docPart>
    <w:docPart>
      <w:docPartPr>
        <w:name w:val="18F16163032B4FF8B0C98D11D7F67272"/>
        <w:category>
          <w:name w:val="General"/>
          <w:gallery w:val="placeholder"/>
        </w:category>
        <w:types>
          <w:type w:val="bbPlcHdr"/>
        </w:types>
        <w:behaviors>
          <w:behavior w:val="content"/>
        </w:behaviors>
        <w:guid w:val="{8C69716C-6278-4969-9745-34C815709B99}"/>
      </w:docPartPr>
      <w:docPartBody>
        <w:p w:rsidR="007D6E80" w:rsidRDefault="0009571E" w:rsidP="0009571E">
          <w:pPr>
            <w:pStyle w:val="18F16163032B4FF8B0C98D11D7F67272"/>
          </w:pPr>
          <w:r w:rsidRPr="003D7E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haris SI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1E"/>
    <w:rsid w:val="00014FD6"/>
    <w:rsid w:val="0009571E"/>
    <w:rsid w:val="0010458E"/>
    <w:rsid w:val="001D6878"/>
    <w:rsid w:val="005064F3"/>
    <w:rsid w:val="005A5D8B"/>
    <w:rsid w:val="007D6E80"/>
    <w:rsid w:val="009353C9"/>
    <w:rsid w:val="009475D3"/>
    <w:rsid w:val="00B23512"/>
    <w:rsid w:val="00D85975"/>
    <w:rsid w:val="00F274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71E"/>
    <w:rPr>
      <w:color w:val="666666"/>
    </w:rPr>
  </w:style>
  <w:style w:type="paragraph" w:customStyle="1" w:styleId="82E6B84099D7480C8ACFF2BF7C5A72EA">
    <w:name w:val="82E6B84099D7480C8ACFF2BF7C5A72EA"/>
    <w:rsid w:val="0009571E"/>
  </w:style>
  <w:style w:type="paragraph" w:customStyle="1" w:styleId="92672C10B0B0490C832AF8CB1099A1A6">
    <w:name w:val="92672C10B0B0490C832AF8CB1099A1A6"/>
    <w:rsid w:val="0009571E"/>
  </w:style>
  <w:style w:type="paragraph" w:customStyle="1" w:styleId="9BAE796028A44199B9D3D05CF17565FD">
    <w:name w:val="9BAE796028A44199B9D3D05CF17565FD"/>
    <w:rsid w:val="0009571E"/>
  </w:style>
  <w:style w:type="paragraph" w:customStyle="1" w:styleId="18F16163032B4FF8B0C98D11D7F67272">
    <w:name w:val="18F16163032B4FF8B0C98D11D7F67272"/>
    <w:rsid w:val="00095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8EE40-027C-49E1-B3B9-E25FEF90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10209</Words>
  <Characters>58196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Dan</dc:creator>
  <cp:keywords/>
  <dc:description/>
  <cp:lastModifiedBy>Su, Dan</cp:lastModifiedBy>
  <cp:revision>4</cp:revision>
  <cp:lastPrinted>2025-11-06T14:10:00Z</cp:lastPrinted>
  <dcterms:created xsi:type="dcterms:W3CDTF">2025-11-06T13:01:00Z</dcterms:created>
  <dcterms:modified xsi:type="dcterms:W3CDTF">2025-11-06T14:11:00Z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id="vUrRRYPu"/&gt;&lt;style id="http://www.zotero.org/styles/nature" hasBibliography="1" bibliographyStyleHasBeenSet="1"/&gt;&lt;prefs&gt;&lt;pref name="fieldType" value="Field"/&gt;&lt;/prefs&gt;&lt;/data&gt;</vt:lpwstr>
  </property>
</Properties>
</file>