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39"/>
        <w:gridCol w:w="763"/>
        <w:gridCol w:w="920"/>
        <w:gridCol w:w="1222"/>
        <w:gridCol w:w="1070"/>
        <w:gridCol w:w="1070"/>
        <w:gridCol w:w="1070"/>
        <w:gridCol w:w="918"/>
        <w:gridCol w:w="916"/>
      </w:tblGrid>
      <w:tr w:rsidR="00C01AD0" w:rsidRPr="00C01AD0" w:rsidTr="004F555F">
        <w:trPr>
          <w:trHeight w:val="274"/>
          <w:jc w:val="center"/>
        </w:trPr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Variables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Mean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SD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proofErr w:type="spellStart"/>
            <w:r w:rsidRPr="00C01AD0">
              <w:rPr>
                <w:b/>
                <w:lang w:val="en-US"/>
              </w:rPr>
              <w:t>Skewness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Kurtosis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4</w:t>
            </w:r>
          </w:p>
        </w:tc>
      </w:tr>
      <w:tr w:rsidR="00C01AD0" w:rsidRPr="00C01AD0" w:rsidTr="004F555F">
        <w:trPr>
          <w:trHeight w:val="260"/>
          <w:jc w:val="center"/>
        </w:trPr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DL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2.66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1.01</w:t>
            </w: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.492</w:t>
            </w: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-.423</w:t>
            </w: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(.786)</w:t>
            </w: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</w:p>
        </w:tc>
      </w:tr>
      <w:tr w:rsidR="00C01AD0" w:rsidRPr="00C01AD0" w:rsidTr="004F555F">
        <w:trPr>
          <w:trHeight w:val="216"/>
          <w:jc w:val="center"/>
        </w:trPr>
        <w:tc>
          <w:tcPr>
            <w:tcW w:w="721" w:type="pct"/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OA</w:t>
            </w:r>
          </w:p>
        </w:tc>
        <w:tc>
          <w:tcPr>
            <w:tcW w:w="411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2.67</w:t>
            </w:r>
          </w:p>
        </w:tc>
        <w:tc>
          <w:tcPr>
            <w:tcW w:w="495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.80</w:t>
            </w:r>
          </w:p>
        </w:tc>
        <w:tc>
          <w:tcPr>
            <w:tcW w:w="658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.438</w:t>
            </w:r>
          </w:p>
        </w:tc>
        <w:tc>
          <w:tcPr>
            <w:tcW w:w="576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-.259</w:t>
            </w:r>
          </w:p>
        </w:tc>
        <w:tc>
          <w:tcPr>
            <w:tcW w:w="576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.718</w:t>
            </w:r>
          </w:p>
        </w:tc>
        <w:tc>
          <w:tcPr>
            <w:tcW w:w="576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(.818)</w:t>
            </w:r>
          </w:p>
        </w:tc>
        <w:tc>
          <w:tcPr>
            <w:tcW w:w="494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</w:p>
        </w:tc>
        <w:tc>
          <w:tcPr>
            <w:tcW w:w="493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</w:p>
        </w:tc>
      </w:tr>
      <w:tr w:rsidR="00C01AD0" w:rsidRPr="00C01AD0" w:rsidTr="004F555F">
        <w:trPr>
          <w:trHeight w:val="260"/>
          <w:jc w:val="center"/>
        </w:trPr>
        <w:tc>
          <w:tcPr>
            <w:tcW w:w="721" w:type="pct"/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OR</w:t>
            </w:r>
          </w:p>
        </w:tc>
        <w:tc>
          <w:tcPr>
            <w:tcW w:w="411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2.56</w:t>
            </w:r>
          </w:p>
        </w:tc>
        <w:tc>
          <w:tcPr>
            <w:tcW w:w="495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.75</w:t>
            </w:r>
          </w:p>
        </w:tc>
        <w:tc>
          <w:tcPr>
            <w:tcW w:w="658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.497</w:t>
            </w:r>
          </w:p>
        </w:tc>
        <w:tc>
          <w:tcPr>
            <w:tcW w:w="576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.251</w:t>
            </w:r>
          </w:p>
        </w:tc>
        <w:tc>
          <w:tcPr>
            <w:tcW w:w="576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.708</w:t>
            </w:r>
          </w:p>
        </w:tc>
        <w:tc>
          <w:tcPr>
            <w:tcW w:w="576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.727</w:t>
            </w:r>
          </w:p>
        </w:tc>
        <w:tc>
          <w:tcPr>
            <w:tcW w:w="494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(.792)</w:t>
            </w:r>
          </w:p>
        </w:tc>
        <w:tc>
          <w:tcPr>
            <w:tcW w:w="493" w:type="pct"/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</w:p>
        </w:tc>
      </w:tr>
      <w:tr w:rsidR="00C01AD0" w:rsidRPr="00C01AD0" w:rsidTr="004F555F">
        <w:trPr>
          <w:trHeight w:val="260"/>
          <w:jc w:val="center"/>
        </w:trPr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b/>
                <w:lang w:val="en-US"/>
              </w:rPr>
            </w:pPr>
            <w:r w:rsidRPr="00C01AD0">
              <w:rPr>
                <w:b/>
                <w:lang w:val="en-US"/>
              </w:rPr>
              <w:t>SP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2.03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.51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.259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-.176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.141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.250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.234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C01AD0" w:rsidRPr="00C01AD0" w:rsidRDefault="00C01AD0" w:rsidP="00C01AD0">
            <w:pPr>
              <w:rPr>
                <w:lang w:val="en-US"/>
              </w:rPr>
            </w:pPr>
            <w:r w:rsidRPr="00C01AD0">
              <w:rPr>
                <w:lang w:val="en-US"/>
              </w:rPr>
              <w:t>(.784)</w:t>
            </w:r>
          </w:p>
        </w:tc>
      </w:tr>
    </w:tbl>
    <w:p w:rsidR="00DE7CA1" w:rsidRDefault="00C01AD0" w:rsidP="00C01AD0">
      <w:pPr>
        <w:jc w:val="both"/>
      </w:pPr>
      <w:bookmarkStart w:id="0" w:name="_GoBack"/>
      <w:proofErr w:type="spellStart"/>
      <w:r w:rsidRPr="00C01AD0">
        <w:t>Note</w:t>
      </w:r>
      <w:proofErr w:type="spellEnd"/>
      <w:r w:rsidRPr="00C01AD0">
        <w:t xml:space="preserve">. SD = Standart </w:t>
      </w:r>
      <w:proofErr w:type="spellStart"/>
      <w:r w:rsidRPr="00C01AD0">
        <w:t>Deviation</w:t>
      </w:r>
      <w:proofErr w:type="spellEnd"/>
      <w:r w:rsidRPr="00C01AD0">
        <w:t xml:space="preserve">; </w:t>
      </w:r>
      <w:proofErr w:type="spellStart"/>
      <w:r w:rsidRPr="00C01AD0">
        <w:t>The</w:t>
      </w:r>
      <w:proofErr w:type="spellEnd"/>
      <w:r w:rsidRPr="00C01AD0">
        <w:t xml:space="preserve"> </w:t>
      </w:r>
      <w:proofErr w:type="spellStart"/>
      <w:r w:rsidRPr="00C01AD0">
        <w:t>values</w:t>
      </w:r>
      <w:proofErr w:type="spellEnd"/>
      <w:r w:rsidRPr="00C01AD0">
        <w:t xml:space="preserve"> in </w:t>
      </w:r>
      <w:proofErr w:type="spellStart"/>
      <w:r w:rsidRPr="00C01AD0">
        <w:t>parentheses</w:t>
      </w:r>
      <w:proofErr w:type="spellEnd"/>
      <w:r w:rsidRPr="00C01AD0">
        <w:t xml:space="preserve"> </w:t>
      </w:r>
      <w:proofErr w:type="spellStart"/>
      <w:r w:rsidRPr="00C01AD0">
        <w:t>represent</w:t>
      </w:r>
      <w:proofErr w:type="spellEnd"/>
      <w:r w:rsidRPr="00C01AD0">
        <w:t xml:space="preserve"> </w:t>
      </w:r>
      <w:proofErr w:type="spellStart"/>
      <w:r w:rsidRPr="00C01AD0">
        <w:t>the</w:t>
      </w:r>
      <w:proofErr w:type="spellEnd"/>
      <w:r w:rsidRPr="00C01AD0">
        <w:t xml:space="preserve"> </w:t>
      </w:r>
      <w:proofErr w:type="spellStart"/>
      <w:r w:rsidRPr="00C01AD0">
        <w:t>square</w:t>
      </w:r>
      <w:proofErr w:type="spellEnd"/>
      <w:r w:rsidRPr="00C01AD0">
        <w:t xml:space="preserve"> </w:t>
      </w:r>
      <w:proofErr w:type="spellStart"/>
      <w:r w:rsidRPr="00C01AD0">
        <w:t>root</w:t>
      </w:r>
      <w:proofErr w:type="spellEnd"/>
      <w:r w:rsidRPr="00C01AD0">
        <w:t xml:space="preserve"> of </w:t>
      </w:r>
      <w:proofErr w:type="spellStart"/>
      <w:r w:rsidRPr="00C01AD0">
        <w:t>the</w:t>
      </w:r>
      <w:proofErr w:type="spellEnd"/>
      <w:r w:rsidRPr="00C01AD0">
        <w:t xml:space="preserve"> </w:t>
      </w:r>
      <w:proofErr w:type="spellStart"/>
      <w:r w:rsidRPr="00C01AD0">
        <w:t>Average</w:t>
      </w:r>
      <w:proofErr w:type="spellEnd"/>
      <w:r w:rsidRPr="00C01AD0">
        <w:t xml:space="preserve"> </w:t>
      </w:r>
      <w:proofErr w:type="spellStart"/>
      <w:r w:rsidRPr="00C01AD0">
        <w:t>Variance</w:t>
      </w:r>
      <w:proofErr w:type="spellEnd"/>
      <w:r w:rsidRPr="00C01AD0">
        <w:t xml:space="preserve"> </w:t>
      </w:r>
      <w:proofErr w:type="spellStart"/>
      <w:r w:rsidRPr="00C01AD0">
        <w:t>Extracted</w:t>
      </w:r>
      <w:proofErr w:type="spellEnd"/>
      <w:r w:rsidRPr="00C01AD0">
        <w:t xml:space="preserve"> (AVE) of </w:t>
      </w:r>
      <w:proofErr w:type="spellStart"/>
      <w:r w:rsidRPr="00C01AD0">
        <w:t>the</w:t>
      </w:r>
      <w:proofErr w:type="spellEnd"/>
      <w:r w:rsidRPr="00C01AD0">
        <w:t xml:space="preserve"> </w:t>
      </w:r>
      <w:proofErr w:type="spellStart"/>
      <w:r w:rsidRPr="00C01AD0">
        <w:t>variable</w:t>
      </w:r>
      <w:bookmarkEnd w:id="0"/>
      <w:proofErr w:type="spellEnd"/>
    </w:p>
    <w:sectPr w:rsidR="00DE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1A"/>
    <w:rsid w:val="001F0AEE"/>
    <w:rsid w:val="00C01AD0"/>
    <w:rsid w:val="00DD521A"/>
    <w:rsid w:val="00D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2025-07-16T10:42:00Z</dcterms:created>
  <dcterms:modified xsi:type="dcterms:W3CDTF">2025-07-16T10:43:00Z</dcterms:modified>
</cp:coreProperties>
</file>