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8FA5F" w14:textId="77777777" w:rsidR="00650B57"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Additional information</w:t>
      </w:r>
    </w:p>
    <w:p w14:paraId="2259E103" w14:textId="77777777" w:rsidR="00650B57"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Extended data</w:t>
      </w:r>
    </w:p>
    <w:p w14:paraId="6D19E30A"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sidRPr="005D050B">
        <w:rPr>
          <w:rFonts w:ascii="Times New Roman" w:hAnsi="Times New Roman" w:cs="Times New Roman" w:hint="eastAsia"/>
          <w:b/>
          <w:sz w:val="24"/>
          <w:szCs w:val="24"/>
        </w:rPr>
        <w:t>S</w:t>
      </w:r>
      <w:r w:rsidRPr="005D050B">
        <w:rPr>
          <w:rFonts w:ascii="Times New Roman" w:hAnsi="Times New Roman" w:cs="Times New Roman"/>
          <w:b/>
          <w:sz w:val="24"/>
          <w:szCs w:val="24"/>
        </w:rPr>
        <w:t>upplementary information</w:t>
      </w:r>
    </w:p>
    <w:p w14:paraId="1527E44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 xml:space="preserve">Supplementary Note 1: Description of </w:t>
      </w:r>
      <w:r w:rsidRPr="005D050B">
        <w:rPr>
          <w:rFonts w:ascii="Times New Roman" w:hAnsi="Times New Roman" w:cs="Times New Roman"/>
          <w:i/>
          <w:sz w:val="24"/>
          <w:szCs w:val="24"/>
        </w:rPr>
        <w:t>Anaerotruncus</w:t>
      </w:r>
      <w:r w:rsidRPr="005D050B">
        <w:rPr>
          <w:rFonts w:ascii="Times New Roman" w:hAnsi="Times New Roman" w:cs="Times New Roman"/>
          <w:sz w:val="24"/>
          <w:szCs w:val="24"/>
        </w:rPr>
        <w:t xml:space="preserve"> strain LDE-1</w:t>
      </w:r>
    </w:p>
    <w:p w14:paraId="366C6190" w14:textId="77777777" w:rsidR="00650B57" w:rsidRPr="005D050B" w:rsidRDefault="00650B57" w:rsidP="00650B57">
      <w:pPr>
        <w:adjustRightInd w:val="0"/>
        <w:snapToGrid w:val="0"/>
        <w:spacing w:line="480" w:lineRule="auto"/>
        <w:rPr>
          <w:rFonts w:ascii="Times New Roman" w:hAnsi="Times New Roman" w:cs="Times New Roman"/>
          <w:bCs/>
          <w:sz w:val="24"/>
          <w:szCs w:val="24"/>
        </w:rPr>
      </w:pPr>
      <w:r w:rsidRPr="005D050B">
        <w:rPr>
          <w:rFonts w:ascii="Times New Roman" w:hAnsi="Times New Roman" w:cs="Times New Roman"/>
          <w:sz w:val="24"/>
          <w:szCs w:val="24"/>
        </w:rPr>
        <w:t xml:space="preserve">Supplementary </w:t>
      </w:r>
      <w:r w:rsidRPr="005D050B">
        <w:rPr>
          <w:rFonts w:ascii="Times New Roman" w:hAnsi="Times New Roman" w:cs="Times New Roman"/>
          <w:bCs/>
          <w:sz w:val="24"/>
          <w:szCs w:val="24"/>
        </w:rPr>
        <w:t xml:space="preserve">Note 2: Description of </w:t>
      </w:r>
      <w:r w:rsidRPr="005D050B">
        <w:rPr>
          <w:rFonts w:ascii="Times New Roman" w:hAnsi="Times New Roman" w:cs="Times New Roman"/>
          <w:bCs/>
          <w:i/>
          <w:sz w:val="24"/>
          <w:szCs w:val="24"/>
        </w:rPr>
        <w:t>Lachnospiraceae</w:t>
      </w:r>
      <w:r w:rsidRPr="005D050B">
        <w:rPr>
          <w:rFonts w:ascii="Times New Roman" w:hAnsi="Times New Roman" w:cs="Times New Roman"/>
          <w:bCs/>
          <w:sz w:val="24"/>
          <w:szCs w:val="24"/>
        </w:rPr>
        <w:t xml:space="preserve"> sp. strain LDE-2</w:t>
      </w:r>
    </w:p>
    <w:p w14:paraId="76E7A3E1" w14:textId="77777777" w:rsidR="00650B57" w:rsidRPr="005D050B" w:rsidRDefault="00650B57" w:rsidP="00650B57">
      <w:pPr>
        <w:adjustRightInd w:val="0"/>
        <w:snapToGrid w:val="0"/>
        <w:spacing w:line="480" w:lineRule="auto"/>
        <w:rPr>
          <w:rFonts w:ascii="Times New Roman" w:hAnsi="Times New Roman" w:cs="Times New Roman"/>
          <w:bCs/>
          <w:sz w:val="24"/>
          <w:szCs w:val="24"/>
        </w:rPr>
      </w:pPr>
      <w:r w:rsidRPr="005D050B">
        <w:rPr>
          <w:rFonts w:ascii="Times New Roman" w:hAnsi="Times New Roman" w:cs="Times New Roman"/>
          <w:sz w:val="24"/>
          <w:szCs w:val="24"/>
        </w:rPr>
        <w:t xml:space="preserve">Supplementary </w:t>
      </w:r>
      <w:r w:rsidRPr="005D050B">
        <w:rPr>
          <w:rFonts w:ascii="Times New Roman" w:hAnsi="Times New Roman" w:cs="Times New Roman"/>
          <w:bCs/>
          <w:sz w:val="24"/>
          <w:szCs w:val="24"/>
        </w:rPr>
        <w:t>Note 3: Materials and methods for bacterial strain analysis</w:t>
      </w:r>
    </w:p>
    <w:p w14:paraId="2F86F563"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Supplementary Table 1-18</w:t>
      </w:r>
    </w:p>
    <w:p w14:paraId="67809A2C"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Statistical source data</w:t>
      </w:r>
    </w:p>
    <w:p w14:paraId="4BA78790"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sidRPr="005D050B">
        <w:rPr>
          <w:rFonts w:ascii="Times New Roman" w:hAnsi="Times New Roman" w:cs="Times New Roman"/>
          <w:sz w:val="24"/>
          <w:szCs w:val="24"/>
        </w:rPr>
        <w:t>Image source data</w:t>
      </w:r>
    </w:p>
    <w:p w14:paraId="750889A2" w14:textId="77777777" w:rsidR="00650B57" w:rsidRPr="005D050B" w:rsidRDefault="00650B57" w:rsidP="00650B57">
      <w:pPr>
        <w:widowControl/>
        <w:jc w:val="left"/>
        <w:rPr>
          <w:rFonts w:ascii="Times New Roman" w:hAnsi="Times New Roman" w:cs="Times New Roman"/>
          <w:b/>
          <w:sz w:val="24"/>
          <w:szCs w:val="24"/>
        </w:rPr>
      </w:pPr>
      <w:r w:rsidRPr="005D050B">
        <w:rPr>
          <w:rFonts w:ascii="Times New Roman" w:hAnsi="Times New Roman" w:cs="Times New Roman"/>
          <w:b/>
          <w:sz w:val="24"/>
          <w:szCs w:val="24"/>
        </w:rPr>
        <w:br w:type="page"/>
      </w:r>
    </w:p>
    <w:p w14:paraId="63950263"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lastRenderedPageBreak/>
        <w:t>Extended Data</w:t>
      </w:r>
      <w:r w:rsidRPr="005D050B">
        <w:rPr>
          <w:rFonts w:ascii="Times New Roman" w:hAnsi="Times New Roman" w:cs="Times New Roman"/>
          <w:b/>
          <w:sz w:val="24"/>
          <w:szCs w:val="24"/>
        </w:rPr>
        <w:t xml:space="preserve"> </w:t>
      </w:r>
      <w:r>
        <w:rPr>
          <w:rFonts w:ascii="Times New Roman" w:hAnsi="Times New Roman" w:cs="Times New Roman" w:hint="eastAsia"/>
          <w:b/>
          <w:sz w:val="24"/>
          <w:szCs w:val="24"/>
        </w:rPr>
        <w:t>Figures</w:t>
      </w:r>
    </w:p>
    <w:p w14:paraId="66897797" w14:textId="77777777" w:rsidR="00650B57" w:rsidRPr="005D050B" w:rsidRDefault="00650B57" w:rsidP="00650B57">
      <w:pPr>
        <w:adjustRightInd w:val="0"/>
        <w:snapToGrid w:val="0"/>
        <w:spacing w:line="480" w:lineRule="auto"/>
        <w:ind w:leftChars="-200" w:left="-42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3E6C7D1" wp14:editId="5B229AED">
            <wp:extent cx="6596380" cy="8712200"/>
            <wp:effectExtent l="0" t="0" r="0" b="0"/>
            <wp:docPr id="19" name="图片 19"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A screenshot of a video gam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596380" cy="8712200"/>
                    </a:xfrm>
                    <a:prstGeom prst="rect">
                      <a:avLst/>
                    </a:prstGeom>
                    <a:noFill/>
                  </pic:spPr>
                </pic:pic>
              </a:graphicData>
            </a:graphic>
          </wp:inline>
        </w:drawing>
      </w:r>
    </w:p>
    <w:p w14:paraId="42BDBDB6"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b/>
          <w:sz w:val="24"/>
          <w:szCs w:val="24"/>
        </w:rPr>
        <w:t>1</w:t>
      </w:r>
      <w:r>
        <w:rPr>
          <w:rFonts w:ascii="Times New Roman" w:hAnsi="Times New Roman" w:cs="Times New Roman"/>
          <w:b/>
          <w:sz w:val="24"/>
          <w:szCs w:val="24"/>
        </w:rPr>
        <w:t>:</w:t>
      </w:r>
      <w:r w:rsidRPr="005D050B">
        <w:rPr>
          <w:rFonts w:ascii="Times New Roman" w:hAnsi="Times New Roman" w:cs="Times New Roman"/>
          <w:b/>
          <w:sz w:val="24"/>
          <w:szCs w:val="24"/>
        </w:rPr>
        <w:t xml:space="preserve"> Gut microbiota diversity and strain </w:t>
      </w:r>
      <w:r>
        <w:rPr>
          <w:rFonts w:ascii="Times New Roman" w:hAnsi="Times New Roman" w:cs="Times New Roman"/>
          <w:b/>
          <w:sz w:val="24"/>
          <w:szCs w:val="24"/>
        </w:rPr>
        <w:t>characterisation</w:t>
      </w:r>
      <w:r w:rsidRPr="005D050B">
        <w:rPr>
          <w:rFonts w:ascii="Times New Roman" w:hAnsi="Times New Roman" w:cs="Times New Roman"/>
          <w:b/>
          <w:sz w:val="24"/>
          <w:szCs w:val="24"/>
        </w:rPr>
        <w:t xml:space="preserve"> in </w:t>
      </w:r>
      <w:bookmarkStart w:id="0" w:name="OLE_LINK7"/>
      <w:r w:rsidRPr="005D050B">
        <w:rPr>
          <w:rFonts w:ascii="Times New Roman" w:hAnsi="Times New Roman" w:cs="Times New Roman"/>
          <w:b/>
          <w:i/>
          <w:sz w:val="24"/>
          <w:szCs w:val="24"/>
        </w:rPr>
        <w:t>Aida</w:t>
      </w:r>
      <w:r w:rsidRPr="005D050B">
        <w:rPr>
          <w:rFonts w:ascii="Times New Roman" w:hAnsi="Times New Roman" w:cs="Times New Roman"/>
          <w:b/>
          <w:sz w:val="24"/>
          <w:szCs w:val="24"/>
          <w:vertAlign w:val="superscript"/>
        </w:rPr>
        <w:t>-/-</w:t>
      </w:r>
      <w:r w:rsidRPr="005D050B">
        <w:rPr>
          <w:rFonts w:ascii="Times New Roman" w:hAnsi="Times New Roman" w:cs="Times New Roman"/>
          <w:b/>
          <w:sz w:val="24"/>
          <w:szCs w:val="24"/>
        </w:rPr>
        <w:t xml:space="preserve"> mice</w:t>
      </w:r>
      <w:bookmarkEnd w:id="0"/>
      <w:r>
        <w:rPr>
          <w:rFonts w:ascii="Times New Roman" w:hAnsi="Times New Roman" w:cs="Times New Roman"/>
          <w:b/>
          <w:sz w:val="24"/>
          <w:szCs w:val="24"/>
        </w:rPr>
        <w:t>.</w:t>
      </w:r>
    </w:p>
    <w:p w14:paraId="0423D18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CC5A28">
        <w:rPr>
          <w:rFonts w:ascii="Times New Roman" w:hAnsi="Times New Roman" w:cs="Times New Roman"/>
          <w:b/>
          <w:sz w:val="24"/>
          <w:szCs w:val="24"/>
        </w:rPr>
        <w:t>a,</w:t>
      </w:r>
      <w:r w:rsidRPr="005D050B">
        <w:rPr>
          <w:rFonts w:ascii="Times New Roman" w:hAnsi="Times New Roman" w:cs="Times New Roman"/>
          <w:sz w:val="24"/>
          <w:szCs w:val="24"/>
        </w:rPr>
        <w:t xml:space="preserve"> Cecal microbiota composition at the phylum level in </w:t>
      </w:r>
      <w:bookmarkStart w:id="1" w:name="_Hlk173681427"/>
      <w:r w:rsidRPr="005D050B">
        <w:rPr>
          <w:rFonts w:ascii="Times New Roman" w:hAnsi="Times New Roman" w:cs="Times New Roman"/>
          <w:sz w:val="24"/>
          <w:szCs w:val="24"/>
        </w:rPr>
        <w:t xml:space="preserve">WT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mice </w:t>
      </w:r>
      <w:bookmarkEnd w:id="1"/>
      <w:r w:rsidRPr="005D050B">
        <w:rPr>
          <w:rFonts w:ascii="Times New Roman" w:hAnsi="Times New Roman" w:cs="Times New Roman"/>
          <w:sz w:val="24"/>
          <w:szCs w:val="24"/>
        </w:rPr>
        <w:t xml:space="preserve">fed a high-fat diet (HFD). Data are presented as stacked bars,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mice per group. </w:t>
      </w:r>
    </w:p>
    <w:p w14:paraId="6D28E1EE"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CC5A28">
        <w:rPr>
          <w:rFonts w:ascii="Times New Roman" w:hAnsi="Times New Roman" w:cs="Times New Roman"/>
          <w:b/>
          <w:sz w:val="24"/>
          <w:szCs w:val="24"/>
        </w:rPr>
        <w:t>b-f,</w:t>
      </w:r>
      <w:r w:rsidRPr="005D050B">
        <w:rPr>
          <w:rFonts w:ascii="Times New Roman" w:hAnsi="Times New Roman" w:cs="Times New Roman"/>
          <w:sz w:val="24"/>
          <w:szCs w:val="24"/>
        </w:rPr>
        <w:t xml:space="preserve"> Alpha-diversity metrics of cecal microbiota in wild-type (WT)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mice. Observed species (</w:t>
      </w:r>
      <w:r w:rsidRPr="00CC5A28">
        <w:rPr>
          <w:rFonts w:ascii="Times New Roman" w:hAnsi="Times New Roman" w:cs="Times New Roman"/>
          <w:b/>
          <w:sz w:val="24"/>
          <w:szCs w:val="24"/>
        </w:rPr>
        <w:t>b</w:t>
      </w:r>
      <w:r w:rsidRPr="005D050B">
        <w:rPr>
          <w:rFonts w:ascii="Times New Roman" w:hAnsi="Times New Roman" w:cs="Times New Roman"/>
          <w:sz w:val="24"/>
          <w:szCs w:val="24"/>
        </w:rPr>
        <w:t>), Shannon (</w:t>
      </w:r>
      <w:r w:rsidRPr="00CC5A28">
        <w:rPr>
          <w:rFonts w:ascii="Times New Roman" w:hAnsi="Times New Roman" w:cs="Times New Roman"/>
          <w:b/>
          <w:sz w:val="24"/>
          <w:szCs w:val="24"/>
        </w:rPr>
        <w:t>c</w:t>
      </w:r>
      <w:r w:rsidRPr="005D050B">
        <w:rPr>
          <w:rFonts w:ascii="Times New Roman" w:hAnsi="Times New Roman" w:cs="Times New Roman"/>
          <w:sz w:val="24"/>
          <w:szCs w:val="24"/>
        </w:rPr>
        <w:t>), Simpson (</w:t>
      </w:r>
      <w:r w:rsidRPr="00CC5A28">
        <w:rPr>
          <w:rFonts w:ascii="Times New Roman" w:hAnsi="Times New Roman" w:cs="Times New Roman"/>
          <w:b/>
          <w:sz w:val="24"/>
          <w:szCs w:val="24"/>
        </w:rPr>
        <w:t>d</w:t>
      </w:r>
      <w:r w:rsidRPr="005D050B">
        <w:rPr>
          <w:rFonts w:ascii="Times New Roman" w:hAnsi="Times New Roman" w:cs="Times New Roman"/>
          <w:sz w:val="24"/>
          <w:szCs w:val="24"/>
        </w:rPr>
        <w:t>), Good’s coverage (</w:t>
      </w:r>
      <w:r w:rsidRPr="00CC5A28">
        <w:rPr>
          <w:rFonts w:ascii="Times New Roman" w:hAnsi="Times New Roman" w:cs="Times New Roman"/>
          <w:b/>
          <w:sz w:val="24"/>
          <w:szCs w:val="24"/>
        </w:rPr>
        <w:t>e</w:t>
      </w:r>
      <w:r w:rsidRPr="005D050B">
        <w:rPr>
          <w:rFonts w:ascii="Times New Roman" w:hAnsi="Times New Roman" w:cs="Times New Roman"/>
          <w:sz w:val="24"/>
          <w:szCs w:val="24"/>
        </w:rPr>
        <w:t>), and Chaos (</w:t>
      </w:r>
      <w:r w:rsidRPr="00CC5A28">
        <w:rPr>
          <w:rFonts w:ascii="Times New Roman" w:hAnsi="Times New Roman" w:cs="Times New Roman"/>
          <w:b/>
          <w:sz w:val="24"/>
          <w:szCs w:val="24"/>
        </w:rPr>
        <w:t>f</w:t>
      </w:r>
      <w:r w:rsidRPr="005D050B">
        <w:rPr>
          <w:rFonts w:ascii="Times New Roman" w:hAnsi="Times New Roman" w:cs="Times New Roman"/>
          <w:sz w:val="24"/>
          <w:szCs w:val="24"/>
        </w:rPr>
        <w:t xml:space="preserve">) </w:t>
      </w:r>
      <w:bookmarkStart w:id="2" w:name="_Hlk175150682"/>
      <w:r w:rsidRPr="005D050B">
        <w:rPr>
          <w:rFonts w:ascii="Times New Roman" w:hAnsi="Times New Roman" w:cs="Times New Roman"/>
          <w:sz w:val="24"/>
          <w:szCs w:val="24"/>
        </w:rPr>
        <w:t>indices.</w:t>
      </w:r>
      <w:bookmarkEnd w:id="2"/>
      <w:r w:rsidRPr="005D050B">
        <w:rPr>
          <w:rFonts w:ascii="Times New Roman" w:hAnsi="Times New Roman" w:cs="Times New Roman"/>
          <w:sz w:val="24"/>
          <w:szCs w:val="24"/>
        </w:rPr>
        <w:t xml:space="preserve"> Data derived from 16S rRNA gene sequencing. Individual mice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per group) are shown with mean ± 95% confidence intervals (CI). Differences assessed by two-tailed unpaired Student’s </w:t>
      </w:r>
      <w:r w:rsidRPr="005D050B">
        <w:rPr>
          <w:rFonts w:ascii="Times New Roman" w:hAnsi="Times New Roman" w:cs="Times New Roman"/>
          <w:i/>
          <w:iCs/>
          <w:sz w:val="24"/>
          <w:szCs w:val="24"/>
        </w:rPr>
        <w:t>t</w:t>
      </w:r>
      <w:r w:rsidRPr="005D050B">
        <w:rPr>
          <w:rFonts w:ascii="Times New Roman" w:hAnsi="Times New Roman" w:cs="Times New Roman"/>
          <w:sz w:val="24"/>
          <w:szCs w:val="24"/>
        </w:rPr>
        <w:t xml:space="preserve">-test. </w:t>
      </w:r>
    </w:p>
    <w:p w14:paraId="54705DC6"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CC5A28">
        <w:rPr>
          <w:rFonts w:ascii="Times New Roman" w:hAnsi="Times New Roman" w:cs="Times New Roman"/>
          <w:b/>
          <w:sz w:val="24"/>
          <w:szCs w:val="24"/>
        </w:rPr>
        <w:t>g,</w:t>
      </w:r>
      <w:r w:rsidRPr="005D050B">
        <w:rPr>
          <w:rFonts w:ascii="Times New Roman" w:hAnsi="Times New Roman" w:cs="Times New Roman"/>
          <w:sz w:val="24"/>
          <w:szCs w:val="24"/>
        </w:rPr>
        <w:t xml:space="preserve"> Relative abundance of six OTUs significantly altered in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mice. Data are individual values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per group) with mean ± 95% CI (multiple two-tailed unpaired Student’s </w:t>
      </w:r>
      <w:r w:rsidRPr="005D050B">
        <w:rPr>
          <w:rFonts w:ascii="Times New Roman" w:hAnsi="Times New Roman" w:cs="Times New Roman"/>
          <w:i/>
          <w:iCs/>
          <w:sz w:val="24"/>
          <w:szCs w:val="24"/>
        </w:rPr>
        <w:t>t</w:t>
      </w:r>
      <w:r w:rsidRPr="005D050B">
        <w:rPr>
          <w:rFonts w:ascii="Times New Roman" w:hAnsi="Times New Roman" w:cs="Times New Roman"/>
          <w:sz w:val="24"/>
          <w:szCs w:val="24"/>
        </w:rPr>
        <w:t xml:space="preserve">-test). </w:t>
      </w:r>
    </w:p>
    <w:p w14:paraId="75CA4793"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CC5A28">
        <w:rPr>
          <w:rFonts w:ascii="Times New Roman" w:hAnsi="Times New Roman" w:cs="Times New Roman"/>
          <w:b/>
          <w:sz w:val="24"/>
          <w:szCs w:val="24"/>
        </w:rPr>
        <w:t>h,i,</w:t>
      </w:r>
      <w:r w:rsidRPr="005D050B">
        <w:rPr>
          <w:rFonts w:ascii="Times New Roman" w:hAnsi="Times New Roman" w:cs="Times New Roman"/>
          <w:sz w:val="24"/>
          <w:szCs w:val="24"/>
        </w:rPr>
        <w:t xml:space="preserve"> Relative abundances of </w:t>
      </w:r>
      <w:r w:rsidRPr="005D050B">
        <w:rPr>
          <w:rFonts w:ascii="Times New Roman" w:hAnsi="Times New Roman" w:cs="Times New Roman"/>
          <w:i/>
          <w:sz w:val="24"/>
          <w:szCs w:val="24"/>
        </w:rPr>
        <w:t>Aida</w:t>
      </w:r>
      <w:r w:rsidRPr="005D050B">
        <w:rPr>
          <w:rFonts w:ascii="Times New Roman" w:hAnsi="Times New Roman" w:cs="Times New Roman"/>
          <w:sz w:val="24"/>
          <w:szCs w:val="24"/>
        </w:rPr>
        <w:t xml:space="preserve">-related bacterial taxa and correlations with body mass index (BMI). </w:t>
      </w:r>
      <w:r>
        <w:rPr>
          <w:rFonts w:ascii="Times New Roman" w:hAnsi="Times New Roman" w:cs="Times New Roman"/>
          <w:sz w:val="24"/>
          <w:szCs w:val="24"/>
        </w:rPr>
        <w:t>Faecal</w:t>
      </w:r>
      <w:r w:rsidRPr="005D050B">
        <w:rPr>
          <w:rFonts w:ascii="Times New Roman" w:hAnsi="Times New Roman" w:cs="Times New Roman"/>
          <w:sz w:val="24"/>
          <w:szCs w:val="24"/>
        </w:rPr>
        <w:t xml:space="preserve"> metagenomic data from 355 normal-weight (BMI 18.5–24.9) and 631 obese (BMI &gt; 30) individuals were </w:t>
      </w:r>
      <w:r>
        <w:rPr>
          <w:rFonts w:ascii="Times New Roman" w:hAnsi="Times New Roman" w:cs="Times New Roman"/>
          <w:sz w:val="24"/>
          <w:szCs w:val="24"/>
        </w:rPr>
        <w:t>analysed</w:t>
      </w:r>
      <w:r w:rsidRPr="005D050B">
        <w:rPr>
          <w:rFonts w:ascii="Times New Roman" w:hAnsi="Times New Roman" w:cs="Times New Roman"/>
          <w:sz w:val="24"/>
          <w:szCs w:val="24"/>
        </w:rPr>
        <w:t xml:space="preserve">. Violin plots (left panels) depict the relative abundances of </w:t>
      </w:r>
      <w:r w:rsidRPr="005D050B">
        <w:rPr>
          <w:rFonts w:ascii="Times New Roman" w:hAnsi="Times New Roman" w:cs="Times New Roman"/>
          <w:i/>
          <w:sz w:val="24"/>
          <w:szCs w:val="24"/>
        </w:rPr>
        <w:t>Holdemania filiformis</w:t>
      </w:r>
      <w:r w:rsidRPr="005D050B">
        <w:rPr>
          <w:rFonts w:ascii="Times New Roman" w:hAnsi="Times New Roman" w:cs="Times New Roman"/>
          <w:sz w:val="24"/>
          <w:szCs w:val="24"/>
        </w:rPr>
        <w:t xml:space="preserve"> (phylogenetically related to OTU21; </w:t>
      </w:r>
      <w:r w:rsidRPr="00CC5A28">
        <w:rPr>
          <w:rFonts w:ascii="Times New Roman" w:hAnsi="Times New Roman" w:cs="Times New Roman"/>
          <w:b/>
          <w:sz w:val="24"/>
          <w:szCs w:val="24"/>
        </w:rPr>
        <w:t>h</w:t>
      </w:r>
      <w:r w:rsidRPr="005D050B">
        <w:rPr>
          <w:rFonts w:ascii="Times New Roman" w:hAnsi="Times New Roman" w:cs="Times New Roman"/>
          <w:sz w:val="24"/>
          <w:szCs w:val="24"/>
        </w:rPr>
        <w:t xml:space="preserve">), and </w:t>
      </w:r>
      <w:r w:rsidRPr="005D050B">
        <w:rPr>
          <w:rFonts w:ascii="Times New Roman" w:hAnsi="Times New Roman" w:cs="Times New Roman"/>
          <w:i/>
          <w:sz w:val="24"/>
          <w:szCs w:val="24"/>
        </w:rPr>
        <w:t>Adlercreutzia equolifaciens</w:t>
      </w:r>
      <w:r w:rsidRPr="005D050B">
        <w:rPr>
          <w:rFonts w:ascii="Times New Roman" w:hAnsi="Times New Roman" w:cs="Times New Roman"/>
          <w:sz w:val="24"/>
          <w:szCs w:val="24"/>
        </w:rPr>
        <w:t xml:space="preserve"> (phylogenetically related to OTU59; </w:t>
      </w:r>
      <w:r w:rsidRPr="00CC5A28">
        <w:rPr>
          <w:rFonts w:ascii="Times New Roman" w:hAnsi="Times New Roman" w:cs="Times New Roman"/>
          <w:b/>
          <w:sz w:val="24"/>
          <w:szCs w:val="24"/>
        </w:rPr>
        <w:t>i</w:t>
      </w:r>
      <w:r w:rsidRPr="005D050B">
        <w:rPr>
          <w:rFonts w:ascii="Times New Roman" w:hAnsi="Times New Roman" w:cs="Times New Roman"/>
          <w:sz w:val="24"/>
          <w:szCs w:val="24"/>
        </w:rPr>
        <w:t>). Medians (solid lines) and interquartile ranges (dashed lines) are shown. Significance was assessed using two-tailed unpaired Mann-Whitney test. Correlation analyses (right graphs) show Spearman’s rank correlation between BMI and taxon abundances in obese individuals. Correlation coefficients (</w:t>
      </w:r>
      <w:r w:rsidRPr="005D050B">
        <w:rPr>
          <w:rFonts w:ascii="Times New Roman" w:hAnsi="Times New Roman" w:cs="Times New Roman"/>
          <w:i/>
          <w:sz w:val="24"/>
          <w:szCs w:val="24"/>
        </w:rPr>
        <w:t>ρ</w:t>
      </w:r>
      <w:r w:rsidRPr="005D050B">
        <w:rPr>
          <w:rFonts w:ascii="Times New Roman" w:hAnsi="Times New Roman" w:cs="Times New Roman"/>
          <w:sz w:val="24"/>
          <w:szCs w:val="24"/>
        </w:rPr>
        <w:t xml:space="preserve">) and </w:t>
      </w:r>
      <w:r w:rsidRPr="005D050B">
        <w:rPr>
          <w:rFonts w:ascii="Times New Roman" w:hAnsi="Times New Roman" w:cs="Times New Roman"/>
          <w:i/>
          <w:sz w:val="24"/>
          <w:szCs w:val="24"/>
        </w:rPr>
        <w:t>P</w:t>
      </w:r>
      <w:r w:rsidRPr="005D050B">
        <w:rPr>
          <w:rFonts w:ascii="Times New Roman" w:hAnsi="Times New Roman" w:cs="Times New Roman"/>
          <w:sz w:val="24"/>
          <w:szCs w:val="24"/>
        </w:rPr>
        <w:t xml:space="preserve"> values are annotated</w:t>
      </w:r>
      <w:r w:rsidRPr="005D050B">
        <w:rPr>
          <w:rFonts w:ascii="Times New Roman" w:hAnsi="Times New Roman" w:cs="Times New Roman"/>
          <w:iCs/>
          <w:sz w:val="24"/>
          <w:szCs w:val="24"/>
        </w:rPr>
        <w:t xml:space="preserve">. </w:t>
      </w:r>
    </w:p>
    <w:p w14:paraId="6C28B9A7"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j</w:t>
      </w:r>
      <w:r w:rsidRPr="00CC5A28">
        <w:rPr>
          <w:rFonts w:ascii="Times New Roman" w:hAnsi="Times New Roman" w:cs="Times New Roman"/>
          <w:b/>
          <w:sz w:val="24"/>
          <w:szCs w:val="24"/>
        </w:rPr>
        <w:t>,</w:t>
      </w:r>
      <w:r w:rsidRPr="005D050B">
        <w:rPr>
          <w:rFonts w:ascii="Times New Roman" w:hAnsi="Times New Roman" w:cs="Times New Roman"/>
          <w:sz w:val="24"/>
          <w:szCs w:val="24"/>
        </w:rPr>
        <w:t xml:space="preserve"> Pearson correlation analysis between fat mass (%) and relative abundance of OTU21, OTU59, OTU68, OTU141 and OTU228. Shaded regions indicate 95% confidence intervals (CI). Correlation coefficients (</w:t>
      </w:r>
      <w:r w:rsidRPr="005D050B">
        <w:rPr>
          <w:rFonts w:ascii="Times New Roman" w:hAnsi="Times New Roman" w:cs="Times New Roman"/>
          <w:i/>
          <w:sz w:val="24"/>
          <w:szCs w:val="24"/>
        </w:rPr>
        <w:t>r</w:t>
      </w:r>
      <w:r w:rsidRPr="005D050B">
        <w:rPr>
          <w:rFonts w:ascii="Times New Roman" w:hAnsi="Times New Roman" w:cs="Times New Roman"/>
          <w:sz w:val="24"/>
          <w:szCs w:val="24"/>
        </w:rPr>
        <w:t xml:space="preserve">) and </w:t>
      </w:r>
      <w:r w:rsidRPr="005D050B">
        <w:rPr>
          <w:rFonts w:ascii="Times New Roman" w:hAnsi="Times New Roman" w:cs="Times New Roman"/>
          <w:i/>
          <w:sz w:val="24"/>
          <w:szCs w:val="24"/>
        </w:rPr>
        <w:t>P</w:t>
      </w:r>
      <w:r w:rsidRPr="005D050B">
        <w:rPr>
          <w:rFonts w:ascii="Times New Roman" w:hAnsi="Times New Roman" w:cs="Times New Roman"/>
          <w:sz w:val="24"/>
          <w:szCs w:val="24"/>
        </w:rPr>
        <w:t xml:space="preserve"> values are annotated. </w:t>
      </w:r>
    </w:p>
    <w:p w14:paraId="7167213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k</w:t>
      </w:r>
      <w:r w:rsidRPr="00CC5A28">
        <w:rPr>
          <w:rFonts w:ascii="Times New Roman" w:hAnsi="Times New Roman" w:cs="Times New Roman"/>
          <w:b/>
          <w:sz w:val="24"/>
          <w:szCs w:val="24"/>
        </w:rPr>
        <w:t>,</w:t>
      </w:r>
      <w:r w:rsidRPr="005D050B">
        <w:rPr>
          <w:rFonts w:ascii="Times New Roman" w:hAnsi="Times New Roman" w:cs="Times New Roman"/>
          <w:sz w:val="24"/>
          <w:szCs w:val="24"/>
        </w:rPr>
        <w:t xml:space="preserve"> The number of isolates from the cecal content of </w:t>
      </w:r>
      <w:r w:rsidRPr="005D050B">
        <w:rPr>
          <w:rFonts w:ascii="Times New Roman" w:hAnsi="Times New Roman" w:cs="Times New Roman"/>
          <w:i/>
          <w:sz w:val="24"/>
          <w:szCs w:val="24"/>
        </w:rPr>
        <w:t>Aida</w:t>
      </w:r>
      <w:r w:rsidRPr="005D050B">
        <w:rPr>
          <w:rFonts w:ascii="Times New Roman" w:hAnsi="Times New Roman" w:cs="Times New Roman"/>
          <w:sz w:val="24"/>
          <w:szCs w:val="24"/>
          <w:vertAlign w:val="superscript"/>
        </w:rPr>
        <w:t>-/-</w:t>
      </w:r>
      <w:r w:rsidRPr="005D050B">
        <w:rPr>
          <w:rFonts w:ascii="Times New Roman" w:hAnsi="Times New Roman" w:cs="Times New Roman"/>
          <w:sz w:val="24"/>
          <w:szCs w:val="24"/>
        </w:rPr>
        <w:t xml:space="preserve"> mice. Gifu anaerobic medium </w:t>
      </w:r>
      <w:r w:rsidRPr="005D050B">
        <w:rPr>
          <w:rFonts w:ascii="Times New Roman" w:hAnsi="Times New Roman" w:cs="Times New Roman"/>
          <w:sz w:val="24"/>
          <w:szCs w:val="24"/>
        </w:rPr>
        <w:lastRenderedPageBreak/>
        <w:t xml:space="preserve">(GAM), GAM + 0.1% taurocholate (GAMN), </w:t>
      </w:r>
      <w:bookmarkStart w:id="3" w:name="OLE_LINK20"/>
      <w:r w:rsidRPr="005D050B">
        <w:rPr>
          <w:rFonts w:ascii="Times New Roman" w:hAnsi="Times New Roman" w:cs="Times New Roman"/>
          <w:sz w:val="24"/>
          <w:szCs w:val="24"/>
        </w:rPr>
        <w:t>yeast casitone fatty acids broth</w:t>
      </w:r>
      <w:bookmarkEnd w:id="3"/>
      <w:r w:rsidRPr="005D050B">
        <w:rPr>
          <w:rFonts w:ascii="Times New Roman" w:hAnsi="Times New Roman" w:cs="Times New Roman"/>
          <w:sz w:val="24"/>
          <w:szCs w:val="24"/>
        </w:rPr>
        <w:t xml:space="preserve"> (YCFA), yeast casitone fatty acids broth + 0.1% taurocholate (YCFAN), modified chopped meat medium (CMM), TSA medium with 5% defibrinated sheep blood (TSA), rumen bacteria medium (TPY), modified reinforced clostridial medium (RCM) and modified PYG medium (PYG). Thresholds with ≥ 98.7% identity to reference strains as the same species.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 </w:t>
      </w:r>
    </w:p>
    <w:p w14:paraId="1C7159CD"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438ED0D5"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21B53A63" wp14:editId="599E50D6">
            <wp:extent cx="5689737" cy="2895600"/>
            <wp:effectExtent l="0" t="0" r="0" b="0"/>
            <wp:docPr id="20" name="图片 20" descr="A close-up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A close-up of a cell&#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99214" cy="2900423"/>
                    </a:xfrm>
                    <a:prstGeom prst="rect">
                      <a:avLst/>
                    </a:prstGeom>
                    <a:noFill/>
                  </pic:spPr>
                </pic:pic>
              </a:graphicData>
            </a:graphic>
          </wp:inline>
        </w:drawing>
      </w:r>
    </w:p>
    <w:p w14:paraId="58EE6088"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b/>
          <w:sz w:val="24"/>
          <w:szCs w:val="24"/>
        </w:rPr>
        <w:t>2</w:t>
      </w:r>
      <w:r>
        <w:rPr>
          <w:rFonts w:ascii="Times New Roman" w:hAnsi="Times New Roman" w:cs="Times New Roman"/>
          <w:b/>
          <w:sz w:val="24"/>
          <w:szCs w:val="24"/>
        </w:rPr>
        <w:t>:</w:t>
      </w:r>
      <w:r w:rsidRPr="005D050B">
        <w:rPr>
          <w:rFonts w:ascii="Times New Roman" w:hAnsi="Times New Roman" w:cs="Times New Roman"/>
          <w:b/>
          <w:sz w:val="24"/>
          <w:szCs w:val="24"/>
        </w:rPr>
        <w:t xml:space="preserve"> Metabolic and musculoskeletal effects of bacterial supplementation in mice</w:t>
      </w:r>
      <w:r>
        <w:rPr>
          <w:rFonts w:ascii="Times New Roman" w:hAnsi="Times New Roman" w:cs="Times New Roman"/>
          <w:b/>
          <w:sz w:val="24"/>
          <w:szCs w:val="24"/>
        </w:rPr>
        <w:t>.</w:t>
      </w:r>
    </w:p>
    <w:p w14:paraId="4BFA237D" w14:textId="77777777" w:rsidR="00650B57" w:rsidRPr="005D050B" w:rsidRDefault="00650B57" w:rsidP="00650B57">
      <w:pPr>
        <w:widowControl/>
        <w:adjustRightInd w:val="0"/>
        <w:snapToGrid w:val="0"/>
        <w:spacing w:line="480" w:lineRule="auto"/>
        <w:jc w:val="left"/>
        <w:rPr>
          <w:rFonts w:ascii="Times New Roman" w:hAnsi="Times New Roman" w:cs="Times New Roman"/>
          <w:sz w:val="24"/>
          <w:szCs w:val="24"/>
        </w:rPr>
      </w:pPr>
      <w:r w:rsidRPr="00763ACF">
        <w:rPr>
          <w:rFonts w:ascii="Times New Roman" w:hAnsi="Times New Roman" w:cs="Times New Roman"/>
          <w:b/>
          <w:sz w:val="24"/>
          <w:szCs w:val="24"/>
        </w:rPr>
        <w:t>a,</w:t>
      </w:r>
      <w:r w:rsidRPr="005D050B">
        <w:rPr>
          <w:rFonts w:ascii="Times New Roman" w:hAnsi="Times New Roman" w:cs="Times New Roman"/>
          <w:sz w:val="24"/>
          <w:szCs w:val="24"/>
        </w:rPr>
        <w:t xml:space="preserve"> Body weight trajectories of mice gavaged with </w:t>
      </w:r>
      <w:r w:rsidRPr="005D050B">
        <w:rPr>
          <w:rFonts w:ascii="Times New Roman" w:hAnsi="Times New Roman" w:cs="Times New Roman"/>
          <w:i/>
          <w:sz w:val="24"/>
          <w:szCs w:val="24"/>
        </w:rPr>
        <w:t>Escherichia coli</w:t>
      </w:r>
      <w:r w:rsidRPr="005D050B">
        <w:rPr>
          <w:rFonts w:ascii="Times New Roman" w:hAnsi="Times New Roman" w:cs="Times New Roman"/>
          <w:sz w:val="24"/>
          <w:szCs w:val="24"/>
        </w:rPr>
        <w:t xml:space="preserve"> Nissle 1917 (EcN) or PBS control. Slopes were </w:t>
      </w:r>
      <w:r>
        <w:rPr>
          <w:rFonts w:ascii="Times New Roman" w:hAnsi="Times New Roman" w:cs="Times New Roman"/>
          <w:sz w:val="24"/>
          <w:szCs w:val="24"/>
        </w:rPr>
        <w:t>analysed</w:t>
      </w:r>
      <w:r w:rsidRPr="005D050B">
        <w:rPr>
          <w:rFonts w:ascii="Times New Roman" w:hAnsi="Times New Roman" w:cs="Times New Roman"/>
          <w:sz w:val="24"/>
          <w:szCs w:val="24"/>
        </w:rPr>
        <w:t xml:space="preserve"> by simple linear regression. Data are mean ± SEM,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5-6 mice per group. </w:t>
      </w:r>
    </w:p>
    <w:p w14:paraId="56304355"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763ACF">
        <w:rPr>
          <w:rFonts w:ascii="Times New Roman" w:hAnsi="Times New Roman" w:cs="Times New Roman"/>
          <w:b/>
          <w:sz w:val="24"/>
          <w:szCs w:val="24"/>
        </w:rPr>
        <w:t>b-e,</w:t>
      </w:r>
      <w:r w:rsidRPr="005D050B">
        <w:rPr>
          <w:rFonts w:ascii="Times New Roman" w:hAnsi="Times New Roman" w:cs="Times New Roman"/>
          <w:sz w:val="24"/>
          <w:szCs w:val="24"/>
        </w:rPr>
        <w:t xml:space="preserve"> </w:t>
      </w:r>
      <w:bookmarkStart w:id="4" w:name="_Hlk175149428"/>
      <w:r w:rsidRPr="005D050B">
        <w:rPr>
          <w:rFonts w:ascii="Times New Roman" w:hAnsi="Times New Roman" w:cs="Times New Roman"/>
          <w:sz w:val="24"/>
          <w:szCs w:val="24"/>
        </w:rPr>
        <w:t>Adipocyte morphology in inguinal white adipose tissue (iWAT). Representative H&amp;E-stained sections from LDE-1- (</w:t>
      </w:r>
      <w:r w:rsidRPr="006703F2">
        <w:rPr>
          <w:rFonts w:ascii="Times New Roman" w:hAnsi="Times New Roman" w:cs="Times New Roman"/>
          <w:b/>
          <w:sz w:val="24"/>
          <w:szCs w:val="24"/>
        </w:rPr>
        <w:t>b</w:t>
      </w:r>
      <w:r w:rsidRPr="005D050B">
        <w:rPr>
          <w:rFonts w:ascii="Times New Roman" w:hAnsi="Times New Roman" w:cs="Times New Roman"/>
          <w:sz w:val="24"/>
          <w:szCs w:val="24"/>
        </w:rPr>
        <w:t>) and LDE-2-treated (</w:t>
      </w:r>
      <w:r w:rsidRPr="006703F2">
        <w:rPr>
          <w:rFonts w:ascii="Times New Roman" w:hAnsi="Times New Roman" w:cs="Times New Roman"/>
          <w:b/>
          <w:sz w:val="24"/>
          <w:szCs w:val="24"/>
        </w:rPr>
        <w:t>d</w:t>
      </w:r>
      <w:r w:rsidRPr="005D050B">
        <w:rPr>
          <w:rFonts w:ascii="Times New Roman" w:hAnsi="Times New Roman" w:cs="Times New Roman"/>
          <w:sz w:val="24"/>
          <w:szCs w:val="24"/>
        </w:rPr>
        <w:t xml:space="preserve">) mice. </w:t>
      </w:r>
      <w:bookmarkStart w:id="5" w:name="_Hlk175150016"/>
      <w:bookmarkEnd w:id="4"/>
      <w:r w:rsidRPr="005D050B">
        <w:rPr>
          <w:rFonts w:ascii="Times New Roman" w:hAnsi="Times New Roman" w:cs="Times New Roman"/>
          <w:sz w:val="24"/>
          <w:szCs w:val="24"/>
        </w:rPr>
        <w:t>Adipocyte cross-sectional areas in LDE-1 (</w:t>
      </w:r>
      <w:r w:rsidRPr="006703F2">
        <w:rPr>
          <w:rFonts w:ascii="Times New Roman" w:hAnsi="Times New Roman" w:cs="Times New Roman"/>
          <w:b/>
          <w:sz w:val="24"/>
          <w:szCs w:val="24"/>
        </w:rPr>
        <w:t>c</w:t>
      </w:r>
      <w:r w:rsidRPr="005D050B">
        <w:rPr>
          <w:rFonts w:ascii="Times New Roman" w:hAnsi="Times New Roman" w:cs="Times New Roman"/>
          <w:sz w:val="24"/>
          <w:szCs w:val="24"/>
        </w:rPr>
        <w:t xml:space="preserve">;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7 mice) and LDE-2 (</w:t>
      </w:r>
      <w:r w:rsidRPr="006703F2">
        <w:rPr>
          <w:rFonts w:ascii="Times New Roman" w:hAnsi="Times New Roman" w:cs="Times New Roman"/>
          <w:b/>
          <w:sz w:val="24"/>
          <w:szCs w:val="24"/>
        </w:rPr>
        <w:t>e</w:t>
      </w:r>
      <w:r w:rsidRPr="005D050B">
        <w:rPr>
          <w:rFonts w:ascii="Times New Roman" w:hAnsi="Times New Roman" w:cs="Times New Roman"/>
          <w:sz w:val="24"/>
          <w:szCs w:val="24"/>
        </w:rPr>
        <w:t xml:space="preserve">;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 mice) groups compared to vehicle controls. Violin plots show median (solid line) and quartiles (dashed lines). Two-tailed unpaired Mann-Whitney test. </w:t>
      </w:r>
    </w:p>
    <w:bookmarkEnd w:id="5"/>
    <w:p w14:paraId="1493F45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763ACF">
        <w:rPr>
          <w:rFonts w:ascii="Times New Roman" w:hAnsi="Times New Roman" w:cs="Times New Roman"/>
          <w:b/>
          <w:sz w:val="24"/>
          <w:szCs w:val="24"/>
        </w:rPr>
        <w:t>f,</w:t>
      </w:r>
      <w:r w:rsidRPr="005D050B">
        <w:rPr>
          <w:rFonts w:ascii="Times New Roman" w:hAnsi="Times New Roman" w:cs="Times New Roman"/>
          <w:sz w:val="24"/>
          <w:szCs w:val="24"/>
        </w:rPr>
        <w:t xml:space="preserve"> Long-term body weight changes in mice after LDE-2 or PBS gavage. Slopes </w:t>
      </w:r>
      <w:r>
        <w:rPr>
          <w:rFonts w:ascii="Times New Roman" w:hAnsi="Times New Roman" w:cs="Times New Roman"/>
          <w:sz w:val="24"/>
          <w:szCs w:val="24"/>
        </w:rPr>
        <w:t>analysed</w:t>
      </w:r>
      <w:r w:rsidRPr="005D050B">
        <w:rPr>
          <w:rFonts w:ascii="Times New Roman" w:hAnsi="Times New Roman" w:cs="Times New Roman"/>
          <w:sz w:val="24"/>
          <w:szCs w:val="24"/>
        </w:rPr>
        <w:t xml:space="preserve"> by simple linear regression. Data are mean ± SEM;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5-6 mice. </w:t>
      </w:r>
    </w:p>
    <w:p w14:paraId="0B107223"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703F2">
        <w:rPr>
          <w:rFonts w:ascii="Times New Roman" w:hAnsi="Times New Roman" w:cs="Times New Roman"/>
          <w:b/>
          <w:sz w:val="24"/>
          <w:szCs w:val="24"/>
        </w:rPr>
        <w:t>g,</w:t>
      </w:r>
      <w:r w:rsidRPr="005D050B">
        <w:rPr>
          <w:rFonts w:ascii="Times New Roman" w:hAnsi="Times New Roman" w:cs="Times New Roman"/>
          <w:sz w:val="24"/>
          <w:szCs w:val="24"/>
        </w:rPr>
        <w:t xml:space="preserve"> Rectus femoris and soleus muscle mass 12 weeks post-treatment. Data are individual values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 mice per group) with mean ± 95% CI. Two-way ANOVA followed by </w:t>
      </w:r>
      <w:bookmarkStart w:id="6" w:name="_Hlk190384704"/>
      <w:r w:rsidRPr="005D050B">
        <w:rPr>
          <w:rFonts w:ascii="Times New Roman" w:hAnsi="Times New Roman" w:cs="Times New Roman"/>
          <w:sz w:val="24"/>
          <w:szCs w:val="24"/>
        </w:rPr>
        <w:t>Holm-Šídák’s</w:t>
      </w:r>
      <w:bookmarkEnd w:id="6"/>
      <w:r w:rsidRPr="005D050B">
        <w:rPr>
          <w:rFonts w:ascii="Times New Roman" w:hAnsi="Times New Roman" w:cs="Times New Roman"/>
          <w:sz w:val="24"/>
          <w:szCs w:val="24"/>
        </w:rPr>
        <w:t xml:space="preserve"> test.</w:t>
      </w:r>
      <w:r>
        <w:rPr>
          <w:rFonts w:ascii="Times New Roman" w:hAnsi="Times New Roman" w:cs="Times New Roman" w:hint="eastAsia"/>
          <w:sz w:val="24"/>
          <w:szCs w:val="24"/>
        </w:rPr>
        <w:t xml:space="preserve"> </w:t>
      </w:r>
      <w:r w:rsidRPr="005D050B">
        <w:rPr>
          <w:rFonts w:ascii="Times New Roman" w:hAnsi="Times New Roman" w:cs="Times New Roman"/>
          <w:sz w:val="24"/>
          <w:szCs w:val="24"/>
        </w:rPr>
        <w:t>****</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p>
    <w:p w14:paraId="10F770B9" w14:textId="77777777" w:rsidR="00650B57" w:rsidRPr="005D050B" w:rsidRDefault="00650B57" w:rsidP="00650B57">
      <w:pPr>
        <w:adjustRightInd w:val="0"/>
        <w:snapToGrid w:val="0"/>
        <w:spacing w:line="480" w:lineRule="auto"/>
        <w:jc w:val="center"/>
        <w:rPr>
          <w:rFonts w:ascii="Times New Roman" w:hAnsi="Times New Roman" w:cs="Times New Roman"/>
          <w:b/>
          <w:sz w:val="24"/>
          <w:szCs w:val="24"/>
        </w:rPr>
      </w:pPr>
      <w:bookmarkStart w:id="7" w:name="OLE_LINK19"/>
      <w:r>
        <w:rPr>
          <w:rFonts w:ascii="Times New Roman" w:hAnsi="Times New Roman" w:cs="Times New Roman"/>
          <w:b/>
          <w:noProof/>
          <w:sz w:val="24"/>
          <w:szCs w:val="24"/>
        </w:rPr>
        <w:lastRenderedPageBreak/>
        <w:drawing>
          <wp:inline distT="0" distB="0" distL="0" distR="0" wp14:anchorId="16B8CB63" wp14:editId="298FFA4F">
            <wp:extent cx="5437720" cy="5962650"/>
            <wp:effectExtent l="0" t="0" r="0" b="0"/>
            <wp:docPr id="3" name="图片 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 screenshot of a computer screen&#10;&#10;AI-generated content may be incorrec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41542" cy="5966841"/>
                    </a:xfrm>
                    <a:prstGeom prst="rect">
                      <a:avLst/>
                    </a:prstGeom>
                    <a:noFill/>
                  </pic:spPr>
                </pic:pic>
              </a:graphicData>
            </a:graphic>
          </wp:inline>
        </w:drawing>
      </w:r>
    </w:p>
    <w:p w14:paraId="7FAC3209"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b/>
          <w:sz w:val="24"/>
          <w:szCs w:val="24"/>
        </w:rPr>
        <w:t>3</w:t>
      </w:r>
      <w:r>
        <w:rPr>
          <w:rFonts w:ascii="Times New Roman" w:hAnsi="Times New Roman" w:cs="Times New Roman"/>
          <w:b/>
          <w:sz w:val="24"/>
          <w:szCs w:val="24"/>
        </w:rPr>
        <w:t>:</w:t>
      </w:r>
      <w:r w:rsidRPr="005D050B">
        <w:rPr>
          <w:rFonts w:ascii="Times New Roman" w:hAnsi="Times New Roman" w:cs="Times New Roman"/>
          <w:b/>
          <w:sz w:val="24"/>
          <w:szCs w:val="24"/>
        </w:rPr>
        <w:t xml:space="preserve"> GC-MS quantification of leucic acid in cecal contents</w:t>
      </w:r>
      <w:r>
        <w:rPr>
          <w:rFonts w:ascii="Times New Roman" w:hAnsi="Times New Roman" w:cs="Times New Roman"/>
          <w:b/>
          <w:sz w:val="24"/>
          <w:szCs w:val="24"/>
        </w:rPr>
        <w:t>.</w:t>
      </w:r>
    </w:p>
    <w:p w14:paraId="0C087264" w14:textId="77777777" w:rsidR="00650B57" w:rsidRPr="005D050B" w:rsidRDefault="00650B57" w:rsidP="00650B57">
      <w:pPr>
        <w:adjustRightInd w:val="0"/>
        <w:snapToGrid w:val="0"/>
        <w:spacing w:line="480" w:lineRule="auto"/>
        <w:rPr>
          <w:rFonts w:ascii="Times New Roman" w:hAnsi="Times New Roman" w:cs="Times New Roman"/>
          <w:sz w:val="24"/>
          <w:szCs w:val="24"/>
        </w:rPr>
      </w:pPr>
      <w:bookmarkStart w:id="8" w:name="OLE_LINK13"/>
      <w:r w:rsidRPr="00554B7B">
        <w:rPr>
          <w:rFonts w:ascii="Times New Roman" w:hAnsi="Times New Roman" w:cs="Times New Roman"/>
          <w:b/>
          <w:sz w:val="24"/>
          <w:szCs w:val="24"/>
        </w:rPr>
        <w:t>a,</w:t>
      </w:r>
      <w:r w:rsidRPr="005D050B">
        <w:rPr>
          <w:rFonts w:ascii="Times New Roman" w:hAnsi="Times New Roman" w:cs="Times New Roman"/>
          <w:sz w:val="24"/>
          <w:szCs w:val="24"/>
        </w:rPr>
        <w:t xml:space="preserve"> </w:t>
      </w:r>
      <w:r>
        <w:rPr>
          <w:rFonts w:ascii="Times New Roman" w:hAnsi="Times New Roman" w:cs="Times New Roman"/>
          <w:sz w:val="24"/>
          <w:szCs w:val="24"/>
        </w:rPr>
        <w:t>Optimisation</w:t>
      </w:r>
      <w:r w:rsidRPr="005D050B">
        <w:rPr>
          <w:rFonts w:ascii="Times New Roman" w:hAnsi="Times New Roman" w:cs="Times New Roman"/>
          <w:sz w:val="24"/>
          <w:szCs w:val="24"/>
        </w:rPr>
        <w:t xml:space="preserve"> of </w:t>
      </w:r>
      <w:r>
        <w:rPr>
          <w:rFonts w:ascii="Times New Roman" w:hAnsi="Times New Roman" w:cs="Times New Roman"/>
          <w:sz w:val="24"/>
          <w:szCs w:val="24"/>
        </w:rPr>
        <w:t>derivatisation</w:t>
      </w:r>
      <w:r w:rsidRPr="005D050B">
        <w:rPr>
          <w:rFonts w:ascii="Times New Roman" w:hAnsi="Times New Roman" w:cs="Times New Roman"/>
          <w:sz w:val="24"/>
          <w:szCs w:val="24"/>
        </w:rPr>
        <w:t xml:space="preserve"> approaches</w:t>
      </w:r>
      <w:r w:rsidRPr="005D050B">
        <w:rPr>
          <w:rFonts w:ascii="Times New Roman" w:hAnsi="Times New Roman" w:cs="Times New Roman" w:hint="eastAsia"/>
          <w:sz w:val="24"/>
          <w:szCs w:val="24"/>
        </w:rPr>
        <w:t xml:space="preserve"> for quantification of leucic acid in cecal content</w:t>
      </w:r>
      <w:r w:rsidRPr="005D050B">
        <w:rPr>
          <w:rFonts w:ascii="Times New Roman" w:hAnsi="Times New Roman" w:cs="Times New Roman"/>
          <w:sz w:val="24"/>
          <w:szCs w:val="24"/>
        </w:rPr>
        <w:t xml:space="preserve">. Representative GC-MS chromatograms of </w:t>
      </w:r>
      <w:r w:rsidRPr="005D050B">
        <w:rPr>
          <w:rFonts w:ascii="Times New Roman" w:hAnsi="Times New Roman" w:cs="Times New Roman" w:hint="eastAsia"/>
          <w:sz w:val="24"/>
          <w:szCs w:val="24"/>
        </w:rPr>
        <w:t>cecal content</w:t>
      </w:r>
      <w:r w:rsidRPr="005D050B">
        <w:rPr>
          <w:rFonts w:ascii="Times New Roman" w:hAnsi="Times New Roman" w:cs="Times New Roman"/>
          <w:sz w:val="24"/>
          <w:szCs w:val="24"/>
        </w:rPr>
        <w:t xml:space="preserve"> samples from NCD-fed mice administered 50 mM leucic acid for 3 days. Upper panel: </w:t>
      </w:r>
      <w:r w:rsidRPr="005D050B">
        <w:rPr>
          <w:rFonts w:ascii="Times New Roman" w:hAnsi="Times New Roman" w:cs="Times New Roman" w:hint="eastAsia"/>
          <w:sz w:val="24"/>
          <w:szCs w:val="24"/>
        </w:rPr>
        <w:t>comparison of t</w:t>
      </w:r>
      <w:r w:rsidRPr="005D050B">
        <w:rPr>
          <w:rFonts w:ascii="Times New Roman" w:hAnsi="Times New Roman" w:cs="Times New Roman"/>
          <w:sz w:val="24"/>
          <w:szCs w:val="24"/>
        </w:rPr>
        <w:t xml:space="preserve">rimethylsilyl (TMS) vs. sequential TMS-trifluoroacetyl (TFA) </w:t>
      </w:r>
      <w:r>
        <w:rPr>
          <w:rFonts w:ascii="Times New Roman" w:hAnsi="Times New Roman" w:cs="Times New Roman"/>
          <w:sz w:val="24"/>
          <w:szCs w:val="24"/>
        </w:rPr>
        <w:t>derivatisation</w:t>
      </w:r>
      <w:r w:rsidRPr="005D050B">
        <w:rPr>
          <w:rFonts w:ascii="Times New Roman" w:hAnsi="Times New Roman" w:cs="Times New Roman"/>
          <w:sz w:val="24"/>
          <w:szCs w:val="24"/>
        </w:rPr>
        <w:t xml:space="preserve">. Lower panel: </w:t>
      </w:r>
      <w:r w:rsidRPr="005D050B">
        <w:rPr>
          <w:rFonts w:ascii="Times New Roman" w:hAnsi="Times New Roman" w:cs="Times New Roman"/>
          <w:i/>
          <w:iCs/>
          <w:sz w:val="24"/>
          <w:szCs w:val="24"/>
        </w:rPr>
        <w:t>tert</w:t>
      </w:r>
      <w:r w:rsidRPr="005D050B">
        <w:rPr>
          <w:rFonts w:ascii="Times New Roman" w:hAnsi="Times New Roman" w:cs="Times New Roman"/>
          <w:sz w:val="24"/>
          <w:szCs w:val="24"/>
        </w:rPr>
        <w:t xml:space="preserve">-butyldimethylsilyl (TBDMS) </w:t>
      </w:r>
      <w:r>
        <w:rPr>
          <w:rFonts w:ascii="Times New Roman" w:hAnsi="Times New Roman" w:cs="Times New Roman"/>
          <w:sz w:val="24"/>
          <w:szCs w:val="24"/>
        </w:rPr>
        <w:t>derivatisation</w:t>
      </w:r>
      <w:r w:rsidRPr="005D050B">
        <w:rPr>
          <w:rFonts w:ascii="Times New Roman" w:hAnsi="Times New Roman" w:cs="Times New Roman"/>
          <w:sz w:val="24"/>
          <w:szCs w:val="24"/>
        </w:rPr>
        <w:t xml:space="preserve">. TMS </w:t>
      </w:r>
      <w:r>
        <w:rPr>
          <w:rFonts w:ascii="Times New Roman" w:hAnsi="Times New Roman" w:cs="Times New Roman"/>
          <w:sz w:val="24"/>
          <w:szCs w:val="24"/>
        </w:rPr>
        <w:t>derivatisation</w:t>
      </w:r>
      <w:r w:rsidRPr="005D050B">
        <w:rPr>
          <w:rFonts w:ascii="Times New Roman" w:hAnsi="Times New Roman" w:cs="Times New Roman"/>
          <w:sz w:val="24"/>
          <w:szCs w:val="24"/>
        </w:rPr>
        <w:t xml:space="preserve"> achieved </w:t>
      </w:r>
      <w:r>
        <w:rPr>
          <w:rFonts w:ascii="Times New Roman" w:hAnsi="Times New Roman" w:cs="Times New Roman"/>
          <w:sz w:val="24"/>
          <w:szCs w:val="24"/>
        </w:rPr>
        <w:t xml:space="preserve">a </w:t>
      </w:r>
      <w:r w:rsidRPr="005D050B">
        <w:rPr>
          <w:rFonts w:ascii="Times New Roman" w:hAnsi="Times New Roman" w:cs="Times New Roman"/>
          <w:sz w:val="24"/>
          <w:szCs w:val="24"/>
        </w:rPr>
        <w:t>higher signal-to-noise ratio and baseline separation of leucic acid (leuc; 10.30 min) from an uncharacteri</w:t>
      </w:r>
      <w:r>
        <w:rPr>
          <w:rFonts w:ascii="Times New Roman" w:hAnsi="Times New Roman" w:cs="Times New Roman"/>
          <w:sz w:val="24"/>
          <w:szCs w:val="24"/>
        </w:rPr>
        <w:t>s</w:t>
      </w:r>
      <w:r w:rsidRPr="005D050B">
        <w:rPr>
          <w:rFonts w:ascii="Times New Roman" w:hAnsi="Times New Roman" w:cs="Times New Roman"/>
          <w:sz w:val="24"/>
          <w:szCs w:val="24"/>
        </w:rPr>
        <w:t>ed structural isomer (</w:t>
      </w:r>
      <w:bookmarkStart w:id="9" w:name="OLE_LINK12"/>
      <w:r w:rsidRPr="005D050B">
        <w:rPr>
          <w:rFonts w:ascii="Times New Roman" w:hAnsi="Times New Roman" w:cs="Times New Roman"/>
          <w:sz w:val="24"/>
          <w:szCs w:val="24"/>
        </w:rPr>
        <w:t xml:space="preserve">Leuc*; </w:t>
      </w:r>
      <w:bookmarkEnd w:id="9"/>
      <w:r w:rsidRPr="005D050B">
        <w:rPr>
          <w:rFonts w:ascii="Times New Roman" w:hAnsi="Times New Roman" w:cs="Times New Roman"/>
          <w:sz w:val="24"/>
          <w:szCs w:val="24"/>
        </w:rPr>
        <w:t>10.35 min)</w:t>
      </w:r>
      <w:r w:rsidRPr="005D050B">
        <w:rPr>
          <w:rFonts w:ascii="Times New Roman" w:hAnsi="Times New Roman" w:cs="Times New Roman" w:hint="eastAsia"/>
          <w:sz w:val="24"/>
          <w:szCs w:val="24"/>
        </w:rPr>
        <w:t xml:space="preserve"> not observed in the leucic </w:t>
      </w:r>
      <w:r w:rsidRPr="005D050B">
        <w:rPr>
          <w:rFonts w:ascii="Times New Roman" w:hAnsi="Times New Roman" w:cs="Times New Roman" w:hint="eastAsia"/>
          <w:sz w:val="24"/>
          <w:szCs w:val="24"/>
        </w:rPr>
        <w:lastRenderedPageBreak/>
        <w:t>acid standard. In contrast</w:t>
      </w:r>
      <w:r w:rsidRPr="005D050B">
        <w:rPr>
          <w:rFonts w:ascii="Times New Roman" w:hAnsi="Times New Roman" w:cs="Times New Roman"/>
          <w:sz w:val="24"/>
          <w:szCs w:val="24"/>
        </w:rPr>
        <w:t xml:space="preserve">, TBDMS </w:t>
      </w:r>
      <w:r>
        <w:rPr>
          <w:rFonts w:ascii="Times New Roman" w:hAnsi="Times New Roman" w:cs="Times New Roman"/>
          <w:sz w:val="24"/>
          <w:szCs w:val="24"/>
        </w:rPr>
        <w:t>derivatisation</w:t>
      </w:r>
      <w:r w:rsidRPr="005D050B">
        <w:rPr>
          <w:rFonts w:ascii="Times New Roman" w:hAnsi="Times New Roman" w:cs="Times New Roman" w:hint="eastAsia"/>
          <w:sz w:val="24"/>
          <w:szCs w:val="24"/>
        </w:rPr>
        <w:t xml:space="preserve"> </w:t>
      </w:r>
      <w:r w:rsidRPr="005D050B">
        <w:rPr>
          <w:rFonts w:ascii="Times New Roman" w:hAnsi="Times New Roman" w:cs="Times New Roman"/>
          <w:sz w:val="24"/>
          <w:szCs w:val="24"/>
        </w:rPr>
        <w:t xml:space="preserve">resulted in co-elution of </w:t>
      </w:r>
      <w:r w:rsidRPr="005D050B">
        <w:rPr>
          <w:rFonts w:ascii="Times New Roman" w:hAnsi="Times New Roman" w:cs="Times New Roman" w:hint="eastAsia"/>
          <w:sz w:val="24"/>
          <w:szCs w:val="24"/>
        </w:rPr>
        <w:t>leuc and leuc*</w:t>
      </w:r>
      <w:r w:rsidRPr="005D050B">
        <w:rPr>
          <w:rFonts w:ascii="Times New Roman" w:hAnsi="Times New Roman" w:cs="Times New Roman"/>
          <w:sz w:val="24"/>
          <w:szCs w:val="24"/>
        </w:rPr>
        <w:t xml:space="preserve"> (17.45 min). 2H3MP: 2-hydroxy-3-methylpentanoate.</w:t>
      </w:r>
    </w:p>
    <w:bookmarkEnd w:id="8"/>
    <w:p w14:paraId="3B192831" w14:textId="77777777" w:rsidR="00650B57" w:rsidRDefault="00650B57" w:rsidP="00650B57">
      <w:pPr>
        <w:adjustRightInd w:val="0"/>
        <w:snapToGrid w:val="0"/>
        <w:spacing w:line="480" w:lineRule="auto"/>
        <w:rPr>
          <w:rFonts w:ascii="Times New Roman" w:hAnsi="Times New Roman" w:cs="Times New Roman"/>
          <w:sz w:val="24"/>
          <w:szCs w:val="24"/>
        </w:rPr>
      </w:pPr>
      <w:r w:rsidRPr="00554B7B">
        <w:rPr>
          <w:rFonts w:ascii="Times New Roman" w:hAnsi="Times New Roman" w:cs="Times New Roman"/>
          <w:b/>
          <w:sz w:val="24"/>
          <w:szCs w:val="24"/>
        </w:rPr>
        <w:t>b,</w:t>
      </w:r>
      <w:r w:rsidRPr="005D050B">
        <w:rPr>
          <w:rFonts w:ascii="Times New Roman" w:hAnsi="Times New Roman" w:cs="Times New Roman"/>
          <w:sz w:val="24"/>
          <w:szCs w:val="24"/>
        </w:rPr>
        <w:t xml:space="preserve"> Validation of leucic acid abundance in WT and </w:t>
      </w:r>
      <w:r w:rsidRPr="005D050B">
        <w:rPr>
          <w:rFonts w:ascii="Times New Roman" w:hAnsi="Times New Roman" w:cs="Times New Roman"/>
          <w:i/>
          <w:sz w:val="24"/>
          <w:szCs w:val="24"/>
        </w:rPr>
        <w:t>Aida</w:t>
      </w:r>
      <w:r w:rsidRPr="005D050B">
        <w:rPr>
          <w:rFonts w:ascii="Times New Roman" w:hAnsi="Times New Roman" w:cs="Times New Roman"/>
          <w:sz w:val="24"/>
          <w:szCs w:val="24"/>
          <w:vertAlign w:val="superscript"/>
        </w:rPr>
        <w:t>-/-</w:t>
      </w:r>
      <w:r w:rsidRPr="005D050B">
        <w:rPr>
          <w:rFonts w:ascii="Times New Roman" w:hAnsi="Times New Roman" w:cs="Times New Roman"/>
          <w:sz w:val="24"/>
          <w:szCs w:val="24"/>
        </w:rPr>
        <w:t xml:space="preserve"> mice. Cecal contents from HFD-fed mice were </w:t>
      </w:r>
      <w:r>
        <w:rPr>
          <w:rFonts w:ascii="Times New Roman" w:hAnsi="Times New Roman" w:cs="Times New Roman"/>
          <w:sz w:val="24"/>
          <w:szCs w:val="24"/>
        </w:rPr>
        <w:t>analysed</w:t>
      </w:r>
      <w:r w:rsidRPr="005D050B">
        <w:rPr>
          <w:rFonts w:ascii="Times New Roman" w:hAnsi="Times New Roman" w:cs="Times New Roman"/>
          <w:sz w:val="24"/>
          <w:szCs w:val="24"/>
        </w:rPr>
        <w:t xml:space="preserve"> by TMS-GC-MS. Leucic acid was identified via retention time alignment with </w:t>
      </w:r>
      <w:r>
        <w:rPr>
          <w:rFonts w:ascii="Times New Roman" w:hAnsi="Times New Roman" w:cs="Times New Roman"/>
          <w:sz w:val="24"/>
          <w:szCs w:val="24"/>
        </w:rPr>
        <w:t xml:space="preserve">a </w:t>
      </w:r>
      <w:r w:rsidRPr="005D050B">
        <w:rPr>
          <w:rFonts w:ascii="Times New Roman" w:hAnsi="Times New Roman" w:cs="Times New Roman"/>
          <w:sz w:val="24"/>
          <w:szCs w:val="24"/>
        </w:rPr>
        <w:t xml:space="preserve">pure standard and diagnostic fragmentation. Upper, mass spectrum and fragmentation pattern of leucic acid standard. Characteristic ions (m/z 73, 103, 147 and 159) confirm identity. Lower, Selected Ion Monitoring (SIM) chromatograms for quantification of leucic acid (retention time: 10.3 min). Relative abundance was calculated from integrated peak areas. </w:t>
      </w:r>
    </w:p>
    <w:p w14:paraId="4F27ACAD" w14:textId="77777777" w:rsidR="00650B57" w:rsidRPr="00291583" w:rsidRDefault="00650B57" w:rsidP="00650B57">
      <w:pPr>
        <w:adjustRightInd w:val="0"/>
        <w:snapToGrid w:val="0"/>
        <w:spacing w:line="480" w:lineRule="auto"/>
        <w:rPr>
          <w:rFonts w:ascii="Times New Roman" w:hAnsi="Times New Roman" w:cs="Times New Roman"/>
          <w:sz w:val="24"/>
          <w:szCs w:val="24"/>
        </w:rPr>
      </w:pPr>
      <w:r w:rsidRPr="00291583">
        <w:rPr>
          <w:rFonts w:ascii="Times New Roman" w:hAnsi="Times New Roman" w:cs="Times New Roman"/>
          <w:b/>
          <w:sz w:val="24"/>
          <w:szCs w:val="24"/>
        </w:rPr>
        <w:t>c-f,</w:t>
      </w:r>
      <w:r w:rsidRPr="00291583">
        <w:rPr>
          <w:rFonts w:ascii="Times New Roman" w:hAnsi="Times New Roman" w:cs="Times New Roman"/>
          <w:sz w:val="24"/>
          <w:szCs w:val="24"/>
        </w:rPr>
        <w:t xml:space="preserve"> Hydroxylated short-chain fatty acids (SCFAs) in cecal contents of WT and </w:t>
      </w:r>
      <w:r w:rsidRPr="00291583">
        <w:rPr>
          <w:rFonts w:ascii="Times New Roman" w:hAnsi="Times New Roman" w:cs="Times New Roman"/>
          <w:i/>
          <w:iCs/>
          <w:sz w:val="24"/>
          <w:szCs w:val="24"/>
        </w:rPr>
        <w:t>Aida</w:t>
      </w:r>
      <w:r w:rsidRPr="00291583">
        <w:rPr>
          <w:rFonts w:ascii="Times New Roman" w:hAnsi="Times New Roman" w:cs="Times New Roman"/>
          <w:i/>
          <w:iCs/>
          <w:sz w:val="24"/>
          <w:szCs w:val="24"/>
          <w:vertAlign w:val="superscript"/>
        </w:rPr>
        <w:t>-/-</w:t>
      </w:r>
      <w:r w:rsidRPr="00291583">
        <w:rPr>
          <w:rFonts w:ascii="Times New Roman" w:hAnsi="Times New Roman" w:cs="Times New Roman"/>
          <w:sz w:val="24"/>
          <w:szCs w:val="24"/>
        </w:rPr>
        <w:t xml:space="preserve"> mice fed HFD. Leucic acid (</w:t>
      </w:r>
      <w:r>
        <w:rPr>
          <w:rFonts w:ascii="Times New Roman" w:hAnsi="Times New Roman" w:cs="Times New Roman"/>
          <w:b/>
          <w:sz w:val="24"/>
          <w:szCs w:val="24"/>
        </w:rPr>
        <w:t>c</w:t>
      </w:r>
      <w:r w:rsidRPr="00291583">
        <w:rPr>
          <w:rFonts w:ascii="Times New Roman" w:hAnsi="Times New Roman" w:cs="Times New Roman"/>
          <w:sz w:val="24"/>
          <w:szCs w:val="24"/>
        </w:rPr>
        <w:t>), 2-hydroxybutyrate (</w:t>
      </w:r>
      <w:r>
        <w:rPr>
          <w:rFonts w:ascii="Times New Roman" w:hAnsi="Times New Roman" w:cs="Times New Roman"/>
          <w:b/>
          <w:sz w:val="24"/>
          <w:szCs w:val="24"/>
        </w:rPr>
        <w:t>d</w:t>
      </w:r>
      <w:r w:rsidRPr="00291583">
        <w:rPr>
          <w:rFonts w:ascii="Times New Roman" w:hAnsi="Times New Roman" w:cs="Times New Roman"/>
          <w:sz w:val="24"/>
          <w:szCs w:val="24"/>
        </w:rPr>
        <w:t>), 3-hydroxybutyrate (</w:t>
      </w:r>
      <w:r>
        <w:rPr>
          <w:rFonts w:ascii="Times New Roman" w:hAnsi="Times New Roman" w:cs="Times New Roman"/>
          <w:b/>
          <w:sz w:val="24"/>
          <w:szCs w:val="24"/>
        </w:rPr>
        <w:t>e</w:t>
      </w:r>
      <w:r w:rsidRPr="00291583">
        <w:rPr>
          <w:rFonts w:ascii="Times New Roman" w:hAnsi="Times New Roman" w:cs="Times New Roman"/>
          <w:sz w:val="24"/>
          <w:szCs w:val="24"/>
        </w:rPr>
        <w:t>) and 2-hydroxy-3-methylbutyrate (</w:t>
      </w:r>
      <w:r>
        <w:rPr>
          <w:rFonts w:ascii="Times New Roman" w:hAnsi="Times New Roman" w:cs="Times New Roman"/>
          <w:b/>
          <w:sz w:val="24"/>
          <w:szCs w:val="24"/>
        </w:rPr>
        <w:t>f</w:t>
      </w:r>
      <w:r w:rsidRPr="00291583">
        <w:rPr>
          <w:rFonts w:ascii="Times New Roman" w:hAnsi="Times New Roman" w:cs="Times New Roman"/>
          <w:sz w:val="24"/>
          <w:szCs w:val="24"/>
        </w:rPr>
        <w:t>) levels. Data represent individual mice (</w:t>
      </w:r>
      <w:r w:rsidRPr="00291583">
        <w:rPr>
          <w:rFonts w:ascii="Times New Roman" w:hAnsi="Times New Roman" w:cs="Times New Roman"/>
          <w:i/>
          <w:iCs/>
          <w:sz w:val="24"/>
          <w:szCs w:val="24"/>
        </w:rPr>
        <w:t>n</w:t>
      </w:r>
      <w:r w:rsidRPr="00291583">
        <w:rPr>
          <w:rFonts w:ascii="Times New Roman" w:hAnsi="Times New Roman" w:cs="Times New Roman"/>
          <w:sz w:val="24"/>
          <w:szCs w:val="24"/>
        </w:rPr>
        <w:t xml:space="preserve"> = 8-9 mice per group) with mean ± 95% CI. Two-tailed unpaired Student’s </w:t>
      </w:r>
      <w:r w:rsidRPr="00291583">
        <w:rPr>
          <w:rFonts w:ascii="Times New Roman" w:hAnsi="Times New Roman" w:cs="Times New Roman"/>
          <w:i/>
          <w:iCs/>
          <w:sz w:val="24"/>
          <w:szCs w:val="24"/>
        </w:rPr>
        <w:t>t</w:t>
      </w:r>
      <w:r w:rsidRPr="00291583">
        <w:rPr>
          <w:rFonts w:ascii="Times New Roman" w:hAnsi="Times New Roman" w:cs="Times New Roman"/>
          <w:sz w:val="24"/>
          <w:szCs w:val="24"/>
        </w:rPr>
        <w:t xml:space="preserve">-test with Welch’s correction. </w:t>
      </w:r>
    </w:p>
    <w:p w14:paraId="401850A0"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291583">
        <w:rPr>
          <w:rFonts w:ascii="Times New Roman" w:hAnsi="Times New Roman" w:cs="Times New Roman"/>
          <w:b/>
          <w:sz w:val="24"/>
          <w:szCs w:val="24"/>
        </w:rPr>
        <w:t>g-m,</w:t>
      </w:r>
      <w:r w:rsidRPr="005D050B">
        <w:rPr>
          <w:rFonts w:ascii="Times New Roman" w:hAnsi="Times New Roman" w:cs="Times New Roman"/>
          <w:sz w:val="24"/>
          <w:szCs w:val="24"/>
        </w:rPr>
        <w:t xml:space="preserve"> L-leucine and Non-hydroxylated SCFAs in cecal contents of WT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mice. L-leucine (</w:t>
      </w:r>
      <w:r>
        <w:rPr>
          <w:rFonts w:ascii="Times New Roman" w:hAnsi="Times New Roman" w:cs="Times New Roman"/>
          <w:b/>
          <w:sz w:val="24"/>
          <w:szCs w:val="24"/>
        </w:rPr>
        <w:t>g</w:t>
      </w:r>
      <w:r w:rsidRPr="005D050B">
        <w:rPr>
          <w:rFonts w:ascii="Times New Roman" w:hAnsi="Times New Roman" w:cs="Times New Roman"/>
          <w:sz w:val="24"/>
          <w:szCs w:val="24"/>
        </w:rPr>
        <w:t>), propionic (</w:t>
      </w:r>
      <w:r>
        <w:rPr>
          <w:rFonts w:ascii="Times New Roman" w:hAnsi="Times New Roman" w:cs="Times New Roman"/>
          <w:b/>
          <w:sz w:val="24"/>
          <w:szCs w:val="24"/>
        </w:rPr>
        <w:t>h</w:t>
      </w:r>
      <w:r w:rsidRPr="005D050B">
        <w:rPr>
          <w:rFonts w:ascii="Times New Roman" w:hAnsi="Times New Roman" w:cs="Times New Roman"/>
          <w:sz w:val="24"/>
          <w:szCs w:val="24"/>
        </w:rPr>
        <w:t>), butyric acid (</w:t>
      </w:r>
      <w:r>
        <w:rPr>
          <w:rFonts w:ascii="Times New Roman" w:hAnsi="Times New Roman" w:cs="Times New Roman"/>
          <w:b/>
          <w:sz w:val="24"/>
          <w:szCs w:val="24"/>
        </w:rPr>
        <w:t>i</w:t>
      </w:r>
      <w:r w:rsidRPr="005D050B">
        <w:rPr>
          <w:rFonts w:ascii="Times New Roman" w:hAnsi="Times New Roman" w:cs="Times New Roman"/>
          <w:sz w:val="24"/>
          <w:szCs w:val="24"/>
        </w:rPr>
        <w:t>), pentanoic acid (</w:t>
      </w:r>
      <w:r>
        <w:rPr>
          <w:rFonts w:ascii="Times New Roman" w:hAnsi="Times New Roman" w:cs="Times New Roman"/>
          <w:b/>
          <w:sz w:val="24"/>
          <w:szCs w:val="24"/>
        </w:rPr>
        <w:t>j</w:t>
      </w:r>
      <w:r w:rsidRPr="005D050B">
        <w:rPr>
          <w:rFonts w:ascii="Times New Roman" w:hAnsi="Times New Roman" w:cs="Times New Roman"/>
          <w:sz w:val="24"/>
          <w:szCs w:val="24"/>
        </w:rPr>
        <w:t>), isobutyric acid (</w:t>
      </w:r>
      <w:r>
        <w:rPr>
          <w:rFonts w:ascii="Times New Roman" w:hAnsi="Times New Roman" w:cs="Times New Roman"/>
          <w:b/>
          <w:sz w:val="24"/>
          <w:szCs w:val="24"/>
        </w:rPr>
        <w:t>k</w:t>
      </w:r>
      <w:r w:rsidRPr="005D050B">
        <w:rPr>
          <w:rFonts w:ascii="Times New Roman" w:hAnsi="Times New Roman" w:cs="Times New Roman"/>
          <w:sz w:val="24"/>
          <w:szCs w:val="24"/>
        </w:rPr>
        <w:t>), 2-methylbutanoic acid (</w:t>
      </w:r>
      <w:r>
        <w:rPr>
          <w:rFonts w:ascii="Times New Roman" w:hAnsi="Times New Roman" w:cs="Times New Roman"/>
          <w:b/>
          <w:sz w:val="24"/>
          <w:szCs w:val="24"/>
        </w:rPr>
        <w:t>l</w:t>
      </w:r>
      <w:r w:rsidRPr="005D050B">
        <w:rPr>
          <w:rFonts w:ascii="Times New Roman" w:hAnsi="Times New Roman" w:cs="Times New Roman"/>
          <w:sz w:val="24"/>
          <w:szCs w:val="24"/>
        </w:rPr>
        <w:t>), and isovaleric acid (</w:t>
      </w:r>
      <w:r>
        <w:rPr>
          <w:rFonts w:ascii="Times New Roman" w:hAnsi="Times New Roman" w:cs="Times New Roman"/>
          <w:b/>
          <w:sz w:val="24"/>
          <w:szCs w:val="24"/>
        </w:rPr>
        <w:t>m</w:t>
      </w:r>
      <w:r w:rsidRPr="005D050B">
        <w:rPr>
          <w:rFonts w:ascii="Times New Roman" w:hAnsi="Times New Roman" w:cs="Times New Roman"/>
          <w:sz w:val="24"/>
          <w:szCs w:val="24"/>
        </w:rPr>
        <w:t>) levels. Data are individual values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mice per group) with median ± 95% CI. Two-tailed unpaired Student’s </w:t>
      </w:r>
      <w:r w:rsidRPr="005D050B">
        <w:rPr>
          <w:rFonts w:ascii="Times New Roman" w:hAnsi="Times New Roman" w:cs="Times New Roman"/>
          <w:i/>
          <w:iCs/>
          <w:sz w:val="24"/>
          <w:szCs w:val="24"/>
        </w:rPr>
        <w:t>t</w:t>
      </w:r>
      <w:r w:rsidRPr="005D050B">
        <w:rPr>
          <w:rFonts w:ascii="Times New Roman" w:hAnsi="Times New Roman" w:cs="Times New Roman"/>
          <w:sz w:val="24"/>
          <w:szCs w:val="24"/>
        </w:rPr>
        <w:t>-test.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p>
    <w:p w14:paraId="7FD9D38D" w14:textId="77777777" w:rsidR="00650B57" w:rsidRPr="005D050B" w:rsidRDefault="00650B57" w:rsidP="00650B57">
      <w:pPr>
        <w:adjustRightInd w:val="0"/>
        <w:snapToGrid w:val="0"/>
        <w:spacing w:line="480" w:lineRule="auto"/>
        <w:rPr>
          <w:rFonts w:ascii="Times New Roman" w:hAnsi="Times New Roman" w:cs="Times New Roman"/>
          <w:b/>
          <w:sz w:val="24"/>
          <w:szCs w:val="24"/>
        </w:rPr>
      </w:pPr>
    </w:p>
    <w:bookmarkEnd w:id="7"/>
    <w:p w14:paraId="6295C8B9" w14:textId="77777777" w:rsidR="00650B57" w:rsidRPr="005D050B" w:rsidRDefault="00650B57" w:rsidP="00650B57">
      <w:pPr>
        <w:widowControl/>
        <w:adjustRightInd w:val="0"/>
        <w:snapToGrid w:val="0"/>
        <w:spacing w:line="480" w:lineRule="auto"/>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27424ED4" w14:textId="77777777" w:rsidR="00650B57" w:rsidRPr="005D050B" w:rsidRDefault="00650B57" w:rsidP="00650B57">
      <w:pPr>
        <w:widowControl/>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34895C9" wp14:editId="13827701">
            <wp:extent cx="5540198" cy="6143625"/>
            <wp:effectExtent l="0" t="0" r="0" b="0"/>
            <wp:docPr id="4" name="图片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 screenshot of a computer&#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47187" cy="6151375"/>
                    </a:xfrm>
                    <a:prstGeom prst="rect">
                      <a:avLst/>
                    </a:prstGeom>
                    <a:noFill/>
                  </pic:spPr>
                </pic:pic>
              </a:graphicData>
            </a:graphic>
          </wp:inline>
        </w:drawing>
      </w:r>
    </w:p>
    <w:p w14:paraId="35D6EAE4"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b/>
          <w:bCs/>
          <w:sz w:val="24"/>
          <w:szCs w:val="24"/>
        </w:rPr>
        <w:t>4</w:t>
      </w:r>
      <w:r>
        <w:rPr>
          <w:rFonts w:ascii="Times New Roman" w:hAnsi="Times New Roman" w:cs="Times New Roman"/>
          <w:b/>
          <w:bCs/>
          <w:sz w:val="24"/>
          <w:szCs w:val="24"/>
        </w:rPr>
        <w:t>:</w:t>
      </w:r>
      <w:r w:rsidRPr="005D050B">
        <w:rPr>
          <w:rFonts w:ascii="Times New Roman" w:hAnsi="Times New Roman" w:cs="Times New Roman"/>
          <w:b/>
          <w:bCs/>
          <w:sz w:val="24"/>
          <w:szCs w:val="24"/>
        </w:rPr>
        <w:t xml:space="preserve"> </w:t>
      </w:r>
      <w:r w:rsidRPr="006905A5">
        <w:rPr>
          <w:rFonts w:ascii="Times New Roman" w:hAnsi="Times New Roman" w:cs="Times New Roman"/>
          <w:b/>
          <w:bCs/>
          <w:sz w:val="24"/>
          <w:szCs w:val="24"/>
        </w:rPr>
        <w:t>Assessment of safety parameters and related metabolic measures in leucic acid-treated mice</w:t>
      </w:r>
      <w:r>
        <w:rPr>
          <w:rFonts w:ascii="Times New Roman" w:hAnsi="Times New Roman" w:cs="Times New Roman"/>
          <w:b/>
          <w:bCs/>
          <w:sz w:val="24"/>
          <w:szCs w:val="24"/>
        </w:rPr>
        <w:t>.</w:t>
      </w:r>
    </w:p>
    <w:p w14:paraId="10FDF86F"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D63647">
        <w:rPr>
          <w:rFonts w:ascii="Times New Roman" w:hAnsi="Times New Roman" w:cs="Times New Roman"/>
          <w:b/>
          <w:sz w:val="24"/>
          <w:szCs w:val="24"/>
        </w:rPr>
        <w:t>a,</w:t>
      </w:r>
      <w:r w:rsidRPr="005D050B">
        <w:rPr>
          <w:rFonts w:ascii="Times New Roman" w:hAnsi="Times New Roman" w:cs="Times New Roman"/>
          <w:sz w:val="24"/>
          <w:szCs w:val="24"/>
        </w:rPr>
        <w:t xml:space="preserve"> Body weight trajectories of HFD-fed WT and </w:t>
      </w:r>
      <w:r w:rsidRPr="005D050B">
        <w:rPr>
          <w:rFonts w:ascii="Times New Roman" w:hAnsi="Times New Roman" w:cs="Times New Roman"/>
          <w:i/>
          <w:sz w:val="24"/>
          <w:szCs w:val="24"/>
        </w:rPr>
        <w:t>Aida</w:t>
      </w:r>
      <w:r w:rsidRPr="005D050B">
        <w:rPr>
          <w:rFonts w:ascii="Times New Roman" w:hAnsi="Times New Roman" w:cs="Times New Roman"/>
          <w:i/>
          <w:sz w:val="24"/>
          <w:szCs w:val="24"/>
          <w:vertAlign w:val="superscript"/>
        </w:rPr>
        <w:t>-/-</w:t>
      </w:r>
      <w:r w:rsidRPr="005D050B">
        <w:rPr>
          <w:rFonts w:ascii="Times New Roman" w:hAnsi="Times New Roman" w:cs="Times New Roman"/>
          <w:sz w:val="24"/>
          <w:szCs w:val="24"/>
        </w:rPr>
        <w:t xml:space="preserve"> mice administered 50 mM leucic acid or acidified distilled water (ADW, pH-matched control) in drinking water. Slopes were </w:t>
      </w:r>
      <w:r>
        <w:rPr>
          <w:rFonts w:ascii="Times New Roman" w:hAnsi="Times New Roman" w:cs="Times New Roman"/>
          <w:sz w:val="24"/>
          <w:szCs w:val="24"/>
        </w:rPr>
        <w:t>analysed</w:t>
      </w:r>
      <w:r w:rsidRPr="005D050B">
        <w:rPr>
          <w:rFonts w:ascii="Times New Roman" w:hAnsi="Times New Roman" w:cs="Times New Roman"/>
          <w:sz w:val="24"/>
          <w:szCs w:val="24"/>
        </w:rPr>
        <w:t xml:space="preserve"> by simple linear regression analysis. Data are mean ± SEM,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mice per group.</w:t>
      </w:r>
    </w:p>
    <w:p w14:paraId="7A30785D"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hint="eastAsia"/>
          <w:b/>
          <w:sz w:val="24"/>
          <w:szCs w:val="24"/>
        </w:rPr>
        <w:t>b</w:t>
      </w:r>
      <w:r w:rsidRPr="00D63647">
        <w:rPr>
          <w:rFonts w:ascii="Times New Roman" w:hAnsi="Times New Roman" w:cs="Times New Roman"/>
          <w:b/>
          <w:sz w:val="24"/>
          <w:szCs w:val="24"/>
        </w:rPr>
        <w:t>-</w:t>
      </w:r>
      <w:r>
        <w:rPr>
          <w:rFonts w:ascii="Times New Roman" w:hAnsi="Times New Roman" w:cs="Times New Roman"/>
          <w:b/>
          <w:sz w:val="24"/>
          <w:szCs w:val="24"/>
        </w:rPr>
        <w:t>e</w:t>
      </w:r>
      <w:r w:rsidRPr="00D63647">
        <w:rPr>
          <w:rFonts w:ascii="Times New Roman" w:hAnsi="Times New Roman" w:cs="Times New Roman"/>
          <w:b/>
          <w:sz w:val="24"/>
          <w:szCs w:val="24"/>
        </w:rPr>
        <w:t>,</w:t>
      </w:r>
      <w:r w:rsidRPr="005D050B">
        <w:rPr>
          <w:rFonts w:ascii="Times New Roman" w:hAnsi="Times New Roman" w:cs="Times New Roman"/>
          <w:sz w:val="24"/>
          <w:szCs w:val="24"/>
        </w:rPr>
        <w:t xml:space="preserve"> Adipocyte morphology in iWAT (</w:t>
      </w:r>
      <w:r>
        <w:rPr>
          <w:rFonts w:ascii="Times New Roman" w:hAnsi="Times New Roman" w:cs="Times New Roman"/>
          <w:b/>
          <w:sz w:val="24"/>
          <w:szCs w:val="24"/>
        </w:rPr>
        <w:t>b</w:t>
      </w:r>
      <w:r w:rsidRPr="005D050B">
        <w:rPr>
          <w:rFonts w:ascii="Times New Roman" w:hAnsi="Times New Roman" w:cs="Times New Roman"/>
          <w:b/>
          <w:sz w:val="24"/>
          <w:szCs w:val="24"/>
        </w:rPr>
        <w:t xml:space="preserve">, </w:t>
      </w:r>
      <w:r>
        <w:rPr>
          <w:rFonts w:ascii="Times New Roman" w:hAnsi="Times New Roman" w:cs="Times New Roman"/>
          <w:b/>
          <w:sz w:val="24"/>
          <w:szCs w:val="24"/>
        </w:rPr>
        <w:t>c</w:t>
      </w:r>
      <w:r w:rsidRPr="005D050B">
        <w:rPr>
          <w:rFonts w:ascii="Times New Roman" w:hAnsi="Times New Roman" w:cs="Times New Roman"/>
          <w:sz w:val="24"/>
          <w:szCs w:val="24"/>
        </w:rPr>
        <w:t>) and gWAT (</w:t>
      </w:r>
      <w:r>
        <w:rPr>
          <w:rFonts w:ascii="Times New Roman" w:hAnsi="Times New Roman" w:cs="Times New Roman"/>
          <w:b/>
          <w:sz w:val="24"/>
          <w:szCs w:val="24"/>
        </w:rPr>
        <w:t>d</w:t>
      </w:r>
      <w:r w:rsidRPr="005D050B">
        <w:rPr>
          <w:rFonts w:ascii="Times New Roman" w:hAnsi="Times New Roman" w:cs="Times New Roman"/>
          <w:b/>
          <w:sz w:val="24"/>
          <w:szCs w:val="24"/>
        </w:rPr>
        <w:t xml:space="preserve">, </w:t>
      </w:r>
      <w:r>
        <w:rPr>
          <w:rFonts w:ascii="Times New Roman" w:hAnsi="Times New Roman" w:cs="Times New Roman"/>
          <w:b/>
          <w:sz w:val="24"/>
          <w:szCs w:val="24"/>
        </w:rPr>
        <w:t>e</w:t>
      </w:r>
      <w:r w:rsidRPr="005D050B">
        <w:rPr>
          <w:rFonts w:ascii="Times New Roman" w:hAnsi="Times New Roman" w:cs="Times New Roman"/>
          <w:sz w:val="24"/>
          <w:szCs w:val="24"/>
        </w:rPr>
        <w:t xml:space="preserve">). </w:t>
      </w:r>
      <w:r>
        <w:rPr>
          <w:rFonts w:ascii="Times New Roman" w:hAnsi="Times New Roman" w:cs="Times New Roman"/>
          <w:b/>
          <w:sz w:val="24"/>
          <w:szCs w:val="24"/>
        </w:rPr>
        <w:t>b</w:t>
      </w:r>
      <w:r w:rsidRPr="005D050B">
        <w:rPr>
          <w:rFonts w:ascii="Times New Roman" w:hAnsi="Times New Roman" w:cs="Times New Roman"/>
          <w:b/>
          <w:sz w:val="24"/>
          <w:szCs w:val="24"/>
        </w:rPr>
        <w:t>,</w:t>
      </w:r>
      <w:r>
        <w:rPr>
          <w:rFonts w:ascii="Times New Roman" w:hAnsi="Times New Roman" w:cs="Times New Roman"/>
          <w:b/>
          <w:sz w:val="24"/>
          <w:szCs w:val="24"/>
        </w:rPr>
        <w:t>d</w:t>
      </w:r>
      <w:r>
        <w:rPr>
          <w:rFonts w:ascii="Times New Roman" w:hAnsi="Times New Roman" w:cs="Times New Roman" w:hint="eastAsia"/>
          <w:b/>
          <w:sz w:val="24"/>
          <w:szCs w:val="24"/>
        </w:rPr>
        <w:t>,</w:t>
      </w:r>
      <w:r w:rsidRPr="005D050B">
        <w:rPr>
          <w:rFonts w:ascii="Times New Roman" w:hAnsi="Times New Roman" w:cs="Times New Roman"/>
          <w:sz w:val="24"/>
          <w:szCs w:val="24"/>
        </w:rPr>
        <w:t xml:space="preserve"> Representative </w:t>
      </w:r>
      <w:r w:rsidRPr="005D050B">
        <w:rPr>
          <w:rFonts w:ascii="Times New Roman" w:hAnsi="Times New Roman" w:cs="Times New Roman"/>
          <w:sz w:val="24"/>
          <w:szCs w:val="24"/>
        </w:rPr>
        <w:lastRenderedPageBreak/>
        <w:t xml:space="preserve">hematoxylin and eosin (H&amp;E)-stained sections. </w:t>
      </w:r>
      <w:r>
        <w:rPr>
          <w:rFonts w:ascii="Times New Roman" w:hAnsi="Times New Roman" w:cs="Times New Roman"/>
          <w:b/>
          <w:sz w:val="24"/>
          <w:szCs w:val="24"/>
        </w:rPr>
        <w:t>c</w:t>
      </w:r>
      <w:r w:rsidRPr="005D050B">
        <w:rPr>
          <w:rFonts w:ascii="Times New Roman" w:hAnsi="Times New Roman" w:cs="Times New Roman"/>
          <w:b/>
          <w:sz w:val="24"/>
          <w:szCs w:val="24"/>
        </w:rPr>
        <w:t>,</w:t>
      </w:r>
      <w:r>
        <w:rPr>
          <w:rFonts w:ascii="Times New Roman" w:hAnsi="Times New Roman" w:cs="Times New Roman"/>
          <w:b/>
          <w:sz w:val="24"/>
          <w:szCs w:val="24"/>
        </w:rPr>
        <w:t>e</w:t>
      </w:r>
      <w:r>
        <w:rPr>
          <w:rFonts w:ascii="Times New Roman" w:hAnsi="Times New Roman" w:cs="Times New Roman" w:hint="eastAsia"/>
          <w:b/>
          <w:sz w:val="24"/>
          <w:szCs w:val="24"/>
        </w:rPr>
        <w:t>,</w:t>
      </w:r>
      <w:r w:rsidRPr="005D050B">
        <w:rPr>
          <w:rFonts w:ascii="Times New Roman" w:hAnsi="Times New Roman" w:cs="Times New Roman"/>
          <w:sz w:val="24"/>
          <w:szCs w:val="24"/>
        </w:rPr>
        <w:t xml:space="preserve"> Violin plots of adipocyte cross-sectional areas quantified from 3 images per mouse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mice per group). Median (solid line) and quartiles (dashed lines) are shown. Two-tailed unpaired Mann-Whitney test. </w:t>
      </w:r>
    </w:p>
    <w:p w14:paraId="308670E9"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f</w:t>
      </w:r>
      <w:r w:rsidRPr="005D050B">
        <w:rPr>
          <w:rFonts w:ascii="Times New Roman" w:hAnsi="Times New Roman" w:cs="Times New Roman"/>
          <w:b/>
          <w:sz w:val="24"/>
          <w:szCs w:val="24"/>
        </w:rPr>
        <w:t>,</w:t>
      </w:r>
      <w:r>
        <w:rPr>
          <w:rFonts w:ascii="Times New Roman" w:hAnsi="Times New Roman" w:cs="Times New Roman"/>
          <w:b/>
          <w:sz w:val="24"/>
          <w:szCs w:val="24"/>
        </w:rPr>
        <w:t>g</w:t>
      </w:r>
      <w:r w:rsidRPr="005D050B">
        <w:rPr>
          <w:rFonts w:ascii="Times New Roman" w:hAnsi="Times New Roman" w:cs="Times New Roman"/>
          <w:b/>
          <w:sz w:val="24"/>
          <w:szCs w:val="24"/>
        </w:rPr>
        <w:t>,</w:t>
      </w:r>
      <w:r w:rsidRPr="005D050B">
        <w:rPr>
          <w:rFonts w:ascii="Times New Roman" w:hAnsi="Times New Roman" w:cs="Times New Roman"/>
          <w:sz w:val="24"/>
          <w:szCs w:val="24"/>
        </w:rPr>
        <w:t xml:space="preserve"> Quadriceps (</w:t>
      </w:r>
      <w:r>
        <w:rPr>
          <w:rFonts w:ascii="Times New Roman" w:hAnsi="Times New Roman" w:cs="Times New Roman"/>
          <w:b/>
          <w:sz w:val="24"/>
          <w:szCs w:val="24"/>
        </w:rPr>
        <w:t>f</w:t>
      </w:r>
      <w:r w:rsidRPr="005D050B">
        <w:rPr>
          <w:rFonts w:ascii="Times New Roman" w:hAnsi="Times New Roman" w:cs="Times New Roman"/>
          <w:sz w:val="24"/>
          <w:szCs w:val="24"/>
        </w:rPr>
        <w:t>) and soleus (</w:t>
      </w:r>
      <w:r>
        <w:rPr>
          <w:rFonts w:ascii="Times New Roman" w:hAnsi="Times New Roman" w:cs="Times New Roman"/>
          <w:b/>
          <w:sz w:val="24"/>
          <w:szCs w:val="24"/>
        </w:rPr>
        <w:t>g</w:t>
      </w:r>
      <w:r w:rsidRPr="005D050B">
        <w:rPr>
          <w:rFonts w:ascii="Times New Roman" w:hAnsi="Times New Roman" w:cs="Times New Roman"/>
          <w:sz w:val="24"/>
          <w:szCs w:val="24"/>
        </w:rPr>
        <w:t>) muscle mass. Data are individual values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3-5 mice per group) with mean ± 95% CI. One-way ANOVA followed by Tukey’s test.</w:t>
      </w:r>
    </w:p>
    <w:p w14:paraId="30A66E7E" w14:textId="77777777" w:rsidR="00650B57"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h</w:t>
      </w:r>
      <w:r w:rsidRPr="00D63647">
        <w:rPr>
          <w:rFonts w:ascii="Times New Roman" w:hAnsi="Times New Roman" w:cs="Times New Roman"/>
          <w:b/>
          <w:sz w:val="24"/>
          <w:szCs w:val="24"/>
        </w:rPr>
        <w:t>,</w:t>
      </w:r>
      <w:r>
        <w:rPr>
          <w:rFonts w:ascii="Times New Roman" w:hAnsi="Times New Roman" w:cs="Times New Roman"/>
          <w:b/>
          <w:sz w:val="24"/>
          <w:szCs w:val="24"/>
        </w:rPr>
        <w:t>i</w:t>
      </w:r>
      <w:r w:rsidRPr="00D63647">
        <w:rPr>
          <w:rFonts w:ascii="Times New Roman" w:hAnsi="Times New Roman" w:cs="Times New Roman"/>
          <w:b/>
          <w:sz w:val="24"/>
          <w:szCs w:val="24"/>
        </w:rPr>
        <w:t>,</w:t>
      </w:r>
      <w:r w:rsidRPr="005D050B">
        <w:rPr>
          <w:rFonts w:ascii="Times New Roman" w:hAnsi="Times New Roman" w:cs="Times New Roman"/>
          <w:sz w:val="24"/>
          <w:szCs w:val="24"/>
        </w:rPr>
        <w:t xml:space="preserve"> Skeletal muscle histology. </w:t>
      </w:r>
      <w:r>
        <w:rPr>
          <w:rFonts w:ascii="Times New Roman" w:hAnsi="Times New Roman" w:cs="Times New Roman" w:hint="eastAsia"/>
          <w:b/>
          <w:sz w:val="24"/>
          <w:szCs w:val="24"/>
        </w:rPr>
        <w:t>h,</w:t>
      </w:r>
      <w:r w:rsidRPr="005D050B">
        <w:rPr>
          <w:rFonts w:ascii="Times New Roman" w:hAnsi="Times New Roman" w:cs="Times New Roman"/>
          <w:sz w:val="24"/>
          <w:szCs w:val="24"/>
        </w:rPr>
        <w:t xml:space="preserve"> Representative H&amp;E-stained rectus femoris sections. </w:t>
      </w:r>
      <w:r>
        <w:rPr>
          <w:rFonts w:ascii="Times New Roman" w:hAnsi="Times New Roman" w:cs="Times New Roman" w:hint="eastAsia"/>
          <w:b/>
          <w:sz w:val="24"/>
          <w:szCs w:val="24"/>
        </w:rPr>
        <w:t>i,</w:t>
      </w:r>
      <w:r w:rsidRPr="005D050B">
        <w:rPr>
          <w:rFonts w:ascii="Times New Roman" w:hAnsi="Times New Roman" w:cs="Times New Roman"/>
          <w:sz w:val="24"/>
          <w:szCs w:val="24"/>
        </w:rPr>
        <w:t xml:space="preserve"> Myofiber cross-sectional areas were quantified from 5 mice per group. Two-tailed unpaired Mann-Whitney test.</w:t>
      </w:r>
    </w:p>
    <w:p w14:paraId="7BE99510" w14:textId="77777777" w:rsidR="00650B57" w:rsidRPr="00EC1AD3" w:rsidRDefault="00650B57" w:rsidP="00650B57">
      <w:pPr>
        <w:adjustRightInd w:val="0"/>
        <w:snapToGrid w:val="0"/>
        <w:spacing w:line="480" w:lineRule="auto"/>
        <w:rPr>
          <w:rFonts w:ascii="Times New Roman" w:hAnsi="Times New Roman" w:cs="Times New Roman"/>
          <w:b/>
          <w:bCs/>
          <w:sz w:val="24"/>
          <w:szCs w:val="24"/>
        </w:rPr>
      </w:pPr>
      <w:r w:rsidRPr="00EC1AD3">
        <w:rPr>
          <w:rFonts w:ascii="Times New Roman" w:hAnsi="Times New Roman" w:cs="Times New Roman" w:hint="eastAsia"/>
          <w:b/>
          <w:bCs/>
          <w:sz w:val="24"/>
          <w:szCs w:val="24"/>
        </w:rPr>
        <w:t>j-l,</w:t>
      </w:r>
      <w:r>
        <w:rPr>
          <w:rFonts w:ascii="Times New Roman" w:hAnsi="Times New Roman" w:cs="Times New Roman" w:hint="eastAsia"/>
          <w:b/>
          <w:bCs/>
          <w:sz w:val="24"/>
          <w:szCs w:val="24"/>
        </w:rPr>
        <w:t xml:space="preserve"> </w:t>
      </w:r>
      <w:r w:rsidRPr="00C4546F">
        <w:rPr>
          <w:rFonts w:ascii="Times New Roman" w:hAnsi="Times New Roman" w:cs="Times New Roman" w:hint="eastAsia"/>
          <w:sz w:val="24"/>
          <w:szCs w:val="24"/>
        </w:rPr>
        <w:t xml:space="preserve">Functional metabolic assessments of </w:t>
      </w:r>
      <w:r w:rsidRPr="005B4833">
        <w:rPr>
          <w:rFonts w:ascii="Times New Roman" w:hAnsi="Times New Roman" w:cs="Times New Roman" w:hint="eastAsia"/>
          <w:i/>
          <w:iCs/>
          <w:sz w:val="24"/>
          <w:szCs w:val="24"/>
        </w:rPr>
        <w:t>Aida</w:t>
      </w:r>
      <w:r w:rsidRPr="005B4833">
        <w:rPr>
          <w:rFonts w:ascii="Times New Roman" w:hAnsi="Times New Roman" w:cs="Times New Roman" w:hint="eastAsia"/>
          <w:i/>
          <w:iCs/>
          <w:sz w:val="24"/>
          <w:szCs w:val="24"/>
          <w:vertAlign w:val="superscript"/>
        </w:rPr>
        <w:t>-/-</w:t>
      </w:r>
      <w:r w:rsidRPr="00C4546F">
        <w:rPr>
          <w:rFonts w:ascii="Times New Roman" w:hAnsi="Times New Roman" w:cs="Times New Roman" w:hint="eastAsia"/>
          <w:sz w:val="24"/>
          <w:szCs w:val="24"/>
        </w:rPr>
        <w:t xml:space="preserve"> mice. </w:t>
      </w:r>
      <w:r w:rsidRPr="0068326B">
        <w:rPr>
          <w:rFonts w:ascii="Times New Roman" w:hAnsi="Times New Roman" w:cs="Times New Roman" w:hint="eastAsia"/>
          <w:b/>
          <w:bCs/>
          <w:sz w:val="24"/>
          <w:szCs w:val="24"/>
        </w:rPr>
        <w:t>j</w:t>
      </w:r>
      <w:r>
        <w:rPr>
          <w:rFonts w:ascii="Times New Roman" w:hAnsi="Times New Roman" w:cs="Times New Roman" w:hint="eastAsia"/>
          <w:b/>
          <w:bCs/>
          <w:sz w:val="24"/>
          <w:szCs w:val="24"/>
        </w:rPr>
        <w:t>,</w:t>
      </w:r>
      <w:r w:rsidRPr="00C4546F">
        <w:rPr>
          <w:rFonts w:ascii="Times New Roman" w:hAnsi="Times New Roman" w:cs="Times New Roman" w:hint="eastAsia"/>
          <w:sz w:val="24"/>
          <w:szCs w:val="24"/>
        </w:rPr>
        <w:t xml:space="preserve"> Forelimb grip strength. </w:t>
      </w:r>
      <w:r w:rsidRPr="0068326B">
        <w:rPr>
          <w:rFonts w:ascii="Times New Roman" w:hAnsi="Times New Roman" w:cs="Times New Roman" w:hint="eastAsia"/>
          <w:b/>
          <w:bCs/>
          <w:sz w:val="24"/>
          <w:szCs w:val="24"/>
        </w:rPr>
        <w:t>k</w:t>
      </w:r>
      <w:r>
        <w:rPr>
          <w:rFonts w:ascii="Times New Roman" w:hAnsi="Times New Roman" w:cs="Times New Roman" w:hint="eastAsia"/>
          <w:b/>
          <w:bCs/>
          <w:sz w:val="24"/>
          <w:szCs w:val="24"/>
        </w:rPr>
        <w:t>,</w:t>
      </w:r>
      <w:r w:rsidRPr="00C4546F">
        <w:rPr>
          <w:rFonts w:ascii="Times New Roman" w:hAnsi="Times New Roman" w:cs="Times New Roman" w:hint="eastAsia"/>
          <w:sz w:val="24"/>
          <w:szCs w:val="24"/>
        </w:rPr>
        <w:t xml:space="preserve"> Time to exhaustion. </w:t>
      </w:r>
      <w:r w:rsidRPr="0068326B">
        <w:rPr>
          <w:rFonts w:ascii="Times New Roman" w:hAnsi="Times New Roman" w:cs="Times New Roman" w:hint="eastAsia"/>
          <w:b/>
          <w:bCs/>
          <w:sz w:val="24"/>
          <w:szCs w:val="24"/>
        </w:rPr>
        <w:t>l</w:t>
      </w:r>
      <w:r>
        <w:rPr>
          <w:rFonts w:ascii="Times New Roman" w:hAnsi="Times New Roman" w:cs="Times New Roman" w:hint="eastAsia"/>
          <w:b/>
          <w:bCs/>
          <w:sz w:val="24"/>
          <w:szCs w:val="24"/>
        </w:rPr>
        <w:t>,</w:t>
      </w:r>
      <w:r w:rsidRPr="00C4546F">
        <w:rPr>
          <w:rFonts w:ascii="Times New Roman" w:hAnsi="Times New Roman" w:cs="Times New Roman" w:hint="eastAsia"/>
          <w:sz w:val="24"/>
          <w:szCs w:val="24"/>
        </w:rPr>
        <w:t xml:space="preserve"> Treadmill exhaustion distance. Data are individual values (n = 5-6 mice per group) with mean ± 95% CI (</w:t>
      </w:r>
      <w:r w:rsidRPr="0068326B">
        <w:rPr>
          <w:rFonts w:ascii="Times New Roman" w:hAnsi="Times New Roman" w:cs="Times New Roman" w:hint="eastAsia"/>
          <w:b/>
          <w:bCs/>
          <w:sz w:val="24"/>
          <w:szCs w:val="24"/>
        </w:rPr>
        <w:t>j</w:t>
      </w:r>
      <w:r w:rsidRPr="00C4546F">
        <w:rPr>
          <w:rFonts w:ascii="Times New Roman" w:hAnsi="Times New Roman" w:cs="Times New Roman" w:hint="eastAsia"/>
          <w:sz w:val="24"/>
          <w:szCs w:val="24"/>
        </w:rPr>
        <w:t>) or median ± 95% CI (</w:t>
      </w:r>
      <w:r w:rsidRPr="0068326B">
        <w:rPr>
          <w:rFonts w:ascii="Times New Roman" w:hAnsi="Times New Roman" w:cs="Times New Roman" w:hint="eastAsia"/>
          <w:b/>
          <w:bCs/>
          <w:sz w:val="24"/>
          <w:szCs w:val="24"/>
        </w:rPr>
        <w:t>k</w:t>
      </w:r>
      <w:r w:rsidRPr="00C4546F">
        <w:rPr>
          <w:rFonts w:ascii="Times New Roman" w:hAnsi="Times New Roman" w:cs="Times New Roman" w:hint="eastAsia"/>
          <w:sz w:val="24"/>
          <w:szCs w:val="24"/>
        </w:rPr>
        <w:t xml:space="preserve">, </w:t>
      </w:r>
      <w:r w:rsidRPr="0068326B">
        <w:rPr>
          <w:rFonts w:ascii="Times New Roman" w:hAnsi="Times New Roman" w:cs="Times New Roman" w:hint="eastAsia"/>
          <w:b/>
          <w:bCs/>
          <w:sz w:val="24"/>
          <w:szCs w:val="24"/>
        </w:rPr>
        <w:t>l</w:t>
      </w:r>
      <w:r w:rsidRPr="00C4546F">
        <w:rPr>
          <w:rFonts w:ascii="Times New Roman" w:hAnsi="Times New Roman" w:cs="Times New Roman" w:hint="eastAsia"/>
          <w:sz w:val="24"/>
          <w:szCs w:val="24"/>
        </w:rPr>
        <w:t xml:space="preserve">). Significance was assessed by unpaired two-tailed Student’s </w:t>
      </w:r>
      <w:r w:rsidRPr="0068326B">
        <w:rPr>
          <w:rFonts w:ascii="Times New Roman" w:hAnsi="Times New Roman" w:cs="Times New Roman" w:hint="eastAsia"/>
          <w:i/>
          <w:iCs/>
          <w:sz w:val="24"/>
          <w:szCs w:val="24"/>
        </w:rPr>
        <w:t>t</w:t>
      </w:r>
      <w:r w:rsidRPr="00C4546F">
        <w:rPr>
          <w:rFonts w:ascii="Times New Roman" w:hAnsi="Times New Roman" w:cs="Times New Roman" w:hint="eastAsia"/>
          <w:sz w:val="24"/>
          <w:szCs w:val="24"/>
        </w:rPr>
        <w:t>-test (</w:t>
      </w:r>
      <w:r w:rsidRPr="0068326B">
        <w:rPr>
          <w:rFonts w:ascii="Times New Roman" w:hAnsi="Times New Roman" w:cs="Times New Roman" w:hint="eastAsia"/>
          <w:b/>
          <w:bCs/>
          <w:sz w:val="24"/>
          <w:szCs w:val="24"/>
        </w:rPr>
        <w:t>j</w:t>
      </w:r>
      <w:r w:rsidRPr="00C4546F">
        <w:rPr>
          <w:rFonts w:ascii="Times New Roman" w:hAnsi="Times New Roman" w:cs="Times New Roman" w:hint="eastAsia"/>
          <w:sz w:val="24"/>
          <w:szCs w:val="24"/>
        </w:rPr>
        <w:t>) or unpaired two-tailed Mann-Whitney test (</w:t>
      </w:r>
      <w:r w:rsidRPr="0068326B">
        <w:rPr>
          <w:rFonts w:ascii="Times New Roman" w:hAnsi="Times New Roman" w:cs="Times New Roman" w:hint="eastAsia"/>
          <w:b/>
          <w:bCs/>
          <w:sz w:val="24"/>
          <w:szCs w:val="24"/>
        </w:rPr>
        <w:t>k</w:t>
      </w:r>
      <w:r w:rsidRPr="00C4546F">
        <w:rPr>
          <w:rFonts w:ascii="Times New Roman" w:hAnsi="Times New Roman" w:cs="Times New Roman" w:hint="eastAsia"/>
          <w:sz w:val="24"/>
          <w:szCs w:val="24"/>
        </w:rPr>
        <w:t xml:space="preserve">, </w:t>
      </w:r>
      <w:r w:rsidRPr="0068326B">
        <w:rPr>
          <w:rFonts w:ascii="Times New Roman" w:hAnsi="Times New Roman" w:cs="Times New Roman" w:hint="eastAsia"/>
          <w:b/>
          <w:bCs/>
          <w:sz w:val="24"/>
          <w:szCs w:val="24"/>
        </w:rPr>
        <w:t>l</w:t>
      </w:r>
      <w:r w:rsidRPr="00C4546F">
        <w:rPr>
          <w:rFonts w:ascii="Times New Roman" w:hAnsi="Times New Roman" w:cs="Times New Roman" w:hint="eastAsia"/>
          <w:sz w:val="24"/>
          <w:szCs w:val="24"/>
        </w:rPr>
        <w:t>).</w:t>
      </w:r>
    </w:p>
    <w:p w14:paraId="4B0876FB" w14:textId="77777777" w:rsidR="00650B57" w:rsidRDefault="00650B57" w:rsidP="00650B5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1EC951E1" w14:textId="77777777" w:rsidR="00650B57"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EA94953" wp14:editId="0F1C0DB9">
            <wp:extent cx="4895215" cy="4834255"/>
            <wp:effectExtent l="0" t="0" r="0" b="0"/>
            <wp:docPr id="57" name="图片 57"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A screenshot of a video game&#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5215" cy="4834255"/>
                    </a:xfrm>
                    <a:prstGeom prst="rect">
                      <a:avLst/>
                    </a:prstGeom>
                    <a:noFill/>
                  </pic:spPr>
                </pic:pic>
              </a:graphicData>
            </a:graphic>
          </wp:inline>
        </w:drawing>
      </w:r>
    </w:p>
    <w:p w14:paraId="2C56DE49"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Pr>
          <w:rFonts w:ascii="Times New Roman" w:hAnsi="Times New Roman" w:cs="Times New Roman"/>
          <w:b/>
          <w:bCs/>
          <w:sz w:val="24"/>
          <w:szCs w:val="24"/>
        </w:rPr>
        <w:t>5:</w:t>
      </w:r>
      <w:r w:rsidRPr="005D050B">
        <w:rPr>
          <w:rFonts w:ascii="Times New Roman" w:hAnsi="Times New Roman" w:cs="Times New Roman"/>
          <w:b/>
          <w:bCs/>
          <w:sz w:val="24"/>
          <w:szCs w:val="24"/>
        </w:rPr>
        <w:t xml:space="preserve"> </w:t>
      </w:r>
      <w:r>
        <w:rPr>
          <w:rFonts w:ascii="Times New Roman" w:hAnsi="Times New Roman" w:cs="Times New Roman"/>
          <w:b/>
          <w:bCs/>
          <w:sz w:val="24"/>
          <w:szCs w:val="24"/>
        </w:rPr>
        <w:t>Leucic acid does not cause toxicity or change in HFD-fed mice.</w:t>
      </w:r>
    </w:p>
    <w:p w14:paraId="1B9A5D2E"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a</w:t>
      </w:r>
      <w:r w:rsidRPr="00D63647">
        <w:rPr>
          <w:rFonts w:ascii="Times New Roman" w:hAnsi="Times New Roman" w:cs="Times New Roman"/>
          <w:b/>
          <w:sz w:val="24"/>
          <w:szCs w:val="24"/>
        </w:rPr>
        <w:t>,</w:t>
      </w:r>
      <w:r>
        <w:rPr>
          <w:rFonts w:ascii="Times New Roman" w:hAnsi="Times New Roman" w:cs="Times New Roman"/>
          <w:b/>
          <w:sz w:val="24"/>
          <w:szCs w:val="24"/>
        </w:rPr>
        <w:t>b</w:t>
      </w:r>
      <w:r w:rsidRPr="00D63647">
        <w:rPr>
          <w:rFonts w:ascii="Times New Roman" w:hAnsi="Times New Roman" w:cs="Times New Roman"/>
          <w:b/>
          <w:sz w:val="24"/>
          <w:szCs w:val="24"/>
        </w:rPr>
        <w:t>,</w:t>
      </w:r>
      <w:r w:rsidRPr="005D050B">
        <w:rPr>
          <w:rFonts w:ascii="Times New Roman" w:hAnsi="Times New Roman" w:cs="Times New Roman"/>
          <w:sz w:val="24"/>
          <w:szCs w:val="24"/>
        </w:rPr>
        <w:t xml:space="preserve"> Serum ALT (</w:t>
      </w:r>
      <w:r>
        <w:rPr>
          <w:rFonts w:ascii="Times New Roman" w:hAnsi="Times New Roman" w:cs="Times New Roman"/>
          <w:b/>
          <w:sz w:val="24"/>
          <w:szCs w:val="24"/>
        </w:rPr>
        <w:t>a</w:t>
      </w:r>
      <w:r w:rsidRPr="005D050B">
        <w:rPr>
          <w:rFonts w:ascii="Times New Roman" w:hAnsi="Times New Roman" w:cs="Times New Roman"/>
          <w:sz w:val="24"/>
          <w:szCs w:val="24"/>
        </w:rPr>
        <w:t>) and BUN (</w:t>
      </w:r>
      <w:r>
        <w:rPr>
          <w:rFonts w:ascii="Times New Roman" w:hAnsi="Times New Roman" w:cs="Times New Roman"/>
          <w:b/>
          <w:sz w:val="24"/>
          <w:szCs w:val="24"/>
        </w:rPr>
        <w:t>b</w:t>
      </w:r>
      <w:r w:rsidRPr="005D050B">
        <w:rPr>
          <w:rFonts w:ascii="Times New Roman" w:hAnsi="Times New Roman" w:cs="Times New Roman"/>
          <w:sz w:val="24"/>
          <w:szCs w:val="24"/>
        </w:rPr>
        <w:t>) levels</w:t>
      </w:r>
      <w:r>
        <w:rPr>
          <w:rFonts w:ascii="Times New Roman" w:hAnsi="Times New Roman" w:cs="Times New Roman"/>
          <w:sz w:val="24"/>
          <w:szCs w:val="24"/>
        </w:rPr>
        <w:t xml:space="preserve"> in WT mice</w:t>
      </w:r>
      <w:r w:rsidRPr="005D050B">
        <w:rPr>
          <w:rFonts w:ascii="Times New Roman" w:hAnsi="Times New Roman" w:cs="Times New Roman"/>
          <w:sz w:val="24"/>
          <w:szCs w:val="24"/>
        </w:rPr>
        <w:t>. Data represent individual mice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8-9 per group) with mean ± 95% CI. Unpaired two-tailed Student’s </w:t>
      </w:r>
      <w:r w:rsidRPr="005D050B">
        <w:rPr>
          <w:rFonts w:ascii="Times New Roman" w:hAnsi="Times New Roman" w:cs="Times New Roman"/>
          <w:i/>
          <w:iCs/>
          <w:sz w:val="24"/>
          <w:szCs w:val="24"/>
        </w:rPr>
        <w:t>t</w:t>
      </w:r>
      <w:r w:rsidRPr="005D050B">
        <w:rPr>
          <w:rFonts w:ascii="Times New Roman" w:hAnsi="Times New Roman" w:cs="Times New Roman"/>
          <w:sz w:val="24"/>
          <w:szCs w:val="24"/>
        </w:rPr>
        <w:t xml:space="preserve">-test. </w:t>
      </w:r>
    </w:p>
    <w:p w14:paraId="0BF56C34" w14:textId="77777777" w:rsidR="00650B57" w:rsidRPr="005D050B" w:rsidRDefault="00650B57" w:rsidP="00650B57">
      <w:pPr>
        <w:adjustRightInd w:val="0"/>
        <w:snapToGrid w:val="0"/>
        <w:spacing w:line="480" w:lineRule="auto"/>
        <w:rPr>
          <w:rFonts w:ascii="Times New Roman" w:hAnsi="Times New Roman" w:cs="Times New Roman"/>
          <w:sz w:val="24"/>
          <w:szCs w:val="24"/>
          <w:highlight w:val="yellow"/>
        </w:rPr>
      </w:pPr>
      <w:r>
        <w:rPr>
          <w:rFonts w:ascii="Times New Roman" w:hAnsi="Times New Roman" w:cs="Times New Roman"/>
          <w:b/>
          <w:sz w:val="24"/>
          <w:szCs w:val="24"/>
        </w:rPr>
        <w:t>c</w:t>
      </w:r>
      <w:r w:rsidRPr="00B26786">
        <w:rPr>
          <w:rFonts w:ascii="Times New Roman" w:hAnsi="Times New Roman" w:cs="Times New Roman"/>
          <w:b/>
          <w:sz w:val="24"/>
          <w:szCs w:val="24"/>
        </w:rPr>
        <w:t>,</w:t>
      </w:r>
      <w:r>
        <w:rPr>
          <w:rFonts w:ascii="Times New Roman" w:hAnsi="Times New Roman" w:cs="Times New Roman"/>
          <w:b/>
          <w:sz w:val="24"/>
          <w:szCs w:val="24"/>
        </w:rPr>
        <w:t>d</w:t>
      </w:r>
      <w:r w:rsidRPr="00B26786">
        <w:rPr>
          <w:rFonts w:ascii="Times New Roman" w:hAnsi="Times New Roman" w:cs="Times New Roman"/>
          <w:b/>
          <w:sz w:val="24"/>
          <w:szCs w:val="24"/>
        </w:rPr>
        <w:t>,</w:t>
      </w:r>
      <w:r w:rsidRPr="005D050B">
        <w:rPr>
          <w:rFonts w:ascii="Times New Roman" w:hAnsi="Times New Roman" w:cs="Times New Roman"/>
          <w:sz w:val="24"/>
          <w:szCs w:val="24"/>
        </w:rPr>
        <w:t xml:space="preserve"> Serum ALT (</w:t>
      </w:r>
      <w:r>
        <w:rPr>
          <w:rFonts w:ascii="Times New Roman" w:hAnsi="Times New Roman" w:cs="Times New Roman"/>
          <w:b/>
          <w:sz w:val="24"/>
          <w:szCs w:val="24"/>
        </w:rPr>
        <w:t>c</w:t>
      </w:r>
      <w:r w:rsidRPr="005D050B">
        <w:rPr>
          <w:rFonts w:ascii="Times New Roman" w:hAnsi="Times New Roman" w:cs="Times New Roman"/>
          <w:sz w:val="24"/>
          <w:szCs w:val="24"/>
        </w:rPr>
        <w:t>) and BUN (</w:t>
      </w:r>
      <w:r>
        <w:rPr>
          <w:rFonts w:ascii="Times New Roman" w:hAnsi="Times New Roman" w:cs="Times New Roman"/>
          <w:b/>
          <w:sz w:val="24"/>
          <w:szCs w:val="24"/>
        </w:rPr>
        <w:t>d</w:t>
      </w:r>
      <w:r w:rsidRPr="005D050B">
        <w:rPr>
          <w:rFonts w:ascii="Times New Roman" w:hAnsi="Times New Roman" w:cs="Times New Roman"/>
          <w:sz w:val="24"/>
          <w:szCs w:val="24"/>
        </w:rPr>
        <w:t>) levels</w:t>
      </w:r>
      <w:r>
        <w:rPr>
          <w:rFonts w:ascii="Times New Roman" w:hAnsi="Times New Roman" w:cs="Times New Roman"/>
          <w:sz w:val="24"/>
          <w:szCs w:val="24"/>
        </w:rPr>
        <w:t xml:space="preserve"> in </w:t>
      </w:r>
      <w:r w:rsidRPr="005A011F">
        <w:rPr>
          <w:rFonts w:ascii="Times New Roman" w:hAnsi="Times New Roman" w:cs="Times New Roman"/>
          <w:i/>
          <w:sz w:val="24"/>
          <w:szCs w:val="24"/>
        </w:rPr>
        <w:t>Aida</w:t>
      </w:r>
      <w:r w:rsidRPr="005A011F">
        <w:rPr>
          <w:rFonts w:ascii="Times New Roman" w:hAnsi="Times New Roman" w:cs="Times New Roman"/>
          <w:i/>
          <w:sz w:val="24"/>
          <w:szCs w:val="24"/>
          <w:vertAlign w:val="superscript"/>
        </w:rPr>
        <w:t>-/-</w:t>
      </w:r>
      <w:r>
        <w:rPr>
          <w:rFonts w:ascii="Times New Roman" w:hAnsi="Times New Roman" w:cs="Times New Roman"/>
          <w:sz w:val="24"/>
          <w:szCs w:val="24"/>
        </w:rPr>
        <w:t xml:space="preserve"> mice</w:t>
      </w:r>
      <w:r w:rsidRPr="005D050B">
        <w:rPr>
          <w:rFonts w:ascii="Times New Roman" w:hAnsi="Times New Roman" w:cs="Times New Roman"/>
          <w:sz w:val="24"/>
          <w:szCs w:val="24"/>
        </w:rPr>
        <w:t>. Data represent individual mice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6 per group) with mean ± 95% CI. Unpaired two-tailed Student’s </w:t>
      </w:r>
      <w:r w:rsidRPr="005D050B">
        <w:rPr>
          <w:rFonts w:ascii="Times New Roman" w:hAnsi="Times New Roman" w:cs="Times New Roman"/>
          <w:i/>
          <w:sz w:val="24"/>
          <w:szCs w:val="24"/>
        </w:rPr>
        <w:t>t</w:t>
      </w:r>
      <w:r w:rsidRPr="005D050B">
        <w:rPr>
          <w:rFonts w:ascii="Times New Roman" w:hAnsi="Times New Roman" w:cs="Times New Roman"/>
          <w:sz w:val="24"/>
          <w:szCs w:val="24"/>
        </w:rPr>
        <w:t>-test.</w:t>
      </w:r>
    </w:p>
    <w:p w14:paraId="6144CD19"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e</w:t>
      </w:r>
      <w:r w:rsidRPr="00B26786">
        <w:rPr>
          <w:rFonts w:ascii="Times New Roman" w:hAnsi="Times New Roman" w:cs="Times New Roman"/>
          <w:b/>
          <w:sz w:val="24"/>
          <w:szCs w:val="24"/>
        </w:rPr>
        <w:t>,</w:t>
      </w:r>
      <w:r>
        <w:rPr>
          <w:rFonts w:ascii="Times New Roman" w:hAnsi="Times New Roman" w:cs="Times New Roman"/>
          <w:b/>
          <w:sz w:val="24"/>
          <w:szCs w:val="24"/>
        </w:rPr>
        <w:t>f</w:t>
      </w:r>
      <w:r w:rsidRPr="00B26786">
        <w:rPr>
          <w:rFonts w:ascii="Times New Roman" w:hAnsi="Times New Roman" w:cs="Times New Roman"/>
          <w:b/>
          <w:sz w:val="24"/>
          <w:szCs w:val="24"/>
        </w:rPr>
        <w:t>,</w:t>
      </w:r>
      <w:r w:rsidRPr="005D050B">
        <w:rPr>
          <w:rFonts w:ascii="Times New Roman" w:hAnsi="Times New Roman" w:cs="Times New Roman"/>
          <w:sz w:val="24"/>
          <w:szCs w:val="24"/>
        </w:rPr>
        <w:t xml:space="preserve"> Liver mass (</w:t>
      </w:r>
      <w:r>
        <w:rPr>
          <w:rFonts w:ascii="Times New Roman" w:hAnsi="Times New Roman" w:cs="Times New Roman"/>
          <w:b/>
          <w:sz w:val="24"/>
          <w:szCs w:val="24"/>
        </w:rPr>
        <w:t>e</w:t>
      </w:r>
      <w:r w:rsidRPr="005D050B">
        <w:rPr>
          <w:rFonts w:ascii="Times New Roman" w:hAnsi="Times New Roman" w:cs="Times New Roman"/>
          <w:sz w:val="24"/>
          <w:szCs w:val="24"/>
        </w:rPr>
        <w:t>) and blood glucose levels (</w:t>
      </w:r>
      <w:r>
        <w:rPr>
          <w:rFonts w:ascii="Times New Roman" w:hAnsi="Times New Roman" w:cs="Times New Roman"/>
          <w:b/>
          <w:sz w:val="24"/>
          <w:szCs w:val="24"/>
        </w:rPr>
        <w:t>f</w:t>
      </w:r>
      <w:r w:rsidRPr="005D050B">
        <w:rPr>
          <w:rFonts w:ascii="Times New Roman" w:hAnsi="Times New Roman" w:cs="Times New Roman"/>
          <w:sz w:val="24"/>
          <w:szCs w:val="24"/>
        </w:rPr>
        <w:t xml:space="preserve">) in NCD- or HFD-fed mice treated with leucic acid or acidified water (ADW). </w:t>
      </w:r>
      <w:bookmarkStart w:id="10" w:name="_Hlk184634398"/>
      <w:r w:rsidRPr="005D050B">
        <w:rPr>
          <w:rFonts w:ascii="Times New Roman" w:hAnsi="Times New Roman" w:cs="Times New Roman"/>
          <w:sz w:val="24"/>
          <w:szCs w:val="24"/>
        </w:rPr>
        <w:t xml:space="preserve">Data represent individual values with mean ± 95% CI;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3 mice </w:t>
      </w:r>
      <w:bookmarkEnd w:id="10"/>
      <w:r w:rsidRPr="005D050B">
        <w:rPr>
          <w:rFonts w:ascii="Times New Roman" w:hAnsi="Times New Roman" w:cs="Times New Roman"/>
          <w:sz w:val="24"/>
          <w:szCs w:val="24"/>
        </w:rPr>
        <w:t xml:space="preserve">(NCD group),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5 mice (HFD groups). Statistical significance was determined by ordinary one-way ANOVA.</w:t>
      </w:r>
    </w:p>
    <w:p w14:paraId="277D197E"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g</w:t>
      </w:r>
      <w:r w:rsidRPr="00B26786">
        <w:rPr>
          <w:rFonts w:ascii="Times New Roman" w:hAnsi="Times New Roman" w:cs="Times New Roman"/>
          <w:b/>
          <w:sz w:val="24"/>
          <w:szCs w:val="24"/>
        </w:rPr>
        <w:t>,</w:t>
      </w:r>
      <w:r w:rsidRPr="005D050B">
        <w:rPr>
          <w:rFonts w:ascii="Times New Roman" w:hAnsi="Times New Roman" w:cs="Times New Roman"/>
          <w:sz w:val="24"/>
          <w:szCs w:val="24"/>
        </w:rPr>
        <w:t xml:space="preserve"> Respiratory quotient (RQ) in HFD-fed mice treated with leucic acid or ADW. RQ </w:t>
      </w:r>
      <w:r w:rsidRPr="005D050B">
        <w:rPr>
          <w:rFonts w:ascii="Times New Roman" w:hAnsi="Times New Roman" w:cs="Times New Roman"/>
          <w:sz w:val="24"/>
          <w:szCs w:val="24"/>
        </w:rPr>
        <w:lastRenderedPageBreak/>
        <w:t>was measured over two consecutive days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5-6 mice per group). Data are presented as individual values with mean ± 95% CI. Two-way ANOVA followed by Holm-Šídák’s test. </w:t>
      </w:r>
    </w:p>
    <w:p w14:paraId="0547AF59" w14:textId="77777777" w:rsidR="00650B57" w:rsidRPr="005D050B" w:rsidRDefault="00650B57" w:rsidP="00650B57">
      <w:pPr>
        <w:adjustRightInd w:val="0"/>
        <w:snapToGrid w:val="0"/>
        <w:spacing w:line="480" w:lineRule="auto"/>
        <w:rPr>
          <w:rFonts w:ascii="Times New Roman" w:hAnsi="Times New Roman" w:cs="Times New Roman"/>
          <w:sz w:val="24"/>
          <w:szCs w:val="24"/>
        </w:rPr>
      </w:pPr>
      <w:bookmarkStart w:id="11" w:name="_Hlk184075371"/>
      <w:r>
        <w:rPr>
          <w:rFonts w:ascii="Times New Roman" w:hAnsi="Times New Roman" w:cs="Times New Roman"/>
          <w:b/>
          <w:sz w:val="24"/>
          <w:szCs w:val="24"/>
        </w:rPr>
        <w:t>h</w:t>
      </w:r>
      <w:r w:rsidRPr="00B26786">
        <w:rPr>
          <w:rFonts w:ascii="Times New Roman" w:hAnsi="Times New Roman" w:cs="Times New Roman"/>
          <w:b/>
          <w:sz w:val="24"/>
          <w:szCs w:val="24"/>
        </w:rPr>
        <w:t>,</w:t>
      </w:r>
      <w:r w:rsidRPr="005D050B">
        <w:rPr>
          <w:rFonts w:ascii="Times New Roman" w:hAnsi="Times New Roman" w:cs="Times New Roman"/>
          <w:sz w:val="24"/>
          <w:szCs w:val="24"/>
        </w:rPr>
        <w:t xml:space="preserve"> Daily food intake in HFD-fed mice treated with leucic acid or ADW. Food intake was measured weekly per cage (2 cages per group, each housing 5-6 mice). Individual mouse values were calculated by dividing cage-level intake by the number of mice per cage. Data represent estimated individual mouse values with mean ± 95% CI. Statistical significance was determined by</w:t>
      </w:r>
      <w:bookmarkStart w:id="12" w:name="_Hlk184634452"/>
      <w:bookmarkStart w:id="13" w:name="_Hlk184409033"/>
      <w:r w:rsidRPr="005D050B">
        <w:rPr>
          <w:rFonts w:ascii="Times New Roman" w:hAnsi="Times New Roman" w:cs="Times New Roman"/>
          <w:sz w:val="24"/>
          <w:szCs w:val="24"/>
        </w:rPr>
        <w:t xml:space="preserve"> two-tailed unpaired </w:t>
      </w:r>
      <w:bookmarkEnd w:id="12"/>
      <w:r w:rsidRPr="005D050B">
        <w:rPr>
          <w:rFonts w:ascii="Times New Roman" w:hAnsi="Times New Roman" w:cs="Times New Roman"/>
          <w:sz w:val="24"/>
          <w:szCs w:val="24"/>
        </w:rPr>
        <w:t xml:space="preserve">Student’s </w:t>
      </w:r>
      <w:r w:rsidRPr="005D050B">
        <w:rPr>
          <w:rFonts w:ascii="Times New Roman" w:hAnsi="Times New Roman" w:cs="Times New Roman"/>
          <w:i/>
          <w:iCs/>
          <w:sz w:val="24"/>
          <w:szCs w:val="24"/>
        </w:rPr>
        <w:t>t</w:t>
      </w:r>
      <w:r w:rsidRPr="005D050B">
        <w:rPr>
          <w:rFonts w:ascii="Times New Roman" w:hAnsi="Times New Roman" w:cs="Times New Roman"/>
          <w:sz w:val="24"/>
          <w:szCs w:val="24"/>
        </w:rPr>
        <w:t>-test</w:t>
      </w:r>
      <w:bookmarkEnd w:id="13"/>
      <w:r w:rsidRPr="005D050B">
        <w:rPr>
          <w:rFonts w:ascii="Times New Roman" w:hAnsi="Times New Roman" w:cs="Times New Roman"/>
          <w:sz w:val="24"/>
          <w:szCs w:val="24"/>
        </w:rPr>
        <w:t>.</w:t>
      </w:r>
    </w:p>
    <w:bookmarkEnd w:id="11"/>
    <w:p w14:paraId="2A1EA22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i</w:t>
      </w:r>
      <w:r w:rsidRPr="00B26786">
        <w:rPr>
          <w:rFonts w:ascii="Times New Roman" w:hAnsi="Times New Roman" w:cs="Times New Roman"/>
          <w:b/>
          <w:sz w:val="24"/>
          <w:szCs w:val="24"/>
        </w:rPr>
        <w:t>,</w:t>
      </w:r>
      <w:r w:rsidRPr="005D050B">
        <w:rPr>
          <w:rFonts w:ascii="Times New Roman" w:hAnsi="Times New Roman" w:cs="Times New Roman"/>
          <w:sz w:val="24"/>
          <w:szCs w:val="24"/>
        </w:rPr>
        <w:t xml:space="preserve"> Locomotor activity in HFD-fed mice treated with leucic acid or ADW. Activity was monitored continuously over two consecutive days using pedmeters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5-6 mice per group). Data are mean ± SEM of pedmeters counts per 5 min interval. </w:t>
      </w:r>
    </w:p>
    <w:p w14:paraId="743E99B0"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j,</w:t>
      </w:r>
      <w:r w:rsidRPr="00B26786">
        <w:rPr>
          <w:rFonts w:ascii="Times New Roman" w:hAnsi="Times New Roman" w:cs="Times New Roman"/>
          <w:b/>
          <w:sz w:val="24"/>
          <w:szCs w:val="24"/>
        </w:rPr>
        <w:t>k,</w:t>
      </w:r>
      <w:r w:rsidRPr="005D050B">
        <w:rPr>
          <w:rFonts w:ascii="Times New Roman" w:hAnsi="Times New Roman" w:cs="Times New Roman"/>
          <w:sz w:val="24"/>
          <w:szCs w:val="24"/>
        </w:rPr>
        <w:t xml:space="preserve"> </w:t>
      </w:r>
      <w:r>
        <w:rPr>
          <w:rFonts w:ascii="Times New Roman" w:hAnsi="Times New Roman" w:cs="Times New Roman"/>
          <w:sz w:val="24"/>
          <w:szCs w:val="24"/>
        </w:rPr>
        <w:t>Faecal</w:t>
      </w:r>
      <w:r w:rsidRPr="005D050B">
        <w:rPr>
          <w:rFonts w:ascii="Times New Roman" w:hAnsi="Times New Roman" w:cs="Times New Roman"/>
          <w:sz w:val="24"/>
          <w:szCs w:val="24"/>
        </w:rPr>
        <w:t xml:space="preserve"> lipid excretion in leucic acid-treated mice. Non-esterified fatty acids (NEFA) and triglyceride (TAG) levels in </w:t>
      </w:r>
      <w:r>
        <w:rPr>
          <w:rFonts w:ascii="Times New Roman" w:hAnsi="Times New Roman" w:cs="Times New Roman"/>
          <w:sz w:val="24"/>
          <w:szCs w:val="24"/>
        </w:rPr>
        <w:t>faeces</w:t>
      </w:r>
      <w:r w:rsidRPr="005D050B">
        <w:rPr>
          <w:rFonts w:ascii="Times New Roman" w:hAnsi="Times New Roman" w:cs="Times New Roman"/>
          <w:sz w:val="24"/>
          <w:szCs w:val="24"/>
        </w:rPr>
        <w:t xml:space="preserve"> from WT mice administered leucic acid or ADW as a control. Data represent individual biological replicates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5 mice per group) with mean ± 95% CI. Statistical significance was assessed by two-tailed unpaired Student’s </w:t>
      </w:r>
      <w:r w:rsidRPr="005D050B">
        <w:rPr>
          <w:rFonts w:ascii="Times New Roman" w:hAnsi="Times New Roman" w:cs="Times New Roman"/>
          <w:i/>
          <w:sz w:val="24"/>
          <w:szCs w:val="24"/>
        </w:rPr>
        <w:t>t</w:t>
      </w:r>
      <w:r w:rsidRPr="005D050B">
        <w:rPr>
          <w:rFonts w:ascii="Times New Roman" w:hAnsi="Times New Roman" w:cs="Times New Roman"/>
          <w:sz w:val="24"/>
          <w:szCs w:val="24"/>
        </w:rPr>
        <w:t>-test.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p>
    <w:p w14:paraId="209ADCA4"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700F4209"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E3A9C38" wp14:editId="42473A10">
            <wp:extent cx="5492750" cy="6547485"/>
            <wp:effectExtent l="0" t="0" r="0" b="5715"/>
            <wp:docPr id="26" name="图片 26"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A screenshot of a computer screen&#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2750" cy="6547485"/>
                    </a:xfrm>
                    <a:prstGeom prst="rect">
                      <a:avLst/>
                    </a:prstGeom>
                    <a:noFill/>
                  </pic:spPr>
                </pic:pic>
              </a:graphicData>
            </a:graphic>
          </wp:inline>
        </w:drawing>
      </w: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6:</w:t>
      </w:r>
      <w:r w:rsidRPr="005D050B">
        <w:rPr>
          <w:rFonts w:ascii="Times New Roman" w:hAnsi="Times New Roman" w:cs="Times New Roman"/>
          <w:b/>
          <w:sz w:val="24"/>
          <w:szCs w:val="24"/>
        </w:rPr>
        <w:t xml:space="preserve"> Genomic analysis of leucic acid biosynthesis in LDE-1 and LDE-2</w:t>
      </w:r>
      <w:r>
        <w:rPr>
          <w:rFonts w:ascii="Times New Roman" w:hAnsi="Times New Roman" w:cs="Times New Roman"/>
          <w:b/>
          <w:sz w:val="24"/>
          <w:szCs w:val="24"/>
        </w:rPr>
        <w:t>.</w:t>
      </w:r>
    </w:p>
    <w:p w14:paraId="146557E5"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FD45EE">
        <w:rPr>
          <w:rFonts w:ascii="Times New Roman" w:hAnsi="Times New Roman" w:cs="Times New Roman"/>
          <w:b/>
          <w:sz w:val="24"/>
          <w:szCs w:val="24"/>
        </w:rPr>
        <w:t>a,</w:t>
      </w:r>
      <w:r w:rsidRPr="005D050B">
        <w:rPr>
          <w:rFonts w:ascii="Times New Roman" w:hAnsi="Times New Roman" w:cs="Times New Roman"/>
          <w:sz w:val="24"/>
          <w:szCs w:val="24"/>
        </w:rPr>
        <w:t xml:space="preserve"> Schematic diagram of leucine degradation pathways in bacteria, highlighting L-2-HicDH- or D-2-HicDH-mediated conversion of α-ketoisocaproic acid to L- or D-leucic acid, respectively. </w:t>
      </w:r>
    </w:p>
    <w:p w14:paraId="0EE9B327"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FD45EE">
        <w:rPr>
          <w:rFonts w:ascii="Times New Roman" w:hAnsi="Times New Roman" w:cs="Times New Roman"/>
          <w:b/>
          <w:sz w:val="24"/>
          <w:szCs w:val="24"/>
        </w:rPr>
        <w:t>b,</w:t>
      </w:r>
      <w:r w:rsidRPr="005D050B">
        <w:rPr>
          <w:rFonts w:ascii="Times New Roman" w:hAnsi="Times New Roman" w:cs="Times New Roman"/>
          <w:sz w:val="24"/>
          <w:szCs w:val="24"/>
        </w:rPr>
        <w:t xml:space="preserve"> Phylogenetic tree of putative branched-chain amino acid aminotransferase (AT) </w:t>
      </w:r>
      <w:r w:rsidRPr="005D050B">
        <w:rPr>
          <w:rFonts w:ascii="Times New Roman" w:hAnsi="Times New Roman" w:cs="Times New Roman"/>
          <w:sz w:val="24"/>
          <w:szCs w:val="24"/>
        </w:rPr>
        <w:lastRenderedPageBreak/>
        <w:t xml:space="preserve">homologs inferred by the </w:t>
      </w:r>
      <w:r>
        <w:rPr>
          <w:rFonts w:ascii="Times New Roman" w:hAnsi="Times New Roman" w:cs="Times New Roman"/>
          <w:sz w:val="24"/>
          <w:szCs w:val="24"/>
        </w:rPr>
        <w:t>neighbour-joining</w:t>
      </w:r>
      <w:r w:rsidRPr="005D050B">
        <w:rPr>
          <w:rFonts w:ascii="Times New Roman" w:hAnsi="Times New Roman" w:cs="Times New Roman"/>
          <w:sz w:val="24"/>
          <w:szCs w:val="24"/>
        </w:rPr>
        <w:t xml:space="preserve"> method (500 bootstrap replicates). </w:t>
      </w:r>
    </w:p>
    <w:p w14:paraId="368A932B"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FD45EE">
        <w:rPr>
          <w:rFonts w:ascii="Times New Roman" w:hAnsi="Times New Roman" w:cs="Times New Roman"/>
          <w:b/>
          <w:sz w:val="24"/>
          <w:szCs w:val="24"/>
        </w:rPr>
        <w:t>c,</w:t>
      </w:r>
      <w:r w:rsidRPr="005D050B">
        <w:rPr>
          <w:rFonts w:ascii="Times New Roman" w:hAnsi="Times New Roman" w:cs="Times New Roman"/>
          <w:sz w:val="24"/>
          <w:szCs w:val="24"/>
        </w:rPr>
        <w:t xml:space="preserve"> Phylogenetic tree of putative HicDHs homologs inferred by the </w:t>
      </w:r>
      <w:r>
        <w:rPr>
          <w:rFonts w:ascii="Times New Roman" w:hAnsi="Times New Roman" w:cs="Times New Roman"/>
          <w:sz w:val="24"/>
          <w:szCs w:val="24"/>
        </w:rPr>
        <w:t>neighbour-joining</w:t>
      </w:r>
      <w:r w:rsidRPr="005D050B">
        <w:rPr>
          <w:rFonts w:ascii="Times New Roman" w:hAnsi="Times New Roman" w:cs="Times New Roman"/>
          <w:sz w:val="24"/>
          <w:szCs w:val="24"/>
        </w:rPr>
        <w:t xml:space="preserve"> method (500 bootstrap replicates). </w:t>
      </w:r>
    </w:p>
    <w:p w14:paraId="7D3CB4B4"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1CED66A9"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BFC7817" wp14:editId="418B5912">
            <wp:extent cx="5431790" cy="7833995"/>
            <wp:effectExtent l="0" t="0" r="0" b="0"/>
            <wp:docPr id="27" name="图片 2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A screenshot of a computer&#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31790" cy="7833995"/>
                    </a:xfrm>
                    <a:prstGeom prst="rect">
                      <a:avLst/>
                    </a:prstGeom>
                    <a:noFill/>
                  </pic:spPr>
                </pic:pic>
              </a:graphicData>
            </a:graphic>
          </wp:inline>
        </w:drawing>
      </w:r>
    </w:p>
    <w:p w14:paraId="5A88323E" w14:textId="77777777" w:rsidR="00650B57" w:rsidRPr="005D050B" w:rsidRDefault="00650B57" w:rsidP="00650B57">
      <w:pPr>
        <w:adjustRightInd w:val="0"/>
        <w:snapToGrid w:val="0"/>
        <w:spacing w:line="480" w:lineRule="auto"/>
        <w:rPr>
          <w:rFonts w:ascii="Times New Roman" w:hAnsi="Times New Roman" w:cs="Times New Roman"/>
          <w:b/>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7:</w:t>
      </w:r>
      <w:r w:rsidRPr="005D050B">
        <w:rPr>
          <w:rFonts w:ascii="Times New Roman" w:hAnsi="Times New Roman" w:cs="Times New Roman"/>
          <w:b/>
          <w:sz w:val="24"/>
          <w:szCs w:val="24"/>
        </w:rPr>
        <w:t xml:space="preserve"> Structural </w:t>
      </w:r>
      <w:r>
        <w:rPr>
          <w:rFonts w:ascii="Times New Roman" w:hAnsi="Times New Roman" w:cs="Times New Roman"/>
          <w:b/>
          <w:sz w:val="24"/>
          <w:szCs w:val="24"/>
        </w:rPr>
        <w:t>characterisation</w:t>
      </w:r>
      <w:r w:rsidRPr="005D050B">
        <w:rPr>
          <w:rFonts w:ascii="Times New Roman" w:hAnsi="Times New Roman" w:cs="Times New Roman"/>
          <w:b/>
          <w:sz w:val="24"/>
          <w:szCs w:val="24"/>
        </w:rPr>
        <w:t xml:space="preserve"> of HicDH homologs</w:t>
      </w:r>
      <w:r>
        <w:rPr>
          <w:rFonts w:ascii="Times New Roman" w:hAnsi="Times New Roman" w:cs="Times New Roman"/>
          <w:b/>
          <w:sz w:val="24"/>
          <w:szCs w:val="24"/>
        </w:rPr>
        <w:t>.</w:t>
      </w:r>
    </w:p>
    <w:p w14:paraId="35FC4DFD"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a,</w:t>
      </w:r>
      <w:r w:rsidRPr="005D050B">
        <w:rPr>
          <w:rFonts w:ascii="Times New Roman" w:hAnsi="Times New Roman" w:cs="Times New Roman"/>
          <w:sz w:val="24"/>
          <w:szCs w:val="24"/>
        </w:rPr>
        <w:t xml:space="preserve"> Structural predictions of HicDH homologs. The structure of DHD2 from </w:t>
      </w:r>
      <w:r w:rsidRPr="005D050B">
        <w:rPr>
          <w:rFonts w:ascii="Times New Roman" w:hAnsi="Times New Roman" w:cs="Times New Roman"/>
          <w:i/>
          <w:sz w:val="24"/>
          <w:szCs w:val="24"/>
        </w:rPr>
        <w:lastRenderedPageBreak/>
        <w:t>Lactobacillus casei</w:t>
      </w:r>
      <w:r w:rsidRPr="005D050B">
        <w:rPr>
          <w:rFonts w:ascii="Times New Roman" w:hAnsi="Times New Roman" w:cs="Times New Roman"/>
          <w:sz w:val="24"/>
          <w:szCs w:val="24"/>
        </w:rPr>
        <w:t xml:space="preserve"> (LcDHD2, PDB ID: 1DXY, colored in grey) was aligned with AlphaFold2 predicted structures of LDE-2_GM003150, LDE-1_GM003503, LDE-1_GM000059, LDE-2_GM002896, and LDE-2_GM003422, respectively. The structure of LHD2 (PDB ID: 1LDN, </w:t>
      </w:r>
      <w:r>
        <w:rPr>
          <w:rFonts w:ascii="Times New Roman" w:hAnsi="Times New Roman" w:cs="Times New Roman"/>
          <w:sz w:val="24"/>
          <w:szCs w:val="24"/>
        </w:rPr>
        <w:t>colour</w:t>
      </w:r>
      <w:r w:rsidRPr="005D050B">
        <w:rPr>
          <w:rFonts w:ascii="Times New Roman" w:hAnsi="Times New Roman" w:cs="Times New Roman"/>
          <w:sz w:val="24"/>
          <w:szCs w:val="24"/>
        </w:rPr>
        <w:t xml:space="preserve"> in grey) was aligned with AlphaFold2 predicted structure of LDE-1_GM003311. </w:t>
      </w:r>
    </w:p>
    <w:p w14:paraId="2B48B81B"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b-g,</w:t>
      </w:r>
      <w:r w:rsidRPr="005D050B">
        <w:rPr>
          <w:rFonts w:ascii="Times New Roman" w:hAnsi="Times New Roman" w:cs="Times New Roman"/>
          <w:sz w:val="24"/>
          <w:szCs w:val="24"/>
        </w:rPr>
        <w:t xml:space="preserve"> Substrate-binding pocket analysis of putative HicDH homologues with 2-oxoisocaproate and NAD</w:t>
      </w:r>
      <w:r w:rsidRPr="005D050B">
        <w:rPr>
          <w:rFonts w:ascii="Times New Roman" w:hAnsi="Times New Roman" w:cs="Times New Roman"/>
          <w:sz w:val="24"/>
          <w:szCs w:val="24"/>
          <w:vertAlign w:val="superscript"/>
        </w:rPr>
        <w:t>+</w:t>
      </w:r>
      <w:r w:rsidRPr="005D050B">
        <w:rPr>
          <w:rFonts w:ascii="Times New Roman" w:hAnsi="Times New Roman" w:cs="Times New Roman"/>
          <w:sz w:val="24"/>
          <w:szCs w:val="24"/>
        </w:rPr>
        <w:t>. Alignment of key residues in putative HicDH homologs LDE-2-GM002896 (</w:t>
      </w:r>
      <w:r w:rsidRPr="006F7265">
        <w:rPr>
          <w:rFonts w:ascii="Times New Roman" w:hAnsi="Times New Roman" w:cs="Times New Roman"/>
          <w:b/>
          <w:sz w:val="24"/>
          <w:szCs w:val="24"/>
        </w:rPr>
        <w:t>b</w:t>
      </w:r>
      <w:r w:rsidRPr="005D050B">
        <w:rPr>
          <w:rFonts w:ascii="Times New Roman" w:hAnsi="Times New Roman" w:cs="Times New Roman"/>
          <w:sz w:val="24"/>
          <w:szCs w:val="24"/>
        </w:rPr>
        <w:t>), LDE-2-GM003422 (</w:t>
      </w:r>
      <w:r w:rsidRPr="006F7265">
        <w:rPr>
          <w:rFonts w:ascii="Times New Roman" w:hAnsi="Times New Roman" w:cs="Times New Roman"/>
          <w:b/>
          <w:sz w:val="24"/>
          <w:szCs w:val="24"/>
        </w:rPr>
        <w:t>c</w:t>
      </w:r>
      <w:r w:rsidRPr="005D050B">
        <w:rPr>
          <w:rFonts w:ascii="Times New Roman" w:hAnsi="Times New Roman" w:cs="Times New Roman"/>
          <w:sz w:val="24"/>
          <w:szCs w:val="24"/>
        </w:rPr>
        <w:t>), LDE-2-GM003150 (</w:t>
      </w:r>
      <w:r w:rsidRPr="006F7265">
        <w:rPr>
          <w:rFonts w:ascii="Times New Roman" w:hAnsi="Times New Roman" w:cs="Times New Roman"/>
          <w:b/>
          <w:sz w:val="24"/>
          <w:szCs w:val="24"/>
        </w:rPr>
        <w:t>d</w:t>
      </w:r>
      <w:r w:rsidRPr="005D050B">
        <w:rPr>
          <w:rFonts w:ascii="Times New Roman" w:hAnsi="Times New Roman" w:cs="Times New Roman"/>
          <w:sz w:val="24"/>
          <w:szCs w:val="24"/>
        </w:rPr>
        <w:t>), LDE-1-GM000059 (</w:t>
      </w:r>
      <w:r w:rsidRPr="006F7265">
        <w:rPr>
          <w:rFonts w:ascii="Times New Roman" w:hAnsi="Times New Roman" w:cs="Times New Roman"/>
          <w:b/>
          <w:sz w:val="24"/>
          <w:szCs w:val="24"/>
        </w:rPr>
        <w:t>e</w:t>
      </w:r>
      <w:r w:rsidRPr="005D050B">
        <w:rPr>
          <w:rFonts w:ascii="Times New Roman" w:hAnsi="Times New Roman" w:cs="Times New Roman"/>
          <w:sz w:val="24"/>
          <w:szCs w:val="24"/>
        </w:rPr>
        <w:t>), and LDE-</w:t>
      </w:r>
      <w:r>
        <w:rPr>
          <w:rFonts w:ascii="Times New Roman" w:hAnsi="Times New Roman" w:cs="Times New Roman" w:hint="eastAsia"/>
          <w:sz w:val="24"/>
          <w:szCs w:val="24"/>
        </w:rPr>
        <w:t>1</w:t>
      </w:r>
      <w:r w:rsidRPr="005D050B">
        <w:rPr>
          <w:rFonts w:ascii="Times New Roman" w:hAnsi="Times New Roman" w:cs="Times New Roman"/>
          <w:sz w:val="24"/>
          <w:szCs w:val="24"/>
        </w:rPr>
        <w:t>-GM003503 (</w:t>
      </w:r>
      <w:r w:rsidRPr="006F7265">
        <w:rPr>
          <w:rFonts w:ascii="Times New Roman" w:hAnsi="Times New Roman" w:cs="Times New Roman"/>
          <w:b/>
          <w:sz w:val="24"/>
          <w:szCs w:val="24"/>
        </w:rPr>
        <w:t>f</w:t>
      </w:r>
      <w:r w:rsidRPr="005D050B">
        <w:rPr>
          <w:rFonts w:ascii="Times New Roman" w:hAnsi="Times New Roman" w:cs="Times New Roman"/>
          <w:sz w:val="24"/>
          <w:szCs w:val="24"/>
        </w:rPr>
        <w:t xml:space="preserve">) vs. the D-2-HicDH from </w:t>
      </w:r>
      <w:r w:rsidRPr="005D050B">
        <w:rPr>
          <w:rFonts w:ascii="Times New Roman" w:hAnsi="Times New Roman" w:cs="Times New Roman"/>
          <w:i/>
          <w:sz w:val="24"/>
          <w:szCs w:val="24"/>
        </w:rPr>
        <w:t>Lactobacillus casei</w:t>
      </w:r>
      <w:r w:rsidRPr="005D050B">
        <w:rPr>
          <w:rFonts w:ascii="Times New Roman" w:hAnsi="Times New Roman" w:cs="Times New Roman"/>
          <w:sz w:val="24"/>
          <w:szCs w:val="24"/>
        </w:rPr>
        <w:t>, and LDE-1-GM003311 (</w:t>
      </w:r>
      <w:r w:rsidRPr="006F7265">
        <w:rPr>
          <w:rFonts w:ascii="Times New Roman" w:hAnsi="Times New Roman" w:cs="Times New Roman"/>
          <w:b/>
          <w:sz w:val="24"/>
          <w:szCs w:val="24"/>
        </w:rPr>
        <w:t>g</w:t>
      </w:r>
      <w:r w:rsidRPr="005D050B">
        <w:rPr>
          <w:rFonts w:ascii="Times New Roman" w:hAnsi="Times New Roman" w:cs="Times New Roman"/>
          <w:sz w:val="24"/>
          <w:szCs w:val="24"/>
        </w:rPr>
        <w:t xml:space="preserve">) vs. the L-HicDH from </w:t>
      </w:r>
      <w:r w:rsidRPr="005D050B">
        <w:rPr>
          <w:rFonts w:ascii="Times New Roman" w:hAnsi="Times New Roman" w:cs="Times New Roman"/>
          <w:i/>
          <w:sz w:val="24"/>
          <w:szCs w:val="24"/>
        </w:rPr>
        <w:t>Weissella confusa</w:t>
      </w:r>
      <w:r w:rsidRPr="005D050B">
        <w:rPr>
          <w:rFonts w:ascii="Times New Roman" w:hAnsi="Times New Roman" w:cs="Times New Roman"/>
          <w:sz w:val="24"/>
          <w:szCs w:val="24"/>
        </w:rPr>
        <w:t xml:space="preserve">. </w:t>
      </w:r>
    </w:p>
    <w:p w14:paraId="1FCBAB71"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637CDA67" w14:textId="77777777" w:rsidR="00650B57" w:rsidRPr="005D050B" w:rsidRDefault="00650B57" w:rsidP="00650B57">
      <w:pPr>
        <w:adjustRightInd w:val="0"/>
        <w:snapToGrid w:val="0"/>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171EDE98" wp14:editId="19E4D88A">
            <wp:extent cx="4401820" cy="5864860"/>
            <wp:effectExtent l="0" t="0" r="0" b="0"/>
            <wp:docPr id="28" name="图片 2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A screenshot of a computer&#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01820" cy="5864860"/>
                    </a:xfrm>
                    <a:prstGeom prst="rect">
                      <a:avLst/>
                    </a:prstGeom>
                    <a:noFill/>
                  </pic:spPr>
                </pic:pic>
              </a:graphicData>
            </a:graphic>
          </wp:inline>
        </w:drawing>
      </w:r>
    </w:p>
    <w:p w14:paraId="47D37EC7"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8:</w:t>
      </w:r>
      <w:r w:rsidRPr="005D050B">
        <w:rPr>
          <w:rFonts w:ascii="Times New Roman" w:hAnsi="Times New Roman" w:cs="Times New Roman"/>
          <w:b/>
          <w:sz w:val="24"/>
          <w:szCs w:val="24"/>
        </w:rPr>
        <w:t xml:space="preserve"> Functional </w:t>
      </w:r>
      <w:r>
        <w:rPr>
          <w:rFonts w:ascii="Times New Roman" w:hAnsi="Times New Roman" w:cs="Times New Roman"/>
          <w:b/>
          <w:sz w:val="24"/>
          <w:szCs w:val="24"/>
        </w:rPr>
        <w:t>characterisation</w:t>
      </w:r>
      <w:r w:rsidRPr="005D050B">
        <w:rPr>
          <w:rFonts w:ascii="Times New Roman" w:hAnsi="Times New Roman" w:cs="Times New Roman"/>
          <w:b/>
          <w:sz w:val="24"/>
          <w:szCs w:val="24"/>
        </w:rPr>
        <w:t xml:space="preserve"> and gut microbiome distribution of HicDHs from LDE-1 and LDE-2</w:t>
      </w:r>
      <w:r>
        <w:rPr>
          <w:rFonts w:ascii="Times New Roman" w:hAnsi="Times New Roman" w:cs="Times New Roman"/>
          <w:b/>
          <w:sz w:val="24"/>
          <w:szCs w:val="24"/>
        </w:rPr>
        <w:t>.</w:t>
      </w:r>
    </w:p>
    <w:p w14:paraId="17B37E93"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a,</w:t>
      </w:r>
      <w:r w:rsidRPr="005D050B">
        <w:rPr>
          <w:rFonts w:ascii="Times New Roman" w:hAnsi="Times New Roman" w:cs="Times New Roman"/>
          <w:sz w:val="24"/>
          <w:szCs w:val="24"/>
        </w:rPr>
        <w:t xml:space="preserve"> HicDH-dependent leucic acid production. Isotope tracing using L-leucine-</w:t>
      </w:r>
      <w:r w:rsidRPr="005D050B">
        <w:rPr>
          <w:rFonts w:ascii="Times New Roman" w:hAnsi="Times New Roman" w:cs="Times New Roman"/>
          <w:sz w:val="24"/>
          <w:szCs w:val="24"/>
          <w:vertAlign w:val="superscript"/>
        </w:rPr>
        <w:t>2</w:t>
      </w:r>
      <w:r w:rsidRPr="005D050B">
        <w:rPr>
          <w:rFonts w:ascii="Times New Roman" w:hAnsi="Times New Roman" w:cs="Times New Roman"/>
          <w:sz w:val="24"/>
          <w:szCs w:val="24"/>
        </w:rPr>
        <w:t>H</w:t>
      </w:r>
      <w:r w:rsidRPr="005D050B">
        <w:rPr>
          <w:rFonts w:ascii="Times New Roman" w:hAnsi="Times New Roman" w:cs="Times New Roman"/>
          <w:sz w:val="24"/>
          <w:szCs w:val="24"/>
          <w:vertAlign w:val="subscript"/>
        </w:rPr>
        <w:t>3</w:t>
      </w:r>
      <w:r w:rsidRPr="005D050B">
        <w:rPr>
          <w:rFonts w:ascii="Times New Roman" w:hAnsi="Times New Roman" w:cs="Times New Roman"/>
          <w:sz w:val="24"/>
          <w:szCs w:val="24"/>
        </w:rPr>
        <w:t xml:space="preserve"> in </w:t>
      </w:r>
      <w:r w:rsidRPr="005D050B">
        <w:rPr>
          <w:rFonts w:ascii="Times New Roman" w:hAnsi="Times New Roman" w:cs="Times New Roman"/>
          <w:i/>
          <w:iCs/>
          <w:sz w:val="24"/>
          <w:szCs w:val="24"/>
        </w:rPr>
        <w:t>E. coli</w:t>
      </w:r>
      <w:r w:rsidRPr="005D050B">
        <w:rPr>
          <w:rFonts w:ascii="Times New Roman" w:hAnsi="Times New Roman" w:cs="Times New Roman"/>
          <w:sz w:val="24"/>
          <w:szCs w:val="24"/>
        </w:rPr>
        <w:t xml:space="preserve"> BL21(DE3) expressing LDE-1/LDE-2 HicDHs. Total and </w:t>
      </w:r>
      <w:r>
        <w:rPr>
          <w:rFonts w:ascii="Times New Roman" w:hAnsi="Times New Roman" w:cs="Times New Roman"/>
          <w:sz w:val="24"/>
          <w:szCs w:val="24"/>
          <w:vertAlign w:val="superscript"/>
        </w:rPr>
        <w:t>2</w:t>
      </w:r>
      <w:r w:rsidRPr="00E34DAC">
        <w:rPr>
          <w:rFonts w:ascii="Times New Roman" w:hAnsi="Times New Roman" w:cs="Times New Roman"/>
          <w:sz w:val="24"/>
          <w:szCs w:val="24"/>
        </w:rPr>
        <w:t>H-labelled</w:t>
      </w:r>
      <w:r w:rsidRPr="005D050B">
        <w:rPr>
          <w:rFonts w:ascii="Times New Roman" w:hAnsi="Times New Roman" w:cs="Times New Roman"/>
          <w:sz w:val="24"/>
          <w:szCs w:val="24"/>
        </w:rPr>
        <w:t xml:space="preserve"> leucic acid were quantified by LC-MS.</w:t>
      </w:r>
    </w:p>
    <w:p w14:paraId="5C0B7E8E"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b,</w:t>
      </w:r>
      <w:r w:rsidRPr="005D050B">
        <w:rPr>
          <w:rFonts w:ascii="Times New Roman" w:hAnsi="Times New Roman" w:cs="Times New Roman"/>
          <w:sz w:val="24"/>
          <w:szCs w:val="24"/>
        </w:rPr>
        <w:t xml:space="preserve"> Coomassie Brilliant Blue-stained SDS-PAGE of lysates from </w:t>
      </w:r>
      <w:r w:rsidRPr="005D050B">
        <w:rPr>
          <w:rFonts w:ascii="Times New Roman" w:hAnsi="Times New Roman" w:cs="Times New Roman"/>
          <w:i/>
          <w:sz w:val="24"/>
          <w:szCs w:val="24"/>
        </w:rPr>
        <w:t>E. coli</w:t>
      </w:r>
      <w:r w:rsidRPr="005D050B">
        <w:rPr>
          <w:rFonts w:ascii="Times New Roman" w:hAnsi="Times New Roman" w:cs="Times New Roman"/>
          <w:sz w:val="24"/>
          <w:szCs w:val="24"/>
        </w:rPr>
        <w:t xml:space="preserve"> BL21 expressing predicted HicDHs. </w:t>
      </w:r>
      <w:r w:rsidRPr="005D050B">
        <w:rPr>
          <w:rFonts w:ascii="Times New Roman" w:hAnsi="Times New Roman" w:cs="Times New Roman"/>
          <w:iCs/>
          <w:sz w:val="24"/>
          <w:szCs w:val="24"/>
        </w:rPr>
        <w:t xml:space="preserve">Cells were transformed with pGEX-4T-1 vectors encoding HicDH homologs, induced with IPTG, and lysed. Lysates were resolved by </w:t>
      </w:r>
      <w:r w:rsidRPr="005D050B">
        <w:rPr>
          <w:rFonts w:ascii="Times New Roman" w:hAnsi="Times New Roman" w:cs="Times New Roman"/>
          <w:iCs/>
          <w:sz w:val="24"/>
          <w:szCs w:val="24"/>
        </w:rPr>
        <w:lastRenderedPageBreak/>
        <w:t>SDS-PAGE</w:t>
      </w:r>
      <w:r w:rsidRPr="005D050B">
        <w:rPr>
          <w:rFonts w:ascii="Times New Roman" w:hAnsi="Times New Roman" w:cs="Times New Roman"/>
          <w:sz w:val="24"/>
          <w:szCs w:val="24"/>
        </w:rPr>
        <w:t xml:space="preserve">. </w:t>
      </w:r>
    </w:p>
    <w:p w14:paraId="4002ED6B"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c,</w:t>
      </w:r>
      <w:r w:rsidRPr="005D050B">
        <w:rPr>
          <w:rFonts w:ascii="Times New Roman" w:hAnsi="Times New Roman" w:cs="Times New Roman"/>
          <w:sz w:val="24"/>
          <w:szCs w:val="24"/>
        </w:rPr>
        <w:t xml:space="preserve"> Enantiomeric resolution of bacterially derived leucic acid. Chiral GC-TQ-MS analysis of methyl ester derivatives identifies D-leucic acid (retention time: 12.3 min) as the dominant enantiomer (&gt; 98%) in LDE-2 and L-leucic acid (retention time: 13.0 min) as the dominant enantiomer (&gt; 98%) in LDE-1 cultures. DL-leucic acid methyl ester (DL-ME) standard shown for reference.</w:t>
      </w:r>
    </w:p>
    <w:p w14:paraId="4B5B07EC"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d,</w:t>
      </w:r>
      <w:r w:rsidRPr="005D050B">
        <w:rPr>
          <w:rFonts w:ascii="Times New Roman" w:hAnsi="Times New Roman" w:cs="Times New Roman"/>
          <w:sz w:val="24"/>
          <w:szCs w:val="24"/>
        </w:rPr>
        <w:t xml:space="preserve"> Gas chromatography (GC) validation of enantiomeric resolution for leucic acid. Representative GC chromatograms of D-, L-leucic acid methyl ester, and racemic DL-leucic acid methyl ester (reference standard). Racemic DL-leucic acid (two peaks) was used to resolve enantiomers, with pure D- and L-leucic acid methyl esters serving as standards to assign peak identities (D-enantiomer at 12.3 min; L-enantiomer at 13.0 min). </w:t>
      </w:r>
      <w:r>
        <w:rPr>
          <w:rFonts w:ascii="Times New Roman" w:hAnsi="Times New Roman" w:cs="Times New Roman"/>
          <w:sz w:val="24"/>
          <w:szCs w:val="24"/>
        </w:rPr>
        <w:t>Derivatised</w:t>
      </w:r>
      <w:r w:rsidRPr="005D050B">
        <w:rPr>
          <w:rFonts w:ascii="Times New Roman" w:hAnsi="Times New Roman" w:cs="Times New Roman"/>
          <w:sz w:val="24"/>
          <w:szCs w:val="24"/>
        </w:rPr>
        <w:t xml:space="preserve"> leucic acid methyl esters were separated on a CP-Chirasil-Dex CB column. </w:t>
      </w:r>
    </w:p>
    <w:p w14:paraId="7E4BD1B5"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6F7265">
        <w:rPr>
          <w:rFonts w:ascii="Times New Roman" w:hAnsi="Times New Roman" w:cs="Times New Roman"/>
          <w:b/>
          <w:sz w:val="24"/>
          <w:szCs w:val="24"/>
        </w:rPr>
        <w:t>e,f,</w:t>
      </w:r>
      <w:r w:rsidRPr="005D050B">
        <w:rPr>
          <w:rFonts w:ascii="Times New Roman" w:hAnsi="Times New Roman" w:cs="Times New Roman"/>
          <w:sz w:val="24"/>
          <w:szCs w:val="24"/>
        </w:rPr>
        <w:t xml:space="preserve"> Family-level abundance of putative bacterial HicDH homologs identified by BLASTP alignment of the Unified Human Gastrointestinal Protein (UHGP) </w:t>
      </w:r>
      <w:r>
        <w:rPr>
          <w:rFonts w:ascii="Times New Roman" w:hAnsi="Times New Roman" w:cs="Times New Roman"/>
          <w:sz w:val="24"/>
          <w:szCs w:val="24"/>
        </w:rPr>
        <w:t>catalogue</w:t>
      </w:r>
      <w:r w:rsidRPr="005D050B">
        <w:rPr>
          <w:rFonts w:ascii="Times New Roman" w:hAnsi="Times New Roman" w:cs="Times New Roman"/>
          <w:sz w:val="24"/>
          <w:szCs w:val="24"/>
        </w:rPr>
        <w:t xml:space="preserve"> against three functionally validated reference sequences (LDE-1-GM003311, LDE-2-GM003422 and LDE-2-GM003150). Homologs were filtered by ≥80% query coverage and sequence similarity thresholds of (</w:t>
      </w:r>
      <w:r w:rsidRPr="006F7265">
        <w:rPr>
          <w:rFonts w:ascii="Times New Roman" w:hAnsi="Times New Roman" w:cs="Times New Roman"/>
          <w:b/>
          <w:sz w:val="24"/>
          <w:szCs w:val="24"/>
        </w:rPr>
        <w:t>a</w:t>
      </w:r>
      <w:r w:rsidRPr="005D050B">
        <w:rPr>
          <w:rFonts w:ascii="Times New Roman" w:hAnsi="Times New Roman" w:cs="Times New Roman"/>
          <w:sz w:val="24"/>
          <w:szCs w:val="24"/>
        </w:rPr>
        <w:t>) ≥70% (high-confidence) or (</w:t>
      </w:r>
      <w:r w:rsidRPr="006F7265">
        <w:rPr>
          <w:rFonts w:ascii="Times New Roman" w:hAnsi="Times New Roman" w:cs="Times New Roman"/>
          <w:b/>
          <w:sz w:val="24"/>
          <w:szCs w:val="24"/>
        </w:rPr>
        <w:t>b</w:t>
      </w:r>
      <w:r w:rsidRPr="005D050B">
        <w:rPr>
          <w:rFonts w:ascii="Times New Roman" w:hAnsi="Times New Roman" w:cs="Times New Roman"/>
          <w:sz w:val="24"/>
          <w:szCs w:val="24"/>
        </w:rPr>
        <w:t xml:space="preserve">) ≥50% (moderate-confidence). Pie charts depict the proportional representation of bacterial families </w:t>
      </w:r>
      <w:r>
        <w:rPr>
          <w:rFonts w:ascii="Times New Roman" w:hAnsi="Times New Roman" w:cs="Times New Roman"/>
          <w:sz w:val="24"/>
          <w:szCs w:val="24"/>
        </w:rPr>
        <w:t>harbouring</w:t>
      </w:r>
      <w:r w:rsidRPr="005D050B">
        <w:rPr>
          <w:rFonts w:ascii="Times New Roman" w:hAnsi="Times New Roman" w:cs="Times New Roman"/>
          <w:sz w:val="24"/>
          <w:szCs w:val="24"/>
        </w:rPr>
        <w:t xml:space="preserve"> putative HicDH enzymes. The total number of identified proteins, species, and families for each confidence category is annotated. </w:t>
      </w:r>
    </w:p>
    <w:p w14:paraId="3DB8F8F3" w14:textId="77777777" w:rsidR="00650B57" w:rsidRPr="005D050B" w:rsidRDefault="00650B57" w:rsidP="00650B57">
      <w:pPr>
        <w:adjustRightInd w:val="0"/>
        <w:snapToGrid w:val="0"/>
        <w:spacing w:line="480" w:lineRule="auto"/>
        <w:rPr>
          <w:rFonts w:ascii="Times New Roman" w:hAnsi="Times New Roman" w:cs="Times New Roman"/>
          <w:sz w:val="24"/>
          <w:szCs w:val="24"/>
        </w:rPr>
      </w:pPr>
    </w:p>
    <w:p w14:paraId="7C336734"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5B0B296E" w14:textId="77777777" w:rsidR="00650B57" w:rsidRPr="005D050B" w:rsidRDefault="00650B57" w:rsidP="00650B57">
      <w:pPr>
        <w:adjustRightInd w:val="0"/>
        <w:snapToGrid w:val="0"/>
        <w:spacing w:line="480" w:lineRule="auto"/>
        <w:ind w:leftChars="-200" w:left="-42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B01726" wp14:editId="7B53E72B">
            <wp:extent cx="6364605" cy="5566410"/>
            <wp:effectExtent l="0" t="0" r="0" b="0"/>
            <wp:docPr id="29" name="图片 2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A screenshot of a computer&#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64605" cy="5566410"/>
                    </a:xfrm>
                    <a:prstGeom prst="rect">
                      <a:avLst/>
                    </a:prstGeom>
                    <a:noFill/>
                  </pic:spPr>
                </pic:pic>
              </a:graphicData>
            </a:graphic>
          </wp:inline>
        </w:drawing>
      </w:r>
    </w:p>
    <w:p w14:paraId="56413E65" w14:textId="77777777" w:rsidR="00650B57" w:rsidRPr="005D050B" w:rsidRDefault="00650B57" w:rsidP="00650B57">
      <w:pPr>
        <w:widowControl/>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9:</w:t>
      </w:r>
      <w:r w:rsidRPr="005D050B">
        <w:rPr>
          <w:rFonts w:ascii="Times New Roman" w:hAnsi="Times New Roman" w:cs="Times New Roman"/>
          <w:b/>
          <w:sz w:val="24"/>
          <w:szCs w:val="24"/>
        </w:rPr>
        <w:t xml:space="preserve"> Leucic acid drives divergent regulation of lipid metabolism genes across adipose depots</w:t>
      </w:r>
      <w:r>
        <w:rPr>
          <w:rFonts w:ascii="Times New Roman" w:hAnsi="Times New Roman" w:cs="Times New Roman"/>
          <w:b/>
          <w:sz w:val="24"/>
          <w:szCs w:val="24"/>
        </w:rPr>
        <w:t>.</w:t>
      </w:r>
    </w:p>
    <w:p w14:paraId="200395F0"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EE3AB6">
        <w:rPr>
          <w:rFonts w:ascii="Times New Roman" w:hAnsi="Times New Roman" w:cs="Times New Roman"/>
          <w:b/>
          <w:sz w:val="24"/>
          <w:szCs w:val="24"/>
        </w:rPr>
        <w:t>a,</w:t>
      </w:r>
      <w:r w:rsidRPr="005D050B">
        <w:rPr>
          <w:rFonts w:ascii="Times New Roman" w:hAnsi="Times New Roman" w:cs="Times New Roman"/>
          <w:sz w:val="24"/>
          <w:szCs w:val="24"/>
        </w:rPr>
        <w:t xml:space="preserve"> Proteomic quantification of triglyceride and fatty acid synthesis proteins in WT gWAT (Leuc vs. ADW; </w:t>
      </w:r>
      <w:r w:rsidRPr="005D050B">
        <w:rPr>
          <w:rFonts w:ascii="Times New Roman" w:hAnsi="Times New Roman" w:cs="Times New Roman"/>
          <w:i/>
          <w:sz w:val="24"/>
          <w:szCs w:val="24"/>
        </w:rPr>
        <w:t>limma-voom</w:t>
      </w:r>
      <w:r w:rsidRPr="005D050B">
        <w:rPr>
          <w:rFonts w:ascii="Times New Roman" w:hAnsi="Times New Roman" w:cs="Times New Roman"/>
          <w:sz w:val="24"/>
          <w:szCs w:val="24"/>
        </w:rPr>
        <w:t xml:space="preserve">). </w:t>
      </w:r>
    </w:p>
    <w:p w14:paraId="449BEB95"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EE3AB6">
        <w:rPr>
          <w:rFonts w:ascii="Times New Roman" w:hAnsi="Times New Roman" w:cs="Times New Roman"/>
          <w:b/>
          <w:sz w:val="24"/>
          <w:szCs w:val="24"/>
        </w:rPr>
        <w:t>b,</w:t>
      </w:r>
      <w:r w:rsidRPr="005D050B">
        <w:rPr>
          <w:rFonts w:ascii="Times New Roman" w:hAnsi="Times New Roman" w:cs="Times New Roman"/>
          <w:sz w:val="24"/>
          <w:szCs w:val="24"/>
        </w:rPr>
        <w:t xml:space="preserve"> Leucic acid-induced transcriptomic changes in gWAT. Upper: Venn diagram of differentially expressed genes (DEGs; |log</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 xml:space="preserve">(fold change)| &gt; 0.5, </w:t>
      </w:r>
      <w:r w:rsidRPr="005D050B">
        <w:rPr>
          <w:rFonts w:ascii="Times New Roman" w:hAnsi="Times New Roman" w:cs="Times New Roman"/>
          <w:i/>
          <w:sz w:val="24"/>
          <w:szCs w:val="24"/>
        </w:rPr>
        <w:t>P</w:t>
      </w:r>
      <w:r w:rsidRPr="005D050B">
        <w:rPr>
          <w:rFonts w:ascii="Times New Roman" w:hAnsi="Times New Roman" w:cs="Times New Roman"/>
          <w:sz w:val="24"/>
          <w:szCs w:val="24"/>
        </w:rPr>
        <w:t xml:space="preserve"> &lt; 0.05) in WT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4 mice)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mice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3 mice). Lower: enrichment analysis (ShinyGO) of downregulated pathways. </w:t>
      </w:r>
    </w:p>
    <w:p w14:paraId="2CA99357"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EE3AB6">
        <w:rPr>
          <w:rFonts w:ascii="Times New Roman" w:hAnsi="Times New Roman" w:cs="Times New Roman"/>
          <w:b/>
          <w:sz w:val="24"/>
          <w:szCs w:val="24"/>
        </w:rPr>
        <w:t>c,</w:t>
      </w:r>
      <w:r w:rsidRPr="005D050B">
        <w:rPr>
          <w:rFonts w:ascii="Times New Roman" w:hAnsi="Times New Roman" w:cs="Times New Roman"/>
          <w:sz w:val="24"/>
          <w:szCs w:val="24"/>
        </w:rPr>
        <w:t xml:space="preserve"> Heatmap of mRNA abundance for lipid synthesis enzymes in gWAT of WT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4 </w:t>
      </w:r>
      <w:r w:rsidRPr="005D050B">
        <w:rPr>
          <w:rFonts w:ascii="Times New Roman" w:hAnsi="Times New Roman" w:cs="Times New Roman"/>
          <w:sz w:val="24"/>
          <w:szCs w:val="24"/>
        </w:rPr>
        <w:lastRenderedPageBreak/>
        <w:t xml:space="preserve">per group)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3 per group) mice after 2- or 4-week treatment. </w:t>
      </w:r>
    </w:p>
    <w:p w14:paraId="00862CC7"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EE3AB6">
        <w:rPr>
          <w:rFonts w:ascii="Times New Roman" w:hAnsi="Times New Roman" w:cs="Times New Roman"/>
          <w:b/>
          <w:sz w:val="24"/>
          <w:szCs w:val="24"/>
        </w:rPr>
        <w:t>d,</w:t>
      </w:r>
      <w:r w:rsidRPr="005D050B">
        <w:rPr>
          <w:rFonts w:ascii="Times New Roman" w:hAnsi="Times New Roman" w:cs="Times New Roman"/>
          <w:sz w:val="24"/>
          <w:szCs w:val="24"/>
        </w:rPr>
        <w:t xml:space="preserve"> mRNA abundance of lipid synthesis enzymes in WT and</w:t>
      </w:r>
      <w:r w:rsidRPr="005D050B">
        <w:rPr>
          <w:rFonts w:ascii="Times New Roman" w:hAnsi="Times New Roman" w:cs="Times New Roman"/>
          <w:i/>
          <w:iCs/>
          <w:sz w:val="24"/>
          <w:szCs w:val="24"/>
        </w:rPr>
        <w:t xml:space="preserve"> </w:t>
      </w:r>
      <w:bookmarkStart w:id="14" w:name="OLE_LINK40"/>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w:t>
      </w:r>
      <w:bookmarkEnd w:id="14"/>
      <w:r w:rsidRPr="005D050B">
        <w:rPr>
          <w:rFonts w:ascii="Times New Roman" w:hAnsi="Times New Roman" w:cs="Times New Roman"/>
          <w:sz w:val="24"/>
          <w:szCs w:val="24"/>
        </w:rPr>
        <w:t>gWAT (</w:t>
      </w:r>
      <w:r w:rsidRPr="005D050B">
        <w:rPr>
          <w:rFonts w:ascii="Times New Roman" w:hAnsi="Times New Roman" w:cs="Times New Roman"/>
          <w:i/>
          <w:sz w:val="24"/>
          <w:szCs w:val="24"/>
        </w:rPr>
        <w:t>limma-voom</w:t>
      </w:r>
      <w:r w:rsidRPr="005D050B">
        <w:rPr>
          <w:rFonts w:ascii="Times New Roman" w:hAnsi="Times New Roman" w:cs="Times New Roman"/>
          <w:sz w:val="24"/>
          <w:szCs w:val="24"/>
        </w:rPr>
        <w:t xml:space="preserve">). </w:t>
      </w:r>
    </w:p>
    <w:p w14:paraId="36707C4D"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EE3AB6">
        <w:rPr>
          <w:rFonts w:ascii="Times New Roman" w:hAnsi="Times New Roman" w:cs="Times New Roman"/>
          <w:b/>
          <w:sz w:val="24"/>
          <w:szCs w:val="24"/>
        </w:rPr>
        <w:t>e,</w:t>
      </w:r>
      <w:r w:rsidRPr="005D050B">
        <w:rPr>
          <w:rFonts w:ascii="Times New Roman" w:hAnsi="Times New Roman" w:cs="Times New Roman"/>
          <w:sz w:val="24"/>
          <w:szCs w:val="24"/>
        </w:rPr>
        <w:t xml:space="preserve"> Leucic acid-induced transcriptomic changes in iWAT. Upper: Venn diagram of DEGs (thresholds as in </w:t>
      </w:r>
      <w:r w:rsidRPr="00EE3AB6">
        <w:rPr>
          <w:rFonts w:ascii="Times New Roman" w:hAnsi="Times New Roman" w:cs="Times New Roman"/>
          <w:b/>
          <w:sz w:val="24"/>
          <w:szCs w:val="24"/>
        </w:rPr>
        <w:t>b</w:t>
      </w:r>
      <w:r w:rsidRPr="005D050B">
        <w:rPr>
          <w:rFonts w:ascii="Times New Roman" w:hAnsi="Times New Roman" w:cs="Times New Roman"/>
          <w:sz w:val="24"/>
          <w:szCs w:val="24"/>
        </w:rPr>
        <w:t xml:space="preserve">) in WT and </w:t>
      </w:r>
      <w:r w:rsidRPr="005D050B">
        <w:rPr>
          <w:rFonts w:ascii="Times New Roman" w:hAnsi="Times New Roman" w:cs="Times New Roman"/>
          <w:i/>
          <w:iCs/>
          <w:sz w:val="24"/>
          <w:szCs w:val="24"/>
        </w:rPr>
        <w:t>Aida</w:t>
      </w:r>
      <w:r w:rsidRPr="005D050B">
        <w:rPr>
          <w:rFonts w:ascii="Times New Roman" w:hAnsi="Times New Roman" w:cs="Times New Roman"/>
          <w:i/>
          <w:iCs/>
          <w:sz w:val="24"/>
          <w:szCs w:val="24"/>
          <w:vertAlign w:val="superscript"/>
        </w:rPr>
        <w:t>-/-</w:t>
      </w:r>
      <w:r w:rsidRPr="005D050B">
        <w:rPr>
          <w:rFonts w:ascii="Times New Roman" w:hAnsi="Times New Roman" w:cs="Times New Roman"/>
          <w:sz w:val="24"/>
          <w:szCs w:val="24"/>
        </w:rPr>
        <w:t xml:space="preserve"> iWAT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3 mice per group). Lower: enrichment analysis (ShinyGO) of upregulated pathways.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r w:rsidRPr="005D050B">
        <w:rPr>
          <w:rFonts w:ascii="Times New Roman" w:hAnsi="Times New Roman" w:cs="Times New Roman"/>
          <w:sz w:val="24"/>
          <w:szCs w:val="24"/>
        </w:rPr>
        <w:br w:type="page"/>
      </w:r>
    </w:p>
    <w:p w14:paraId="145D5DAF" w14:textId="77777777" w:rsidR="00650B57" w:rsidRPr="005D050B" w:rsidRDefault="00650B57" w:rsidP="00650B57">
      <w:pPr>
        <w:widowControl/>
        <w:adjustRightInd w:val="0"/>
        <w:snapToGrid w:val="0"/>
        <w:spacing w:line="480" w:lineRule="auto"/>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147DC85" wp14:editId="1542A477">
            <wp:extent cx="5907405" cy="5365115"/>
            <wp:effectExtent l="0" t="0" r="0" b="0"/>
            <wp:docPr id="30" name="图片 30"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A screenshot of a computer screen&#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7405" cy="5365115"/>
                    </a:xfrm>
                    <a:prstGeom prst="rect">
                      <a:avLst/>
                    </a:prstGeom>
                    <a:noFill/>
                  </pic:spPr>
                </pic:pic>
              </a:graphicData>
            </a:graphic>
          </wp:inline>
        </w:drawing>
      </w:r>
    </w:p>
    <w:p w14:paraId="5CDFBAFE" w14:textId="77777777" w:rsidR="00650B57" w:rsidRPr="005D050B" w:rsidRDefault="00650B57" w:rsidP="00650B57">
      <w:pPr>
        <w:widowControl/>
        <w:adjustRightInd w:val="0"/>
        <w:snapToGrid w:val="0"/>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10:</w:t>
      </w:r>
      <w:r w:rsidRPr="005D050B">
        <w:rPr>
          <w:rFonts w:ascii="Times New Roman" w:hAnsi="Times New Roman" w:cs="Times New Roman"/>
          <w:b/>
          <w:sz w:val="24"/>
          <w:szCs w:val="24"/>
        </w:rPr>
        <w:t xml:space="preserve"> Improved GC-MS quantification of leucic acid and </w:t>
      </w:r>
      <w:r w:rsidRPr="005D050B">
        <w:rPr>
          <w:rFonts w:ascii="Times New Roman" w:hAnsi="Times New Roman" w:cs="Times New Roman"/>
          <w:b/>
          <w:i/>
          <w:sz w:val="24"/>
          <w:szCs w:val="24"/>
        </w:rPr>
        <w:t>in vivo</w:t>
      </w:r>
      <w:r w:rsidRPr="005D050B">
        <w:rPr>
          <w:rFonts w:ascii="Times New Roman" w:hAnsi="Times New Roman" w:cs="Times New Roman"/>
          <w:b/>
          <w:sz w:val="24"/>
          <w:szCs w:val="24"/>
        </w:rPr>
        <w:t xml:space="preserve"> levels in HFD-fed mice</w:t>
      </w:r>
      <w:r>
        <w:rPr>
          <w:rFonts w:ascii="Times New Roman" w:hAnsi="Times New Roman" w:cs="Times New Roman"/>
          <w:b/>
          <w:sz w:val="24"/>
          <w:szCs w:val="24"/>
        </w:rPr>
        <w:t>.</w:t>
      </w:r>
    </w:p>
    <w:p w14:paraId="0E1599DD" w14:textId="77777777" w:rsidR="00650B57" w:rsidRPr="005D050B" w:rsidRDefault="00650B57" w:rsidP="00650B57">
      <w:pPr>
        <w:adjustRightInd w:val="0"/>
        <w:snapToGrid w:val="0"/>
        <w:spacing w:line="480" w:lineRule="auto"/>
        <w:rPr>
          <w:rFonts w:ascii="Times New Roman" w:hAnsi="Times New Roman" w:cs="Times New Roman"/>
          <w:sz w:val="24"/>
          <w:szCs w:val="24"/>
        </w:rPr>
      </w:pPr>
      <w:bookmarkStart w:id="15" w:name="OLE_LINK51"/>
      <w:r w:rsidRPr="00EE3AB6">
        <w:rPr>
          <w:rFonts w:ascii="Times New Roman" w:hAnsi="Times New Roman" w:cs="Times New Roman"/>
          <w:b/>
          <w:sz w:val="24"/>
          <w:szCs w:val="24"/>
        </w:rPr>
        <w:t>a-f,</w:t>
      </w:r>
      <w:r w:rsidRPr="005D050B">
        <w:rPr>
          <w:rFonts w:ascii="Times New Roman" w:hAnsi="Times New Roman" w:cs="Times New Roman"/>
          <w:sz w:val="24"/>
          <w:szCs w:val="24"/>
        </w:rPr>
        <w:t xml:space="preserve"> Comparison of GC column performance for leucic acid detection via </w:t>
      </w:r>
      <w:r w:rsidRPr="005D050B">
        <w:rPr>
          <w:rFonts w:ascii="Times New Roman" w:hAnsi="Times New Roman" w:cs="Times New Roman" w:hint="eastAsia"/>
          <w:sz w:val="24"/>
          <w:szCs w:val="24"/>
        </w:rPr>
        <w:t>extracted ion chromatograms (</w:t>
      </w:r>
      <w:r w:rsidRPr="005D050B">
        <w:rPr>
          <w:rFonts w:ascii="Times New Roman" w:hAnsi="Times New Roman" w:cs="Times New Roman"/>
          <w:sz w:val="24"/>
          <w:szCs w:val="24"/>
        </w:rPr>
        <w:t>EIC</w:t>
      </w:r>
      <w:r w:rsidRPr="005D050B">
        <w:rPr>
          <w:rFonts w:ascii="Times New Roman" w:hAnsi="Times New Roman" w:cs="Times New Roman" w:hint="eastAsia"/>
          <w:sz w:val="24"/>
          <w:szCs w:val="24"/>
        </w:rPr>
        <w:t>)</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 xml:space="preserve">for </w:t>
      </w:r>
      <w:r w:rsidRPr="005D050B">
        <w:rPr>
          <w:rFonts w:ascii="Times New Roman" w:hAnsi="Times New Roman" w:cs="Times New Roman" w:hint="eastAsia"/>
          <w:i/>
          <w:iCs/>
          <w:sz w:val="24"/>
          <w:szCs w:val="24"/>
        </w:rPr>
        <w:t xml:space="preserve">m/z </w:t>
      </w:r>
      <w:r w:rsidRPr="005D050B">
        <w:rPr>
          <w:rFonts w:ascii="Times New Roman" w:hAnsi="Times New Roman" w:cs="Times New Roman" w:hint="eastAsia"/>
          <w:sz w:val="24"/>
          <w:szCs w:val="24"/>
        </w:rPr>
        <w:t>15</w:t>
      </w:r>
      <w:r w:rsidRPr="005D050B">
        <w:rPr>
          <w:rFonts w:ascii="Times New Roman" w:hAnsi="Times New Roman" w:cs="Times New Roman"/>
          <w:sz w:val="24"/>
          <w:szCs w:val="24"/>
        </w:rPr>
        <w:t xml:space="preserve">9 ± </w:t>
      </w:r>
      <w:r w:rsidRPr="005D050B">
        <w:rPr>
          <w:rFonts w:ascii="Times New Roman" w:hAnsi="Times New Roman" w:cs="Times New Roman" w:hint="eastAsia"/>
          <w:sz w:val="24"/>
          <w:szCs w:val="24"/>
        </w:rPr>
        <w:t>0.5</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 xml:space="preserve">Chromatograms show the </w:t>
      </w:r>
      <w:r>
        <w:rPr>
          <w:rFonts w:ascii="Times New Roman" w:hAnsi="Times New Roman" w:cs="Times New Roman"/>
          <w:sz w:val="24"/>
          <w:szCs w:val="24"/>
        </w:rPr>
        <w:t>TMS-derivatised</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leucic acid standard, serum and iWAT</w:t>
      </w:r>
      <w:r w:rsidRPr="005D050B">
        <w:rPr>
          <w:rFonts w:ascii="Times New Roman" w:hAnsi="Times New Roman" w:cs="Times New Roman"/>
          <w:sz w:val="24"/>
          <w:szCs w:val="24"/>
        </w:rPr>
        <w:t xml:space="preserve"> extracts from NCD-fed mice administered 50 mM leucic acid </w:t>
      </w:r>
      <w:r w:rsidRPr="005D050B">
        <w:rPr>
          <w:rFonts w:ascii="Times New Roman" w:hAnsi="Times New Roman" w:cs="Times New Roman" w:hint="eastAsia"/>
          <w:sz w:val="24"/>
          <w:szCs w:val="24"/>
        </w:rPr>
        <w:t xml:space="preserve">in drinking water </w:t>
      </w:r>
      <w:r w:rsidRPr="005D050B">
        <w:rPr>
          <w:rFonts w:ascii="Times New Roman" w:hAnsi="Times New Roman" w:cs="Times New Roman"/>
          <w:sz w:val="24"/>
          <w:szCs w:val="24"/>
        </w:rPr>
        <w:t>for 3 days</w:t>
      </w:r>
      <w:r w:rsidRPr="005D050B">
        <w:rPr>
          <w:rFonts w:ascii="Times New Roman" w:hAnsi="Times New Roman" w:cs="Times New Roman" w:hint="eastAsia"/>
          <w:sz w:val="24"/>
          <w:szCs w:val="24"/>
        </w:rPr>
        <w:t>. Comparison of a</w:t>
      </w:r>
      <w:r w:rsidRPr="005D050B">
        <w:rPr>
          <w:rFonts w:ascii="Times New Roman" w:hAnsi="Times New Roman" w:cs="Times New Roman"/>
          <w:sz w:val="24"/>
          <w:szCs w:val="24"/>
        </w:rPr>
        <w:t xml:space="preserve"> conventional non-polar </w:t>
      </w:r>
      <w:r w:rsidRPr="005D050B">
        <w:rPr>
          <w:rFonts w:ascii="Times New Roman" w:hAnsi="Times New Roman" w:cs="Times New Roman" w:hint="eastAsia"/>
          <w:sz w:val="24"/>
          <w:szCs w:val="24"/>
        </w:rPr>
        <w:t xml:space="preserve">column </w:t>
      </w:r>
      <w:r w:rsidRPr="005D050B">
        <w:rPr>
          <w:rFonts w:ascii="Times New Roman" w:hAnsi="Times New Roman" w:cs="Times New Roman"/>
          <w:sz w:val="24"/>
          <w:szCs w:val="24"/>
        </w:rPr>
        <w:t>(HP-5ms) (</w:t>
      </w:r>
      <w:r w:rsidRPr="004F3DE6">
        <w:rPr>
          <w:rFonts w:ascii="Times New Roman" w:hAnsi="Times New Roman" w:cs="Times New Roman"/>
          <w:b/>
          <w:sz w:val="24"/>
          <w:szCs w:val="24"/>
        </w:rPr>
        <w:t>a-c</w:t>
      </w:r>
      <w:r w:rsidRPr="005D050B">
        <w:rPr>
          <w:rFonts w:ascii="Times New Roman" w:hAnsi="Times New Roman" w:cs="Times New Roman"/>
          <w:sz w:val="24"/>
          <w:szCs w:val="24"/>
        </w:rPr>
        <w:t xml:space="preserve">) and low/mid-polar </w:t>
      </w:r>
      <w:r w:rsidRPr="005D050B">
        <w:rPr>
          <w:rFonts w:ascii="Times New Roman" w:hAnsi="Times New Roman" w:cs="Times New Roman" w:hint="eastAsia"/>
          <w:sz w:val="24"/>
          <w:szCs w:val="24"/>
        </w:rPr>
        <w:t xml:space="preserve">column </w:t>
      </w:r>
      <w:r w:rsidRPr="005D050B">
        <w:rPr>
          <w:rFonts w:ascii="Times New Roman" w:hAnsi="Times New Roman" w:cs="Times New Roman"/>
          <w:sz w:val="24"/>
          <w:szCs w:val="24"/>
        </w:rPr>
        <w:t>(DB-1071)</w:t>
      </w:r>
      <w:r w:rsidRPr="005D050B">
        <w:rPr>
          <w:rFonts w:ascii="Times New Roman" w:hAnsi="Times New Roman" w:cs="Times New Roman" w:hint="eastAsia"/>
          <w:sz w:val="24"/>
          <w:szCs w:val="24"/>
        </w:rPr>
        <w:t xml:space="preserve"> </w:t>
      </w:r>
      <w:r w:rsidRPr="005D050B">
        <w:rPr>
          <w:rFonts w:ascii="Times New Roman" w:hAnsi="Times New Roman" w:cs="Times New Roman"/>
          <w:sz w:val="24"/>
          <w:szCs w:val="24"/>
        </w:rPr>
        <w:t>(</w:t>
      </w:r>
      <w:r w:rsidRPr="004F3DE6">
        <w:rPr>
          <w:rFonts w:ascii="Times New Roman" w:hAnsi="Times New Roman" w:cs="Times New Roman"/>
          <w:b/>
          <w:sz w:val="24"/>
          <w:szCs w:val="24"/>
        </w:rPr>
        <w:t>d-f</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 xml:space="preserve">reveals </w:t>
      </w:r>
      <w:r w:rsidRPr="005D050B">
        <w:rPr>
          <w:rFonts w:ascii="Times New Roman" w:hAnsi="Times New Roman" w:cs="Times New Roman"/>
          <w:sz w:val="24"/>
          <w:szCs w:val="24"/>
        </w:rPr>
        <w:t xml:space="preserve">co-elution of </w:t>
      </w:r>
      <w:r w:rsidRPr="005D050B">
        <w:rPr>
          <w:rFonts w:ascii="Times New Roman" w:hAnsi="Times New Roman" w:cs="Times New Roman" w:hint="eastAsia"/>
          <w:sz w:val="24"/>
          <w:szCs w:val="24"/>
        </w:rPr>
        <w:t xml:space="preserve">TMS derivatives of </w:t>
      </w:r>
      <w:r w:rsidRPr="005D050B">
        <w:rPr>
          <w:rFonts w:ascii="Times New Roman" w:hAnsi="Times New Roman" w:cs="Times New Roman"/>
          <w:sz w:val="24"/>
          <w:szCs w:val="24"/>
        </w:rPr>
        <w:t>leucic acid</w:t>
      </w:r>
      <w:r w:rsidRPr="005D050B">
        <w:rPr>
          <w:rFonts w:ascii="Times New Roman" w:hAnsi="Times New Roman" w:cs="Times New Roman" w:hint="eastAsia"/>
          <w:sz w:val="24"/>
          <w:szCs w:val="24"/>
        </w:rPr>
        <w:t>,</w:t>
      </w:r>
      <w:r w:rsidRPr="005D050B">
        <w:rPr>
          <w:rFonts w:ascii="Times New Roman" w:hAnsi="Times New Roman" w:cs="Times New Roman"/>
          <w:sz w:val="24"/>
          <w:szCs w:val="24"/>
        </w:rPr>
        <w:t xml:space="preserve"> urea</w:t>
      </w:r>
      <w:r w:rsidRPr="005D050B">
        <w:rPr>
          <w:rFonts w:ascii="Times New Roman" w:hAnsi="Times New Roman" w:cs="Times New Roman" w:hint="eastAsia"/>
          <w:sz w:val="24"/>
          <w:szCs w:val="24"/>
        </w:rPr>
        <w:t>,</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 xml:space="preserve">and the </w:t>
      </w:r>
      <w:r>
        <w:rPr>
          <w:rFonts w:ascii="Times New Roman" w:hAnsi="Times New Roman" w:cs="Times New Roman"/>
          <w:sz w:val="24"/>
          <w:szCs w:val="24"/>
        </w:rPr>
        <w:t>derivatisation</w:t>
      </w:r>
      <w:r w:rsidRPr="005D050B">
        <w:rPr>
          <w:rFonts w:ascii="Times New Roman" w:hAnsi="Times New Roman" w:cs="Times New Roman" w:hint="eastAsia"/>
          <w:sz w:val="24"/>
          <w:szCs w:val="24"/>
        </w:rPr>
        <w:t xml:space="preserve"> agent 1,4-di-</w:t>
      </w:r>
      <w:r w:rsidRPr="005D050B">
        <w:rPr>
          <w:rFonts w:ascii="Times New Roman" w:hAnsi="Times New Roman" w:cs="Times New Roman" w:hint="eastAsia"/>
          <w:i/>
          <w:iCs/>
          <w:sz w:val="24"/>
          <w:szCs w:val="24"/>
        </w:rPr>
        <w:t>tert</w:t>
      </w:r>
      <w:r w:rsidRPr="005D050B">
        <w:rPr>
          <w:rFonts w:ascii="Times New Roman" w:hAnsi="Times New Roman" w:cs="Times New Roman" w:hint="eastAsia"/>
          <w:sz w:val="24"/>
          <w:szCs w:val="24"/>
        </w:rPr>
        <w:t xml:space="preserve">-butylbenzene (DTBB) </w:t>
      </w:r>
      <w:r w:rsidRPr="005D050B">
        <w:rPr>
          <w:rFonts w:ascii="Times New Roman" w:hAnsi="Times New Roman" w:cs="Times New Roman"/>
          <w:sz w:val="24"/>
          <w:szCs w:val="24"/>
        </w:rPr>
        <w:t>on</w:t>
      </w:r>
      <w:r w:rsidRPr="005D050B">
        <w:rPr>
          <w:rFonts w:ascii="Times New Roman" w:hAnsi="Times New Roman" w:cs="Times New Roman" w:hint="eastAsia"/>
          <w:sz w:val="24"/>
          <w:szCs w:val="24"/>
        </w:rPr>
        <w:t xml:space="preserve"> the</w:t>
      </w:r>
      <w:r w:rsidRPr="005D050B">
        <w:rPr>
          <w:rFonts w:ascii="Times New Roman" w:hAnsi="Times New Roman" w:cs="Times New Roman"/>
          <w:sz w:val="24"/>
          <w:szCs w:val="24"/>
        </w:rPr>
        <w:t xml:space="preserve"> HP-5ms </w:t>
      </w:r>
      <w:r w:rsidRPr="005D050B">
        <w:rPr>
          <w:rFonts w:ascii="Times New Roman" w:hAnsi="Times New Roman" w:cs="Times New Roman" w:hint="eastAsia"/>
          <w:sz w:val="24"/>
          <w:szCs w:val="24"/>
        </w:rPr>
        <w:t xml:space="preserve">column as </w:t>
      </w:r>
      <w:r w:rsidRPr="005D050B">
        <w:rPr>
          <w:rFonts w:ascii="Times New Roman" w:hAnsi="Times New Roman" w:cs="Times New Roman"/>
          <w:sz w:val="24"/>
          <w:szCs w:val="24"/>
        </w:rPr>
        <w:t>merged peaks</w:t>
      </w:r>
      <w:r w:rsidRPr="005D050B">
        <w:rPr>
          <w:rFonts w:ascii="Times New Roman" w:hAnsi="Times New Roman" w:cs="Times New Roman" w:hint="eastAsia"/>
          <w:sz w:val="24"/>
          <w:szCs w:val="24"/>
        </w:rPr>
        <w:t xml:space="preserve"> in serum (10.2-10.5 </w:t>
      </w:r>
      <w:r w:rsidRPr="005D050B">
        <w:rPr>
          <w:rFonts w:ascii="Times New Roman" w:hAnsi="Times New Roman" w:cs="Times New Roman" w:hint="eastAsia"/>
          <w:sz w:val="24"/>
          <w:szCs w:val="24"/>
        </w:rPr>
        <w:lastRenderedPageBreak/>
        <w:t>min) and iWAT (10.2-10.4 min</w:t>
      </w:r>
      <w:r w:rsidRPr="005D050B">
        <w:rPr>
          <w:rFonts w:ascii="Times New Roman" w:hAnsi="Times New Roman" w:cs="Times New Roman"/>
          <w:sz w:val="24"/>
          <w:szCs w:val="24"/>
        </w:rPr>
        <w:t>)</w:t>
      </w:r>
      <w:r w:rsidRPr="005D050B">
        <w:rPr>
          <w:rFonts w:ascii="Times New Roman" w:hAnsi="Times New Roman" w:cs="Times New Roman" w:hint="eastAsia"/>
          <w:sz w:val="24"/>
          <w:szCs w:val="24"/>
        </w:rPr>
        <w:t xml:space="preserve">. Baseline </w:t>
      </w:r>
      <w:r w:rsidRPr="005D050B">
        <w:rPr>
          <w:rFonts w:ascii="Times New Roman" w:hAnsi="Times New Roman" w:cs="Times New Roman"/>
          <w:sz w:val="24"/>
          <w:szCs w:val="24"/>
        </w:rPr>
        <w:t>separation</w:t>
      </w:r>
      <w:r w:rsidRPr="005D050B">
        <w:rPr>
          <w:rFonts w:ascii="Times New Roman" w:hAnsi="Times New Roman" w:cs="Times New Roman" w:hint="eastAsia"/>
          <w:sz w:val="24"/>
          <w:szCs w:val="24"/>
        </w:rPr>
        <w:t xml:space="preserve"> of leucic acid (10.0-10.2 min) was achieved using</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 xml:space="preserve">the </w:t>
      </w:r>
      <w:r w:rsidRPr="005D050B">
        <w:rPr>
          <w:rFonts w:ascii="Times New Roman" w:hAnsi="Times New Roman" w:cs="Times New Roman"/>
          <w:sz w:val="24"/>
          <w:szCs w:val="24"/>
        </w:rPr>
        <w:t>DB-1071</w:t>
      </w:r>
      <w:r w:rsidRPr="005D050B">
        <w:rPr>
          <w:rFonts w:ascii="Times New Roman" w:hAnsi="Times New Roman" w:cs="Times New Roman" w:hint="eastAsia"/>
          <w:sz w:val="24"/>
          <w:szCs w:val="24"/>
        </w:rPr>
        <w:t xml:space="preserve"> column</w:t>
      </w:r>
      <w:r w:rsidRPr="005D050B">
        <w:rPr>
          <w:rFonts w:ascii="Times New Roman" w:hAnsi="Times New Roman" w:cs="Times New Roman"/>
          <w:sz w:val="24"/>
          <w:szCs w:val="24"/>
        </w:rPr>
        <w:t xml:space="preserve">. </w:t>
      </w:r>
    </w:p>
    <w:bookmarkEnd w:id="15"/>
    <w:p w14:paraId="6DBC62DD"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4F3DE6">
        <w:rPr>
          <w:rFonts w:ascii="Times New Roman" w:hAnsi="Times New Roman" w:cs="Times New Roman"/>
          <w:b/>
          <w:sz w:val="24"/>
          <w:szCs w:val="24"/>
        </w:rPr>
        <w:t>g,</w:t>
      </w:r>
      <w:r w:rsidRPr="005D050B">
        <w:rPr>
          <w:rFonts w:ascii="Times New Roman" w:hAnsi="Times New Roman" w:cs="Times New Roman"/>
          <w:sz w:val="24"/>
          <w:szCs w:val="24"/>
        </w:rPr>
        <w:t xml:space="preserve"> </w:t>
      </w:r>
      <w:r w:rsidRPr="005D050B">
        <w:rPr>
          <w:rFonts w:ascii="Times New Roman" w:hAnsi="Times New Roman" w:cs="Times New Roman" w:hint="eastAsia"/>
          <w:sz w:val="24"/>
          <w:szCs w:val="24"/>
        </w:rPr>
        <w:t>C</w:t>
      </w:r>
      <w:r w:rsidRPr="005D050B">
        <w:rPr>
          <w:rFonts w:ascii="Times New Roman" w:hAnsi="Times New Roman" w:cs="Times New Roman"/>
          <w:sz w:val="24"/>
          <w:szCs w:val="24"/>
        </w:rPr>
        <w:t xml:space="preserve">oncentration of leucic acid in HFD-fed mice. Mice were treated with 50 mM leucic acid or ADW for 6 weeks after 3 weeks of HFD. Leucic acid concentrations in </w:t>
      </w:r>
      <w:r w:rsidRPr="005D050B">
        <w:rPr>
          <w:rFonts w:ascii="Times New Roman" w:hAnsi="Times New Roman" w:cs="Times New Roman" w:hint="eastAsia"/>
          <w:sz w:val="24"/>
          <w:szCs w:val="24"/>
        </w:rPr>
        <w:t xml:space="preserve">serum, </w:t>
      </w:r>
      <w:r w:rsidRPr="005D050B">
        <w:rPr>
          <w:rFonts w:ascii="Times New Roman" w:hAnsi="Times New Roman" w:cs="Times New Roman"/>
          <w:sz w:val="24"/>
          <w:szCs w:val="24"/>
        </w:rPr>
        <w:t xml:space="preserve">iWAT and gWAT were quantified by GC-MS. Data represent individual values with median ± 95% CI; </w:t>
      </w:r>
      <w:r w:rsidRPr="005D050B">
        <w:rPr>
          <w:rFonts w:ascii="Times New Roman" w:hAnsi="Times New Roman" w:cs="Times New Roman"/>
          <w:i/>
          <w:iCs/>
          <w:sz w:val="24"/>
          <w:szCs w:val="24"/>
        </w:rPr>
        <w:t>n</w:t>
      </w:r>
      <w:r w:rsidRPr="005D050B">
        <w:rPr>
          <w:rFonts w:ascii="Times New Roman" w:hAnsi="Times New Roman" w:cs="Times New Roman"/>
          <w:sz w:val="24"/>
          <w:szCs w:val="24"/>
        </w:rPr>
        <w:t xml:space="preserve"> = 5 mice per group. Statistical significance was determined by Kruskal-Wallis test followed by Dunn’s test.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p>
    <w:p w14:paraId="6F299F3C"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2ACEB0D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BB0250" wp14:editId="38AC362F">
            <wp:extent cx="5813166" cy="2790825"/>
            <wp:effectExtent l="0" t="0" r="0" b="0"/>
            <wp:docPr id="31" name="图片 31" descr="A screenshot of a video gam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A screenshot of a video game&#10;&#10;AI-generated content may be incorrec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25510" cy="2796751"/>
                    </a:xfrm>
                    <a:prstGeom prst="rect">
                      <a:avLst/>
                    </a:prstGeom>
                    <a:noFill/>
                  </pic:spPr>
                </pic:pic>
              </a:graphicData>
            </a:graphic>
          </wp:inline>
        </w:drawing>
      </w:r>
    </w:p>
    <w:p w14:paraId="56620AAE" w14:textId="77777777" w:rsidR="00650B57" w:rsidRPr="005D050B" w:rsidRDefault="00650B57" w:rsidP="00650B57">
      <w:pPr>
        <w:widowControl/>
        <w:adjustRightInd w:val="0"/>
        <w:snapToGrid w:val="0"/>
        <w:spacing w:line="480" w:lineRule="auto"/>
        <w:jc w:val="left"/>
        <w:rPr>
          <w:rFonts w:ascii="Times New Roman" w:hAnsi="Times New Roman" w:cs="Times New Roman"/>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hint="eastAsia"/>
          <w:b/>
          <w:sz w:val="24"/>
          <w:szCs w:val="24"/>
        </w:rPr>
        <w:t>1</w:t>
      </w:r>
      <w:r>
        <w:rPr>
          <w:rFonts w:ascii="Times New Roman" w:hAnsi="Times New Roman" w:cs="Times New Roman"/>
          <w:b/>
          <w:sz w:val="24"/>
          <w:szCs w:val="24"/>
        </w:rPr>
        <w:t>1:</w:t>
      </w:r>
      <w:r w:rsidRPr="005D050B">
        <w:rPr>
          <w:rFonts w:ascii="Times New Roman" w:hAnsi="Times New Roman" w:cs="Times New Roman"/>
          <w:b/>
          <w:sz w:val="24"/>
          <w:szCs w:val="24"/>
        </w:rPr>
        <w:t xml:space="preserve"> Leucic acid enantiomers differentially regulate fatty acid catabolism</w:t>
      </w:r>
      <w:r>
        <w:rPr>
          <w:rFonts w:ascii="Times New Roman" w:hAnsi="Times New Roman" w:cs="Times New Roman"/>
          <w:b/>
          <w:sz w:val="24"/>
          <w:szCs w:val="24"/>
        </w:rPr>
        <w:t>.</w:t>
      </w:r>
    </w:p>
    <w:p w14:paraId="0A409D5D"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4F3DE6">
        <w:rPr>
          <w:rFonts w:ascii="Times New Roman" w:hAnsi="Times New Roman" w:cs="Times New Roman"/>
          <w:b/>
          <w:sz w:val="24"/>
          <w:szCs w:val="24"/>
        </w:rPr>
        <w:t>a-d,</w:t>
      </w:r>
      <w:r w:rsidRPr="005D050B">
        <w:rPr>
          <w:rFonts w:ascii="Times New Roman" w:hAnsi="Times New Roman" w:cs="Times New Roman"/>
          <w:sz w:val="24"/>
          <w:szCs w:val="24"/>
        </w:rPr>
        <w:t xml:space="preserve"> Isotopic enrichment in oleate-loaded MEFs. Cells pre-treated with 50 μM D- or L-leucic acid or NaCl for 24 h, then 250 μM [U-</w:t>
      </w:r>
      <w:r w:rsidRPr="005D050B">
        <w:rPr>
          <w:rFonts w:ascii="Times New Roman" w:hAnsi="Times New Roman" w:cs="Times New Roman"/>
          <w:sz w:val="24"/>
          <w:szCs w:val="24"/>
          <w:vertAlign w:val="superscript"/>
        </w:rPr>
        <w:t>13</w:t>
      </w:r>
      <w:r w:rsidRPr="005D050B">
        <w:rPr>
          <w:rFonts w:ascii="Times New Roman" w:hAnsi="Times New Roman" w:cs="Times New Roman"/>
          <w:sz w:val="24"/>
          <w:szCs w:val="24"/>
        </w:rPr>
        <w:t xml:space="preserve">C]oleic acid for 1 h. </w:t>
      </w:r>
      <w:r w:rsidRPr="005D050B">
        <w:rPr>
          <w:rFonts w:ascii="Times New Roman" w:hAnsi="Times New Roman" w:cs="Times New Roman"/>
          <w:i/>
          <w:sz w:val="24"/>
          <w:szCs w:val="24"/>
        </w:rPr>
        <w:t>Aida</w:t>
      </w:r>
      <w:r w:rsidRPr="005D050B">
        <w:rPr>
          <w:rFonts w:ascii="Times New Roman" w:hAnsi="Times New Roman" w:cs="Times New Roman"/>
          <w:i/>
          <w:sz w:val="24"/>
          <w:szCs w:val="24"/>
          <w:vertAlign w:val="superscript"/>
        </w:rPr>
        <w:t>-/-</w:t>
      </w:r>
      <w:r w:rsidRPr="005D050B">
        <w:rPr>
          <w:rFonts w:ascii="Times New Roman" w:hAnsi="Times New Roman" w:cs="Times New Roman"/>
          <w:sz w:val="24"/>
          <w:szCs w:val="24"/>
        </w:rPr>
        <w:t xml:space="preserve"> MEFs. The ratio of M+2n species of α-ketoglutarate (α-KG) (</w:t>
      </w:r>
      <w:r w:rsidRPr="004F3DE6">
        <w:rPr>
          <w:rFonts w:ascii="Times New Roman" w:hAnsi="Times New Roman" w:cs="Times New Roman"/>
          <w:b/>
          <w:sz w:val="24"/>
          <w:szCs w:val="24"/>
        </w:rPr>
        <w:t>a</w:t>
      </w:r>
      <w:r w:rsidRPr="005D050B">
        <w:rPr>
          <w:rFonts w:ascii="Times New Roman" w:hAnsi="Times New Roman" w:cs="Times New Roman"/>
          <w:sz w:val="24"/>
          <w:szCs w:val="24"/>
        </w:rPr>
        <w:t>), malate (</w:t>
      </w:r>
      <w:r w:rsidRPr="004F3DE6">
        <w:rPr>
          <w:rFonts w:ascii="Times New Roman" w:hAnsi="Times New Roman" w:cs="Times New Roman"/>
          <w:b/>
          <w:sz w:val="24"/>
          <w:szCs w:val="24"/>
        </w:rPr>
        <w:t>b</w:t>
      </w:r>
      <w:r w:rsidRPr="005D050B">
        <w:rPr>
          <w:rFonts w:ascii="Times New Roman" w:hAnsi="Times New Roman" w:cs="Times New Roman"/>
          <w:sz w:val="24"/>
          <w:szCs w:val="24"/>
        </w:rPr>
        <w:t>), proline (</w:t>
      </w:r>
      <w:r w:rsidRPr="004F3DE6">
        <w:rPr>
          <w:rFonts w:ascii="Times New Roman" w:hAnsi="Times New Roman" w:cs="Times New Roman"/>
          <w:b/>
          <w:sz w:val="24"/>
          <w:szCs w:val="24"/>
        </w:rPr>
        <w:t>c</w:t>
      </w:r>
      <w:r w:rsidRPr="005D050B">
        <w:rPr>
          <w:rFonts w:ascii="Times New Roman" w:hAnsi="Times New Roman" w:cs="Times New Roman"/>
          <w:sz w:val="24"/>
          <w:szCs w:val="24"/>
        </w:rPr>
        <w:t>) and aspartate (</w:t>
      </w:r>
      <w:r w:rsidRPr="004F3DE6">
        <w:rPr>
          <w:rFonts w:ascii="Times New Roman" w:hAnsi="Times New Roman" w:cs="Times New Roman"/>
          <w:b/>
          <w:sz w:val="24"/>
          <w:szCs w:val="24"/>
        </w:rPr>
        <w:t>d</w:t>
      </w:r>
      <w:r w:rsidRPr="005D050B">
        <w:rPr>
          <w:rFonts w:ascii="Times New Roman" w:hAnsi="Times New Roman" w:cs="Times New Roman"/>
          <w:sz w:val="24"/>
          <w:szCs w:val="24"/>
        </w:rPr>
        <w:t>)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4 biological replicates). Data are individual values with mean ± 95% CI, two-way ANOVA followed by Dunnett’s test. </w:t>
      </w:r>
    </w:p>
    <w:p w14:paraId="6BE1BEB1" w14:textId="77777777" w:rsidR="00650B57" w:rsidRPr="005D050B" w:rsidRDefault="00650B57" w:rsidP="00650B57">
      <w:pPr>
        <w:widowControl/>
        <w:adjustRightInd w:val="0"/>
        <w:snapToGrid w:val="0"/>
        <w:spacing w:line="480" w:lineRule="auto"/>
        <w:jc w:val="left"/>
        <w:rPr>
          <w:rFonts w:ascii="Times New Roman" w:hAnsi="Times New Roman" w:cs="Times New Roman"/>
          <w:sz w:val="24"/>
          <w:szCs w:val="24"/>
        </w:rPr>
      </w:pPr>
      <w:r w:rsidRPr="004F3DE6">
        <w:rPr>
          <w:rFonts w:ascii="Times New Roman" w:hAnsi="Times New Roman" w:cs="Times New Roman"/>
          <w:b/>
          <w:sz w:val="24"/>
          <w:szCs w:val="24"/>
        </w:rPr>
        <w:t>e-h,</w:t>
      </w:r>
      <w:r w:rsidRPr="005D050B">
        <w:rPr>
          <w:rFonts w:ascii="Times New Roman" w:hAnsi="Times New Roman" w:cs="Times New Roman"/>
          <w:sz w:val="24"/>
          <w:szCs w:val="24"/>
        </w:rPr>
        <w:t xml:space="preserve"> Total abundance of α-KG (</w:t>
      </w:r>
      <w:r w:rsidRPr="004F3DE6">
        <w:rPr>
          <w:rFonts w:ascii="Times New Roman" w:hAnsi="Times New Roman" w:cs="Times New Roman"/>
          <w:b/>
          <w:sz w:val="24"/>
          <w:szCs w:val="24"/>
        </w:rPr>
        <w:t>e</w:t>
      </w:r>
      <w:r w:rsidRPr="005D050B">
        <w:rPr>
          <w:rFonts w:ascii="Times New Roman" w:hAnsi="Times New Roman" w:cs="Times New Roman"/>
          <w:sz w:val="24"/>
          <w:szCs w:val="24"/>
        </w:rPr>
        <w:t>), malate (</w:t>
      </w:r>
      <w:r w:rsidRPr="004F3DE6">
        <w:rPr>
          <w:rFonts w:ascii="Times New Roman" w:hAnsi="Times New Roman" w:cs="Times New Roman"/>
          <w:b/>
          <w:sz w:val="24"/>
          <w:szCs w:val="24"/>
        </w:rPr>
        <w:t>f</w:t>
      </w:r>
      <w:r w:rsidRPr="005D050B">
        <w:rPr>
          <w:rFonts w:ascii="Times New Roman" w:hAnsi="Times New Roman" w:cs="Times New Roman"/>
          <w:sz w:val="24"/>
          <w:szCs w:val="24"/>
        </w:rPr>
        <w:t>), proline (</w:t>
      </w:r>
      <w:r w:rsidRPr="004F3DE6">
        <w:rPr>
          <w:rFonts w:ascii="Times New Roman" w:hAnsi="Times New Roman" w:cs="Times New Roman"/>
          <w:b/>
          <w:sz w:val="24"/>
          <w:szCs w:val="24"/>
        </w:rPr>
        <w:t>g</w:t>
      </w:r>
      <w:r w:rsidRPr="005D050B">
        <w:rPr>
          <w:rFonts w:ascii="Times New Roman" w:hAnsi="Times New Roman" w:cs="Times New Roman"/>
          <w:sz w:val="24"/>
          <w:szCs w:val="24"/>
        </w:rPr>
        <w:t>) and aspartate (</w:t>
      </w:r>
      <w:r w:rsidRPr="004F3DE6">
        <w:rPr>
          <w:rFonts w:ascii="Times New Roman" w:hAnsi="Times New Roman" w:cs="Times New Roman"/>
          <w:b/>
          <w:sz w:val="24"/>
          <w:szCs w:val="24"/>
        </w:rPr>
        <w:t>h</w:t>
      </w:r>
      <w:r w:rsidRPr="005D050B">
        <w:rPr>
          <w:rFonts w:ascii="Times New Roman" w:hAnsi="Times New Roman" w:cs="Times New Roman"/>
          <w:sz w:val="24"/>
          <w:szCs w:val="24"/>
        </w:rPr>
        <w:t>) in oleate-loaded MEFs. Data are individual plates of cells (</w:t>
      </w:r>
      <w:r w:rsidRPr="005D050B">
        <w:rPr>
          <w:rFonts w:ascii="Times New Roman" w:hAnsi="Times New Roman" w:cs="Times New Roman"/>
          <w:i/>
          <w:sz w:val="24"/>
          <w:szCs w:val="24"/>
        </w:rPr>
        <w:t>n</w:t>
      </w:r>
      <w:r w:rsidRPr="005D050B">
        <w:rPr>
          <w:rFonts w:ascii="Times New Roman" w:hAnsi="Times New Roman" w:cs="Times New Roman"/>
          <w:sz w:val="24"/>
          <w:szCs w:val="24"/>
        </w:rPr>
        <w:t xml:space="preserve"> = 4 per group) with mean ± 95% CI, one-way ANOVA.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p>
    <w:p w14:paraId="4E5D7832"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72D90594" w14:textId="77777777" w:rsidR="00650B57" w:rsidRPr="005D050B" w:rsidRDefault="00650B57" w:rsidP="00650B57">
      <w:pPr>
        <w:adjustRightInd w:val="0"/>
        <w:snapToGrid w:val="0"/>
        <w:spacing w:line="480" w:lineRule="auto"/>
        <w:rPr>
          <w:rFonts w:ascii="Times New Roman" w:hAnsi="Times New Roman" w:cs="Times New Roman"/>
          <w:b/>
          <w:noProof/>
          <w:sz w:val="24"/>
          <w:szCs w:val="24"/>
        </w:rPr>
      </w:pPr>
      <w:r>
        <w:rPr>
          <w:rFonts w:ascii="Times New Roman" w:hAnsi="Times New Roman" w:cs="Times New Roman"/>
          <w:b/>
          <w:noProof/>
          <w:sz w:val="24"/>
          <w:szCs w:val="24"/>
        </w:rPr>
        <w:lastRenderedPageBreak/>
        <w:drawing>
          <wp:inline distT="0" distB="0" distL="0" distR="0" wp14:anchorId="02019247" wp14:editId="41A77175">
            <wp:extent cx="4864735" cy="6511290"/>
            <wp:effectExtent l="0" t="0" r="0" b="0"/>
            <wp:docPr id="32" name="图片 32"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A screenshot of a cell phone&#10;&#10;AI-generated content may be incorrec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64735" cy="6511290"/>
                    </a:xfrm>
                    <a:prstGeom prst="rect">
                      <a:avLst/>
                    </a:prstGeom>
                    <a:noFill/>
                  </pic:spPr>
                </pic:pic>
              </a:graphicData>
            </a:graphic>
          </wp:inline>
        </w:drawing>
      </w:r>
    </w:p>
    <w:p w14:paraId="0AB802CB" w14:textId="77777777" w:rsidR="00650B57" w:rsidRPr="005D050B" w:rsidRDefault="00650B57" w:rsidP="00650B57">
      <w:pPr>
        <w:adjustRightInd w:val="0"/>
        <w:snapToGrid w:val="0"/>
        <w:spacing w:line="480" w:lineRule="auto"/>
        <w:rPr>
          <w:rFonts w:ascii="Times New Roman" w:hAnsi="Times New Roman" w:cs="Times New Roman"/>
          <w:b/>
          <w:noProof/>
          <w:sz w:val="24"/>
          <w:szCs w:val="24"/>
        </w:rPr>
      </w:pPr>
      <w:r>
        <w:rPr>
          <w:rFonts w:ascii="Times New Roman" w:hAnsi="Times New Roman" w:cs="Times New Roman"/>
          <w:b/>
          <w:sz w:val="24"/>
          <w:szCs w:val="24"/>
        </w:rPr>
        <w:t xml:space="preserve">Extended Data </w:t>
      </w:r>
      <w:r w:rsidRPr="005D050B">
        <w:rPr>
          <w:rFonts w:ascii="Times New Roman" w:hAnsi="Times New Roman" w:cs="Times New Roman"/>
          <w:b/>
          <w:sz w:val="24"/>
          <w:szCs w:val="24"/>
        </w:rPr>
        <w:t>Fig</w:t>
      </w:r>
      <w:r>
        <w:rPr>
          <w:rFonts w:ascii="Times New Roman" w:hAnsi="Times New Roman" w:cs="Times New Roman"/>
          <w:b/>
          <w:sz w:val="24"/>
          <w:szCs w:val="24"/>
        </w:rPr>
        <w:t xml:space="preserve">. </w:t>
      </w:r>
      <w:r w:rsidRPr="005D050B">
        <w:rPr>
          <w:rFonts w:ascii="Times New Roman" w:hAnsi="Times New Roman" w:cs="Times New Roman"/>
          <w:b/>
          <w:noProof/>
          <w:sz w:val="24"/>
          <w:szCs w:val="24"/>
        </w:rPr>
        <w:t>1</w:t>
      </w:r>
      <w:r>
        <w:rPr>
          <w:rFonts w:ascii="Times New Roman" w:hAnsi="Times New Roman" w:cs="Times New Roman"/>
          <w:b/>
          <w:noProof/>
          <w:sz w:val="24"/>
          <w:szCs w:val="24"/>
        </w:rPr>
        <w:t>2:</w:t>
      </w:r>
      <w:r w:rsidRPr="005D050B">
        <w:rPr>
          <w:rFonts w:ascii="Times New Roman" w:hAnsi="Times New Roman" w:cs="Times New Roman"/>
          <w:b/>
          <w:noProof/>
          <w:sz w:val="24"/>
          <w:szCs w:val="24"/>
        </w:rPr>
        <w:t xml:space="preserve"> </w:t>
      </w:r>
      <w:r w:rsidRPr="005D050B">
        <w:rPr>
          <w:rFonts w:ascii="Times New Roman" w:hAnsi="Times New Roman" w:cs="Times New Roman"/>
          <w:b/>
          <w:i/>
          <w:noProof/>
          <w:sz w:val="24"/>
          <w:szCs w:val="24"/>
        </w:rPr>
        <w:t>Hcar2</w:t>
      </w:r>
      <w:r w:rsidRPr="005D050B">
        <w:rPr>
          <w:rFonts w:ascii="Times New Roman" w:hAnsi="Times New Roman" w:cs="Times New Roman"/>
          <w:b/>
          <w:noProof/>
          <w:sz w:val="24"/>
          <w:szCs w:val="24"/>
        </w:rPr>
        <w:t>-dependent reduction in lipid accumulation in MEFs</w:t>
      </w:r>
      <w:r>
        <w:rPr>
          <w:rFonts w:ascii="Times New Roman" w:hAnsi="Times New Roman" w:cs="Times New Roman"/>
          <w:b/>
          <w:noProof/>
          <w:sz w:val="24"/>
          <w:szCs w:val="24"/>
        </w:rPr>
        <w:t>.</w:t>
      </w:r>
    </w:p>
    <w:p w14:paraId="504FDB52" w14:textId="77777777" w:rsidR="00650B57" w:rsidRPr="005D050B" w:rsidRDefault="00650B57" w:rsidP="00650B57">
      <w:pPr>
        <w:adjustRightInd w:val="0"/>
        <w:snapToGrid w:val="0"/>
        <w:spacing w:line="480" w:lineRule="auto"/>
        <w:rPr>
          <w:rFonts w:ascii="Times New Roman" w:hAnsi="Times New Roman" w:cs="Times New Roman"/>
          <w:noProof/>
          <w:sz w:val="24"/>
          <w:szCs w:val="24"/>
        </w:rPr>
      </w:pPr>
      <w:r w:rsidRPr="00223E49">
        <w:rPr>
          <w:rFonts w:ascii="Times New Roman" w:hAnsi="Times New Roman" w:cs="Times New Roman"/>
          <w:b/>
          <w:noProof/>
          <w:sz w:val="24"/>
          <w:szCs w:val="24"/>
        </w:rPr>
        <w:t xml:space="preserve">a, </w:t>
      </w:r>
      <w:r w:rsidRPr="005D050B">
        <w:rPr>
          <w:rFonts w:ascii="Times New Roman" w:hAnsi="Times New Roman" w:cs="Times New Roman"/>
          <w:noProof/>
          <w:sz w:val="24"/>
          <w:szCs w:val="24"/>
        </w:rPr>
        <w:t>Compliance of leucic acid to Lipinski’s rule of five. SMILES: simplified molecular input line entry system; TPSA: topological polar surface area; MR: molar refractivity; HBD: hydrogen bond donors; HBA: hydrogen bond acceptors; log</w:t>
      </w:r>
      <w:r w:rsidRPr="005D050B">
        <w:rPr>
          <w:rFonts w:ascii="Times New Roman" w:hAnsi="Times New Roman" w:cs="Times New Roman"/>
          <w:i/>
          <w:noProof/>
          <w:sz w:val="24"/>
          <w:szCs w:val="24"/>
        </w:rPr>
        <w:t>P</w:t>
      </w:r>
      <w:r w:rsidRPr="005D050B">
        <w:rPr>
          <w:rFonts w:ascii="Times New Roman" w:hAnsi="Times New Roman" w:cs="Times New Roman"/>
          <w:noProof/>
          <w:sz w:val="24"/>
          <w:szCs w:val="24"/>
        </w:rPr>
        <w:t xml:space="preserve">: lipophilicity-water partition coefficient. </w:t>
      </w:r>
    </w:p>
    <w:p w14:paraId="229DADC3" w14:textId="77777777" w:rsidR="00650B57" w:rsidRPr="005D050B" w:rsidRDefault="00650B57" w:rsidP="00650B57">
      <w:pPr>
        <w:adjustRightInd w:val="0"/>
        <w:snapToGrid w:val="0"/>
        <w:spacing w:line="480" w:lineRule="auto"/>
        <w:rPr>
          <w:rFonts w:ascii="Times New Roman" w:hAnsi="Times New Roman" w:cs="Times New Roman"/>
          <w:noProof/>
          <w:sz w:val="24"/>
          <w:szCs w:val="24"/>
        </w:rPr>
      </w:pPr>
      <w:r w:rsidRPr="00223E49">
        <w:rPr>
          <w:rFonts w:ascii="Times New Roman" w:hAnsi="Times New Roman" w:cs="Times New Roman"/>
          <w:b/>
          <w:noProof/>
          <w:sz w:val="24"/>
          <w:szCs w:val="24"/>
        </w:rPr>
        <w:lastRenderedPageBreak/>
        <w:t>b,</w:t>
      </w:r>
      <w:r w:rsidRPr="005D050B">
        <w:rPr>
          <w:rFonts w:ascii="Times New Roman" w:hAnsi="Times New Roman" w:cs="Times New Roman"/>
          <w:noProof/>
          <w:sz w:val="24"/>
          <w:szCs w:val="24"/>
        </w:rPr>
        <w:t xml:space="preserve"> Approximate binding free energies for different metabolites to HCAR2. </w:t>
      </w:r>
    </w:p>
    <w:p w14:paraId="161FC492" w14:textId="77777777" w:rsidR="00650B57" w:rsidRPr="005D050B" w:rsidRDefault="00650B57" w:rsidP="00650B57">
      <w:pPr>
        <w:adjustRightInd w:val="0"/>
        <w:snapToGrid w:val="0"/>
        <w:spacing w:line="480" w:lineRule="auto"/>
        <w:rPr>
          <w:rFonts w:ascii="Times New Roman" w:hAnsi="Times New Roman" w:cs="Times New Roman"/>
          <w:noProof/>
          <w:sz w:val="24"/>
          <w:szCs w:val="24"/>
        </w:rPr>
      </w:pPr>
      <w:r w:rsidRPr="00223E49">
        <w:rPr>
          <w:rFonts w:ascii="Times New Roman" w:hAnsi="Times New Roman" w:cs="Times New Roman"/>
          <w:b/>
          <w:noProof/>
          <w:sz w:val="24"/>
          <w:szCs w:val="24"/>
        </w:rPr>
        <w:t>c,d,</w:t>
      </w:r>
      <w:r w:rsidRPr="005D050B">
        <w:rPr>
          <w:rFonts w:ascii="Times New Roman" w:hAnsi="Times New Roman" w:cs="Times New Roman"/>
          <w:noProof/>
          <w:sz w:val="24"/>
          <w:szCs w:val="24"/>
        </w:rPr>
        <w:t xml:space="preserve"> Knockdown efficiencies of </w:t>
      </w:r>
      <w:r w:rsidRPr="005D050B">
        <w:rPr>
          <w:rFonts w:ascii="Times New Roman" w:hAnsi="Times New Roman" w:cs="Times New Roman"/>
          <w:i/>
          <w:noProof/>
          <w:sz w:val="24"/>
          <w:szCs w:val="24"/>
        </w:rPr>
        <w:t>Hcar2</w:t>
      </w:r>
      <w:r w:rsidRPr="005D050B">
        <w:rPr>
          <w:rFonts w:ascii="Times New Roman" w:hAnsi="Times New Roman" w:cs="Times New Roman"/>
          <w:noProof/>
          <w:sz w:val="24"/>
          <w:szCs w:val="24"/>
        </w:rPr>
        <w:t xml:space="preserve">. Cells were infected with lentivirus carrying shRNA against </w:t>
      </w:r>
      <w:r w:rsidRPr="005D050B">
        <w:rPr>
          <w:rFonts w:ascii="Times New Roman" w:hAnsi="Times New Roman" w:cs="Times New Roman"/>
          <w:i/>
          <w:noProof/>
          <w:sz w:val="24"/>
          <w:szCs w:val="24"/>
        </w:rPr>
        <w:t>Hcar2</w:t>
      </w:r>
      <w:r w:rsidRPr="005D050B">
        <w:rPr>
          <w:rFonts w:ascii="Times New Roman" w:hAnsi="Times New Roman" w:cs="Times New Roman"/>
          <w:noProof/>
          <w:sz w:val="24"/>
          <w:szCs w:val="24"/>
        </w:rPr>
        <w:t xml:space="preserve"> or control shRNA. Relative mRNA levels of </w:t>
      </w:r>
      <w:r w:rsidRPr="005D050B">
        <w:rPr>
          <w:rFonts w:ascii="Times New Roman" w:hAnsi="Times New Roman" w:cs="Times New Roman"/>
          <w:i/>
          <w:noProof/>
          <w:sz w:val="24"/>
          <w:szCs w:val="24"/>
        </w:rPr>
        <w:t>Hcar2</w:t>
      </w:r>
      <w:r w:rsidRPr="005D050B">
        <w:rPr>
          <w:rFonts w:ascii="Times New Roman" w:hAnsi="Times New Roman" w:cs="Times New Roman"/>
          <w:noProof/>
          <w:sz w:val="24"/>
          <w:szCs w:val="24"/>
        </w:rPr>
        <w:t xml:space="preserve"> to </w:t>
      </w:r>
      <w:r w:rsidRPr="005D050B">
        <w:rPr>
          <w:rFonts w:ascii="Times New Roman" w:hAnsi="Times New Roman" w:cs="Times New Roman"/>
          <w:i/>
          <w:noProof/>
          <w:sz w:val="24"/>
          <w:szCs w:val="24"/>
        </w:rPr>
        <w:t>Gapdh</w:t>
      </w:r>
      <w:r w:rsidRPr="005D050B">
        <w:rPr>
          <w:rFonts w:ascii="Times New Roman" w:hAnsi="Times New Roman" w:cs="Times New Roman"/>
          <w:noProof/>
          <w:sz w:val="24"/>
          <w:szCs w:val="24"/>
        </w:rPr>
        <w:t xml:space="preserve"> in 3T3-L1 cells (</w:t>
      </w:r>
      <w:r w:rsidRPr="00223E49">
        <w:rPr>
          <w:rFonts w:ascii="Times New Roman" w:hAnsi="Times New Roman" w:cs="Times New Roman"/>
          <w:b/>
          <w:noProof/>
          <w:sz w:val="24"/>
          <w:szCs w:val="24"/>
        </w:rPr>
        <w:t>c</w:t>
      </w:r>
      <w:r w:rsidRPr="005D050B">
        <w:rPr>
          <w:rFonts w:ascii="Times New Roman" w:hAnsi="Times New Roman" w:cs="Times New Roman"/>
          <w:noProof/>
          <w:sz w:val="24"/>
          <w:szCs w:val="24"/>
        </w:rPr>
        <w:t>) and MEFs (</w:t>
      </w:r>
      <w:r w:rsidRPr="00223E49">
        <w:rPr>
          <w:rFonts w:ascii="Times New Roman" w:hAnsi="Times New Roman" w:cs="Times New Roman"/>
          <w:b/>
          <w:noProof/>
          <w:sz w:val="24"/>
          <w:szCs w:val="24"/>
        </w:rPr>
        <w:t>d</w:t>
      </w:r>
      <w:r w:rsidRPr="005D050B">
        <w:rPr>
          <w:rFonts w:ascii="Times New Roman" w:hAnsi="Times New Roman" w:cs="Times New Roman"/>
          <w:noProof/>
          <w:sz w:val="24"/>
          <w:szCs w:val="24"/>
        </w:rPr>
        <w:t>). Data are experimental replicates (</w:t>
      </w:r>
      <w:r w:rsidRPr="005D050B">
        <w:rPr>
          <w:rFonts w:ascii="Times New Roman" w:hAnsi="Times New Roman" w:cs="Times New Roman"/>
          <w:i/>
          <w:noProof/>
          <w:sz w:val="24"/>
          <w:szCs w:val="24"/>
        </w:rPr>
        <w:t>n</w:t>
      </w:r>
      <w:r w:rsidRPr="005D050B">
        <w:rPr>
          <w:rFonts w:ascii="Times New Roman" w:hAnsi="Times New Roman" w:cs="Times New Roman"/>
          <w:noProof/>
          <w:sz w:val="24"/>
          <w:szCs w:val="24"/>
        </w:rPr>
        <w:t xml:space="preserve"> = 3) with median ± 95% CI. Two-tailed unpaired Mann-Whitney test. </w:t>
      </w:r>
    </w:p>
    <w:p w14:paraId="5BC4C764" w14:textId="77777777" w:rsidR="00650B57" w:rsidRPr="005D050B" w:rsidRDefault="00650B57" w:rsidP="00650B57">
      <w:pPr>
        <w:adjustRightInd w:val="0"/>
        <w:snapToGrid w:val="0"/>
        <w:spacing w:line="480" w:lineRule="auto"/>
        <w:rPr>
          <w:rFonts w:ascii="Times New Roman" w:hAnsi="Times New Roman" w:cs="Times New Roman"/>
          <w:noProof/>
          <w:sz w:val="24"/>
          <w:szCs w:val="24"/>
        </w:rPr>
      </w:pPr>
      <w:r w:rsidRPr="00223E49">
        <w:rPr>
          <w:rFonts w:ascii="Times New Roman" w:hAnsi="Times New Roman" w:cs="Times New Roman"/>
          <w:b/>
          <w:noProof/>
          <w:sz w:val="24"/>
          <w:szCs w:val="24"/>
        </w:rPr>
        <w:t>e,f,</w:t>
      </w:r>
      <w:r w:rsidRPr="005D050B">
        <w:rPr>
          <w:rFonts w:ascii="Times New Roman" w:hAnsi="Times New Roman" w:cs="Times New Roman"/>
          <w:noProof/>
          <w:sz w:val="24"/>
          <w:szCs w:val="24"/>
        </w:rPr>
        <w:t xml:space="preserve"> </w:t>
      </w:r>
      <w:r w:rsidRPr="005D050B">
        <w:rPr>
          <w:rFonts w:ascii="Times New Roman" w:hAnsi="Times New Roman" w:cs="Times New Roman"/>
          <w:i/>
          <w:noProof/>
          <w:sz w:val="24"/>
          <w:szCs w:val="24"/>
        </w:rPr>
        <w:t>Hcar2</w:t>
      </w:r>
      <w:r w:rsidRPr="005D050B">
        <w:rPr>
          <w:rFonts w:ascii="Times New Roman" w:hAnsi="Times New Roman" w:cs="Times New Roman"/>
          <w:noProof/>
          <w:sz w:val="24"/>
          <w:szCs w:val="24"/>
        </w:rPr>
        <w:t xml:space="preserve"> knockdown ablates leucic acid effects in MEFs. (</w:t>
      </w:r>
      <w:r w:rsidRPr="00223E49">
        <w:rPr>
          <w:rFonts w:ascii="Times New Roman" w:hAnsi="Times New Roman" w:cs="Times New Roman"/>
          <w:b/>
          <w:noProof/>
          <w:sz w:val="24"/>
          <w:szCs w:val="24"/>
        </w:rPr>
        <w:t>e</w:t>
      </w:r>
      <w:r w:rsidRPr="005D050B">
        <w:rPr>
          <w:rFonts w:ascii="Times New Roman" w:hAnsi="Times New Roman" w:cs="Times New Roman"/>
          <w:noProof/>
          <w:sz w:val="24"/>
          <w:szCs w:val="24"/>
        </w:rPr>
        <w:t>) Representative images: BODIPY (lipids, yellow), MitoTracker (mitochondria, magenta). Scale bar: 10 μm. (</w:t>
      </w:r>
      <w:r w:rsidRPr="00223E49">
        <w:rPr>
          <w:rFonts w:ascii="Times New Roman" w:hAnsi="Times New Roman" w:cs="Times New Roman"/>
          <w:b/>
          <w:noProof/>
          <w:sz w:val="24"/>
          <w:szCs w:val="24"/>
        </w:rPr>
        <w:t>f</w:t>
      </w:r>
      <w:r w:rsidRPr="005D050B">
        <w:rPr>
          <w:rFonts w:ascii="Times New Roman" w:hAnsi="Times New Roman" w:cs="Times New Roman"/>
          <w:noProof/>
          <w:sz w:val="24"/>
          <w:szCs w:val="24"/>
        </w:rPr>
        <w:t>) Quantification of lipid content. Data are presented as individual cells (</w:t>
      </w:r>
      <w:r w:rsidRPr="005D050B">
        <w:rPr>
          <w:rFonts w:ascii="Times New Roman" w:hAnsi="Times New Roman" w:cs="Times New Roman"/>
          <w:i/>
          <w:noProof/>
          <w:sz w:val="24"/>
          <w:szCs w:val="24"/>
        </w:rPr>
        <w:t>n</w:t>
      </w:r>
      <w:r w:rsidRPr="005D050B">
        <w:rPr>
          <w:rFonts w:ascii="Times New Roman" w:hAnsi="Times New Roman" w:cs="Times New Roman"/>
          <w:noProof/>
          <w:sz w:val="24"/>
          <w:szCs w:val="24"/>
        </w:rPr>
        <w:t xml:space="preserve"> = 208-311 per group) with median ± 95% CI. Two-way ANOVA followed by Holm-Šídák's test. </w:t>
      </w:r>
    </w:p>
    <w:p w14:paraId="27222391"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223E49">
        <w:rPr>
          <w:rFonts w:ascii="Times New Roman" w:hAnsi="Times New Roman" w:cs="Times New Roman"/>
          <w:b/>
          <w:sz w:val="24"/>
          <w:szCs w:val="24"/>
        </w:rPr>
        <w:t>g,</w:t>
      </w:r>
      <w:r w:rsidRPr="005D050B">
        <w:rPr>
          <w:rFonts w:ascii="Times New Roman" w:hAnsi="Times New Roman" w:cs="Times New Roman"/>
          <w:sz w:val="24"/>
          <w:szCs w:val="24"/>
        </w:rPr>
        <w:t xml:space="preserve"> E</w:t>
      </w:r>
      <w:r w:rsidRPr="005D050B">
        <w:rPr>
          <w:rFonts w:ascii="Times New Roman" w:hAnsi="Times New Roman" w:cs="Times New Roman"/>
          <w:noProof/>
          <w:sz w:val="24"/>
          <w:szCs w:val="24"/>
        </w:rPr>
        <w:t xml:space="preserve">fficiency of </w:t>
      </w:r>
      <w:r w:rsidRPr="005D050B">
        <w:rPr>
          <w:rFonts w:ascii="Times New Roman" w:hAnsi="Times New Roman" w:cs="Times New Roman"/>
          <w:sz w:val="24"/>
          <w:szCs w:val="24"/>
        </w:rPr>
        <w:t xml:space="preserve">AAV-mediated </w:t>
      </w:r>
      <w:r w:rsidRPr="005D050B">
        <w:rPr>
          <w:rFonts w:ascii="Times New Roman" w:hAnsi="Times New Roman" w:cs="Times New Roman"/>
          <w:i/>
          <w:noProof/>
          <w:sz w:val="24"/>
          <w:szCs w:val="24"/>
        </w:rPr>
        <w:t>Hcar2</w:t>
      </w:r>
      <w:r w:rsidRPr="005D050B">
        <w:rPr>
          <w:rFonts w:ascii="Times New Roman" w:hAnsi="Times New Roman" w:cs="Times New Roman"/>
          <w:noProof/>
          <w:sz w:val="24"/>
          <w:szCs w:val="24"/>
        </w:rPr>
        <w:t xml:space="preserve"> </w:t>
      </w:r>
      <w:r w:rsidRPr="005D050B">
        <w:rPr>
          <w:rFonts w:ascii="Times New Roman" w:hAnsi="Times New Roman" w:cs="Times New Roman"/>
          <w:i/>
          <w:noProof/>
          <w:sz w:val="24"/>
          <w:szCs w:val="24"/>
        </w:rPr>
        <w:t>in vivo</w:t>
      </w:r>
      <w:r w:rsidRPr="005D050B">
        <w:rPr>
          <w:rFonts w:ascii="Times New Roman" w:hAnsi="Times New Roman" w:cs="Times New Roman"/>
          <w:noProof/>
          <w:sz w:val="24"/>
          <w:szCs w:val="24"/>
        </w:rPr>
        <w:t xml:space="preserve"> knockdown. Data are presented as individual fat depots (</w:t>
      </w:r>
      <w:r w:rsidRPr="005D050B">
        <w:rPr>
          <w:rFonts w:ascii="Times New Roman" w:hAnsi="Times New Roman" w:cs="Times New Roman"/>
          <w:i/>
          <w:noProof/>
          <w:sz w:val="24"/>
          <w:szCs w:val="24"/>
        </w:rPr>
        <w:t>n</w:t>
      </w:r>
      <w:r w:rsidRPr="005D050B">
        <w:rPr>
          <w:rFonts w:ascii="Times New Roman" w:hAnsi="Times New Roman" w:cs="Times New Roman"/>
          <w:noProof/>
          <w:sz w:val="24"/>
          <w:szCs w:val="24"/>
        </w:rPr>
        <w:t xml:space="preserve"> = 6 per group) with median ± 95% CI. Two-way ANOVA followed by Holm-Šídák's test. </w:t>
      </w:r>
    </w:p>
    <w:p w14:paraId="63BB3C27" w14:textId="77777777" w:rsidR="00650B57" w:rsidRPr="005D050B" w:rsidRDefault="00650B57" w:rsidP="00650B57">
      <w:pPr>
        <w:adjustRightInd w:val="0"/>
        <w:snapToGrid w:val="0"/>
        <w:spacing w:line="480" w:lineRule="auto"/>
        <w:rPr>
          <w:rFonts w:ascii="Times New Roman" w:hAnsi="Times New Roman" w:cs="Times New Roman"/>
          <w:noProof/>
          <w:sz w:val="24"/>
          <w:szCs w:val="24"/>
        </w:rPr>
      </w:pPr>
      <w:r w:rsidRPr="00223E49">
        <w:rPr>
          <w:rFonts w:ascii="Times New Roman" w:hAnsi="Times New Roman" w:cs="Times New Roman"/>
          <w:b/>
          <w:sz w:val="24"/>
          <w:szCs w:val="24"/>
        </w:rPr>
        <w:t>h,</w:t>
      </w:r>
      <w:r w:rsidRPr="005D050B">
        <w:rPr>
          <w:rFonts w:ascii="Times New Roman" w:hAnsi="Times New Roman" w:cs="Times New Roman"/>
          <w:sz w:val="24"/>
          <w:szCs w:val="24"/>
        </w:rPr>
        <w:t xml:space="preserve"> Host-microbe-metabolite axis mediating metabolic homeostasis. AIDA deficiency enhances intestinal lipid absorption, reducing luminal oleate levels and relieving growth suppression of novel obligate anaerobes LDE-1 and LDE-2. These strains </w:t>
      </w:r>
      <w:r>
        <w:rPr>
          <w:rFonts w:ascii="Times New Roman" w:hAnsi="Times New Roman" w:cs="Times New Roman"/>
          <w:sz w:val="24"/>
          <w:szCs w:val="24"/>
        </w:rPr>
        <w:t>biosynthesise</w:t>
      </w:r>
      <w:r w:rsidRPr="005D050B">
        <w:rPr>
          <w:rFonts w:ascii="Times New Roman" w:hAnsi="Times New Roman" w:cs="Times New Roman"/>
          <w:sz w:val="24"/>
          <w:szCs w:val="24"/>
        </w:rPr>
        <w:t xml:space="preserve"> leucic acid via HicDH enzymes. As a water-soluble hydroxy acid, leucic acid engages the plasma membrane receptor HCAR2, triggering the suppression of lipid storage in adipose tissues. The enrichment of leucic acid-producing strains represents a compensatory adaptation to host metabolic dysfunction, establishing a feedback loop that mitigates obesity. Human microbiota (</w:t>
      </w:r>
      <w:r w:rsidRPr="005D050B">
        <w:rPr>
          <w:rFonts w:ascii="Times New Roman" w:hAnsi="Times New Roman" w:cs="Times New Roman" w:hint="eastAsia"/>
          <w:sz w:val="24"/>
          <w:szCs w:val="24"/>
        </w:rPr>
        <w:t>abundance of OTU68 represented by LDE-1</w:t>
      </w:r>
      <w:r w:rsidRPr="005D050B">
        <w:rPr>
          <w:rFonts w:ascii="Times New Roman" w:hAnsi="Times New Roman" w:cs="Times New Roman"/>
          <w:sz w:val="24"/>
          <w:szCs w:val="24"/>
        </w:rPr>
        <w:t>) and genetic (</w:t>
      </w:r>
      <w:r w:rsidRPr="005D050B">
        <w:rPr>
          <w:rFonts w:ascii="Times New Roman" w:hAnsi="Times New Roman" w:cs="Times New Roman"/>
          <w:i/>
          <w:iCs/>
          <w:sz w:val="24"/>
          <w:szCs w:val="24"/>
        </w:rPr>
        <w:t>HCAR2</w:t>
      </w:r>
      <w:r w:rsidRPr="005D050B">
        <w:rPr>
          <w:rFonts w:ascii="Times New Roman" w:hAnsi="Times New Roman" w:cs="Times New Roman"/>
          <w:sz w:val="24"/>
          <w:szCs w:val="24"/>
        </w:rPr>
        <w:t xml:space="preserve"> GWAS) associations underscore the translational relevance of this pathway.</w:t>
      </w:r>
      <w:r>
        <w:rPr>
          <w:rFonts w:ascii="Times New Roman" w:hAnsi="Times New Roman" w:cs="Times New Roman" w:hint="eastAsia"/>
          <w:sz w:val="24"/>
          <w:szCs w:val="24"/>
        </w:rPr>
        <w:t xml:space="preserve"> </w:t>
      </w:r>
      <w:r w:rsidRPr="005D050B">
        <w:rPr>
          <w:rFonts w:ascii="Times New Roman" w:hAnsi="Times New Roman" w:cs="Times New Roman"/>
          <w:sz w:val="24"/>
          <w:szCs w:val="24"/>
        </w:rPr>
        <w:t>****</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0.0001, </w:t>
      </w:r>
      <w:bookmarkStart w:id="16" w:name="_Hlk209707990"/>
      <w:r w:rsidRPr="005D050B">
        <w:rPr>
          <w:rFonts w:ascii="Times New Roman" w:hAnsi="Times New Roman" w:cs="Times New Roman"/>
          <w:sz w:val="24"/>
          <w:szCs w:val="24"/>
        </w:rPr>
        <w:t>**</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0.01, *</w:t>
      </w:r>
      <w:r w:rsidRPr="005D050B">
        <w:rPr>
          <w:rFonts w:ascii="Times New Roman" w:hAnsi="Times New Roman" w:cs="Times New Roman"/>
          <w:i/>
          <w:iCs/>
          <w:sz w:val="24"/>
          <w:szCs w:val="24"/>
        </w:rPr>
        <w:t>P</w:t>
      </w:r>
      <w:r w:rsidRPr="005D050B">
        <w:rPr>
          <w:rFonts w:ascii="Times New Roman" w:hAnsi="Times New Roman" w:cs="Times New Roman"/>
          <w:sz w:val="24"/>
          <w:szCs w:val="24"/>
        </w:rPr>
        <w:t xml:space="preserve"> &lt; 0.05</w:t>
      </w:r>
      <w:bookmarkEnd w:id="16"/>
      <w:r w:rsidRPr="005D050B">
        <w:rPr>
          <w:rFonts w:ascii="Times New Roman" w:hAnsi="Times New Roman" w:cs="Times New Roman"/>
          <w:sz w:val="24"/>
          <w:szCs w:val="24"/>
        </w:rPr>
        <w:t>.</w:t>
      </w:r>
    </w:p>
    <w:p w14:paraId="20FF9324" w14:textId="77777777" w:rsidR="00650B57" w:rsidRPr="005D050B" w:rsidRDefault="00650B57" w:rsidP="00650B57">
      <w:pPr>
        <w:widowControl/>
        <w:jc w:val="left"/>
        <w:rPr>
          <w:rFonts w:ascii="Times New Roman" w:hAnsi="Times New Roman" w:cs="Times New Roman"/>
          <w:sz w:val="24"/>
          <w:szCs w:val="24"/>
        </w:rPr>
      </w:pPr>
      <w:r w:rsidRPr="005D050B">
        <w:rPr>
          <w:rFonts w:ascii="Times New Roman" w:hAnsi="Times New Roman" w:cs="Times New Roman"/>
          <w:sz w:val="24"/>
          <w:szCs w:val="24"/>
        </w:rPr>
        <w:br w:type="page"/>
      </w:r>
    </w:p>
    <w:p w14:paraId="07BC7FEF"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sidRPr="005D050B">
        <w:rPr>
          <w:rFonts w:ascii="Times New Roman" w:hAnsi="Times New Roman" w:cs="Times New Roman"/>
          <w:b/>
          <w:bCs/>
          <w:sz w:val="24"/>
          <w:szCs w:val="24"/>
        </w:rPr>
        <w:lastRenderedPageBreak/>
        <w:t>Supplement</w:t>
      </w:r>
      <w:r>
        <w:rPr>
          <w:rFonts w:ascii="Times New Roman" w:hAnsi="Times New Roman" w:cs="Times New Roman"/>
          <w:b/>
          <w:bCs/>
          <w:sz w:val="24"/>
          <w:szCs w:val="24"/>
        </w:rPr>
        <w:t>ary</w:t>
      </w:r>
      <w:r w:rsidRPr="005D050B">
        <w:rPr>
          <w:rFonts w:ascii="Times New Roman" w:hAnsi="Times New Roman" w:cs="Times New Roman"/>
          <w:b/>
          <w:bCs/>
          <w:sz w:val="24"/>
          <w:szCs w:val="24"/>
        </w:rPr>
        <w:t xml:space="preserve"> Note 1</w:t>
      </w:r>
      <w:r>
        <w:rPr>
          <w:rFonts w:ascii="Times New Roman" w:hAnsi="Times New Roman" w:cs="Times New Roman"/>
          <w:b/>
          <w:bCs/>
          <w:sz w:val="24"/>
          <w:szCs w:val="24"/>
        </w:rPr>
        <w:t>:</w:t>
      </w:r>
      <w:bookmarkStart w:id="17" w:name="_Hlk208750568"/>
      <w:r>
        <w:rPr>
          <w:rFonts w:ascii="Times New Roman" w:hAnsi="Times New Roman" w:cs="Times New Roman"/>
          <w:b/>
          <w:bCs/>
          <w:sz w:val="24"/>
          <w:szCs w:val="24"/>
        </w:rPr>
        <w:t xml:space="preserve"> </w:t>
      </w:r>
      <w:r w:rsidRPr="005D050B">
        <w:rPr>
          <w:rFonts w:ascii="Times New Roman" w:hAnsi="Times New Roman" w:cs="Times New Roman"/>
          <w:b/>
          <w:bCs/>
          <w:sz w:val="24"/>
          <w:szCs w:val="24"/>
        </w:rPr>
        <w:t xml:space="preserve">Description of </w:t>
      </w:r>
      <w:bookmarkStart w:id="18" w:name="_Hlk207463377"/>
      <w:r w:rsidRPr="005D050B">
        <w:rPr>
          <w:rFonts w:ascii="Times New Roman" w:hAnsi="Times New Roman" w:cs="Times New Roman"/>
          <w:b/>
          <w:bCs/>
          <w:i/>
          <w:sz w:val="24"/>
          <w:szCs w:val="24"/>
        </w:rPr>
        <w:t>Anaerotruncus</w:t>
      </w:r>
      <w:r w:rsidRPr="005D050B">
        <w:rPr>
          <w:rFonts w:ascii="Times New Roman" w:hAnsi="Times New Roman" w:cs="Times New Roman"/>
          <w:b/>
          <w:bCs/>
          <w:sz w:val="24"/>
          <w:szCs w:val="24"/>
        </w:rPr>
        <w:t xml:space="preserve"> </w:t>
      </w:r>
      <w:r w:rsidRPr="005D050B">
        <w:rPr>
          <w:rFonts w:ascii="Times New Roman" w:eastAsia="SimSun" w:hAnsi="Times New Roman" w:cs="Times New Roman"/>
          <w:b/>
          <w:bCs/>
          <w:iCs/>
          <w:kern w:val="0"/>
          <w:sz w:val="24"/>
          <w:szCs w:val="24"/>
          <w:shd w:val="clear" w:color="auto" w:fill="FFFFFF"/>
        </w:rPr>
        <w:t>strain</w:t>
      </w:r>
      <w:r w:rsidRPr="005D050B">
        <w:rPr>
          <w:rFonts w:ascii="Times New Roman" w:hAnsi="Times New Roman" w:cs="Times New Roman"/>
          <w:b/>
          <w:bCs/>
          <w:sz w:val="24"/>
          <w:szCs w:val="24"/>
        </w:rPr>
        <w:t xml:space="preserve"> </w:t>
      </w:r>
      <w:bookmarkEnd w:id="17"/>
      <w:bookmarkEnd w:id="18"/>
      <w:r w:rsidRPr="005D050B">
        <w:rPr>
          <w:rFonts w:ascii="Times New Roman" w:hAnsi="Times New Roman" w:cs="Times New Roman"/>
          <w:b/>
          <w:sz w:val="24"/>
          <w:szCs w:val="24"/>
        </w:rPr>
        <w:t>LDE-1</w:t>
      </w:r>
      <w:r>
        <w:rPr>
          <w:rFonts w:ascii="Times New Roman" w:hAnsi="Times New Roman" w:cs="Times New Roman"/>
          <w:b/>
          <w:sz w:val="24"/>
          <w:szCs w:val="24"/>
        </w:rPr>
        <w:t>.</w:t>
      </w:r>
    </w:p>
    <w:p w14:paraId="65849B9C"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Strain LDE-1 is a Gram-positive, strictly anaerobic rod that grows on modified Gifu anaerobic medium (mGAM), GAM, BHI, and Columbia blood agar plates, but only weakly on PYG, TSA, and LB agar. Under transmission electron microscopy, the cells appear rod-shaped, measuring 0.5 μm in width and 3.7-6.9 μm in length, possess flagella, and exhibit a dense cell wall (Note S1</w:t>
      </w:r>
      <w:r>
        <w:rPr>
          <w:rFonts w:ascii="Times New Roman" w:hAnsi="Times New Roman" w:cs="Times New Roman"/>
          <w:sz w:val="24"/>
          <w:szCs w:val="24"/>
        </w:rPr>
        <w:t>a</w:t>
      </w:r>
      <w:r w:rsidRPr="005D050B">
        <w:rPr>
          <w:rFonts w:ascii="Times New Roman" w:hAnsi="Times New Roman" w:cs="Times New Roman"/>
          <w:sz w:val="24"/>
          <w:szCs w:val="24"/>
        </w:rPr>
        <w:t>). Strain LDE-1 selectively grows in modified yeast casitone fatty acids broth supplemented with taurocholate (YCFAN). The strain shows selective growth in modified yeast casitone fatty acids broth supplemented with taurocholate (YCFAN). After two days of incubation at 37 °C under an N</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/CO</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/H</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 xml:space="preserve"> (85:5:10, v:v) atmosphere, colonies on mGAM agar are circular, convex, creamy white, and exhibit entire translucent margins. Growth occurs at temperatures between 25 and 40 °C (optimum 37 °C) and pH values from 6.0 to 10.0 (optimum pH 7.0–7.5). Using the API 50 CHL system (BioMérieux), strain LDE-1 </w:t>
      </w:r>
      <w:r>
        <w:rPr>
          <w:rFonts w:ascii="Times New Roman" w:hAnsi="Times New Roman" w:cs="Times New Roman"/>
          <w:sz w:val="24"/>
          <w:szCs w:val="24"/>
        </w:rPr>
        <w:t>utilises</w:t>
      </w:r>
      <w:r w:rsidRPr="005D050B">
        <w:rPr>
          <w:rFonts w:ascii="Times New Roman" w:hAnsi="Times New Roman" w:cs="Times New Roman"/>
          <w:sz w:val="24"/>
          <w:szCs w:val="24"/>
        </w:rPr>
        <w:t xml:space="preserve"> L-arabinose, D-xylose, L-xylose, D-glucose, inulin, glycogen, D-tagatose, and potassium 5-ketogluconate, and weakly </w:t>
      </w:r>
      <w:r>
        <w:rPr>
          <w:rFonts w:ascii="Times New Roman" w:hAnsi="Times New Roman" w:cs="Times New Roman"/>
          <w:sz w:val="24"/>
          <w:szCs w:val="24"/>
        </w:rPr>
        <w:t>metabolises</w:t>
      </w:r>
      <w:r w:rsidRPr="005D050B">
        <w:rPr>
          <w:rFonts w:ascii="Times New Roman" w:hAnsi="Times New Roman" w:cs="Times New Roman"/>
          <w:sz w:val="24"/>
          <w:szCs w:val="24"/>
        </w:rPr>
        <w:t xml:space="preserve"> L-rhamnose, dulcitol, and aesculin. Acid production from glucose, maltose, xylose, and mannose was confirmed with the API 20A system. Using the API Rapid ID 32A kit, positive reactions were observed for indole production and alkaline phosphatase activity. </w:t>
      </w:r>
    </w:p>
    <w:p w14:paraId="2B529AD2" w14:textId="77777777" w:rsidR="00650B57" w:rsidRPr="005D050B" w:rsidRDefault="00650B57" w:rsidP="00650B57">
      <w:pPr>
        <w:adjustRightInd w:val="0"/>
        <w:snapToGrid w:val="0"/>
        <w:spacing w:line="480" w:lineRule="auto"/>
        <w:rPr>
          <w:rFonts w:ascii="Times New Roman" w:hAnsi="Times New Roman" w:cs="Times New Roman"/>
          <w:sz w:val="24"/>
          <w:szCs w:val="24"/>
        </w:rPr>
      </w:pPr>
    </w:p>
    <w:p w14:paraId="1B0A3A64"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 xml:space="preserve">The genome of strain LDE-1 was sequenced to an average coverage of 277× </w:t>
      </w:r>
      <w:r w:rsidRPr="005D050B">
        <w:rPr>
          <w:rFonts w:ascii="Times New Roman" w:hAnsi="Times New Roman" w:cs="Times New Roman" w:hint="eastAsia"/>
          <w:sz w:val="24"/>
          <w:szCs w:val="24"/>
        </w:rPr>
        <w:t>(</w:t>
      </w:r>
      <w:r w:rsidRPr="005D050B">
        <w:rPr>
          <w:rFonts w:ascii="Times New Roman" w:hAnsi="Times New Roman" w:cs="Times New Roman"/>
          <w:sz w:val="24"/>
          <w:szCs w:val="24"/>
        </w:rPr>
        <w:t>Note S1</w:t>
      </w:r>
      <w:r>
        <w:rPr>
          <w:rFonts w:ascii="Times New Roman" w:hAnsi="Times New Roman" w:cs="Times New Roman"/>
          <w:sz w:val="24"/>
          <w:szCs w:val="24"/>
        </w:rPr>
        <w:t>b</w:t>
      </w:r>
      <w:r w:rsidRPr="005D050B">
        <w:rPr>
          <w:rFonts w:ascii="Times New Roman" w:hAnsi="Times New Roman" w:cs="Times New Roman"/>
          <w:sz w:val="24"/>
          <w:szCs w:val="24"/>
        </w:rPr>
        <w:t>). It comprises 3,674,259 bp with a G+C content of 53.64 mol%, encodes 3,975 predicted protein-coding genes, and contains one copy of the 16S rRNA gene (1,521 bp). Functional annotation was performed using BLAST searches against the GO</w:t>
      </w:r>
      <w:r w:rsidRPr="005D050B">
        <w:rPr>
          <w:rFonts w:ascii="Times New Roman" w:hAnsi="Times New Roman" w:cs="Times New Roman"/>
          <w:sz w:val="24"/>
          <w:szCs w:val="24"/>
          <w:shd w:val="clear" w:color="auto" w:fill="FFFFFF"/>
        </w:rPr>
        <w:t xml:space="preserve"> (</w:t>
      </w:r>
      <w:r w:rsidRPr="005D050B">
        <w:rPr>
          <w:rFonts w:ascii="Times New Roman" w:hAnsi="Times New Roman" w:cs="Times New Roman"/>
          <w:sz w:val="24"/>
          <w:szCs w:val="24"/>
        </w:rPr>
        <w:t>Note S1</w:t>
      </w:r>
      <w:r>
        <w:rPr>
          <w:rFonts w:ascii="Times New Roman" w:hAnsi="Times New Roman" w:cs="Times New Roman"/>
          <w:sz w:val="24"/>
          <w:szCs w:val="24"/>
        </w:rPr>
        <w:t>c</w:t>
      </w:r>
      <w:r w:rsidRPr="005D050B">
        <w:rPr>
          <w:rFonts w:ascii="Times New Roman" w:hAnsi="Times New Roman" w:cs="Times New Roman"/>
          <w:sz w:val="24"/>
          <w:szCs w:val="24"/>
          <w:shd w:val="clear" w:color="auto" w:fill="FFFFFF"/>
        </w:rPr>
        <w:t>) and KEGG (</w:t>
      </w:r>
      <w:r w:rsidRPr="005D050B">
        <w:rPr>
          <w:rFonts w:ascii="Times New Roman" w:hAnsi="Times New Roman" w:cs="Times New Roman"/>
          <w:sz w:val="24"/>
          <w:szCs w:val="24"/>
        </w:rPr>
        <w:t>Note S1</w:t>
      </w:r>
      <w:r>
        <w:rPr>
          <w:rFonts w:ascii="Times New Roman" w:hAnsi="Times New Roman" w:cs="Times New Roman"/>
          <w:sz w:val="24"/>
          <w:szCs w:val="24"/>
        </w:rPr>
        <w:t>d</w:t>
      </w:r>
      <w:r w:rsidRPr="005D050B">
        <w:rPr>
          <w:rFonts w:ascii="Times New Roman" w:hAnsi="Times New Roman" w:cs="Times New Roman"/>
          <w:sz w:val="24"/>
          <w:szCs w:val="24"/>
          <w:shd w:val="clear" w:color="auto" w:fill="FFFFFF"/>
        </w:rPr>
        <w:t xml:space="preserve">) databases. </w:t>
      </w:r>
      <w:r w:rsidRPr="005D050B">
        <w:rPr>
          <w:rFonts w:ascii="Times New Roman" w:eastAsia="SimSun" w:hAnsi="Times New Roman" w:cs="Times New Roman"/>
          <w:kern w:val="0"/>
          <w:sz w:val="24"/>
          <w:szCs w:val="24"/>
          <w:shd w:val="clear" w:color="auto" w:fill="FFFFFF"/>
        </w:rPr>
        <w:t xml:space="preserve">Phylogenetic analysis based on the 16S rRNA gene sequence placed strain LDE-1 within the genus </w:t>
      </w:r>
      <w:r w:rsidRPr="005D050B">
        <w:rPr>
          <w:rFonts w:ascii="Times New Roman" w:eastAsia="SimSun" w:hAnsi="Times New Roman" w:cs="Times New Roman"/>
          <w:i/>
          <w:kern w:val="0"/>
          <w:sz w:val="24"/>
          <w:szCs w:val="24"/>
          <w:shd w:val="clear" w:color="auto" w:fill="FFFFFF"/>
        </w:rPr>
        <w:t>Anaerotruncus</w:t>
      </w:r>
      <w:r w:rsidRPr="005D050B">
        <w:rPr>
          <w:rFonts w:ascii="Times New Roman" w:eastAsia="SimSun" w:hAnsi="Times New Roman" w:cs="Times New Roman"/>
          <w:kern w:val="0"/>
          <w:sz w:val="24"/>
          <w:szCs w:val="24"/>
          <w:shd w:val="clear" w:color="auto" w:fill="FFFFFF"/>
        </w:rPr>
        <w:t xml:space="preserve">, with the closest </w:t>
      </w:r>
      <w:r w:rsidRPr="005D050B">
        <w:rPr>
          <w:rFonts w:ascii="Times New Roman" w:eastAsia="SimSun" w:hAnsi="Times New Roman" w:cs="Times New Roman"/>
          <w:kern w:val="0"/>
          <w:sz w:val="24"/>
          <w:szCs w:val="24"/>
          <w:shd w:val="clear" w:color="auto" w:fill="FFFFFF"/>
        </w:rPr>
        <w:lastRenderedPageBreak/>
        <w:t xml:space="preserve">relatives being </w:t>
      </w:r>
      <w:r w:rsidRPr="005D050B">
        <w:rPr>
          <w:rFonts w:ascii="Times New Roman" w:eastAsia="SimSun" w:hAnsi="Times New Roman" w:cs="Times New Roman"/>
          <w:i/>
          <w:kern w:val="0"/>
          <w:sz w:val="24"/>
          <w:szCs w:val="24"/>
          <w:shd w:val="clear" w:color="auto" w:fill="FFFFFF"/>
        </w:rPr>
        <w:t>Anaerotruncus colihominis</w:t>
      </w:r>
      <w:r w:rsidRPr="005D050B">
        <w:rPr>
          <w:rFonts w:ascii="Times New Roman" w:eastAsia="SimSun" w:hAnsi="Times New Roman" w:cs="Times New Roman"/>
          <w:kern w:val="0"/>
          <w:sz w:val="24"/>
          <w:szCs w:val="24"/>
          <w:shd w:val="clear" w:color="auto" w:fill="FFFFFF"/>
        </w:rPr>
        <w:t xml:space="preserve"> (99.17% similarity), </w:t>
      </w:r>
      <w:r w:rsidRPr="005D050B">
        <w:rPr>
          <w:rFonts w:ascii="Times New Roman" w:eastAsia="SimSun" w:hAnsi="Times New Roman" w:cs="Times New Roman"/>
          <w:i/>
          <w:kern w:val="0"/>
          <w:sz w:val="24"/>
          <w:szCs w:val="24"/>
          <w:shd w:val="clear" w:color="auto" w:fill="FFFFFF"/>
        </w:rPr>
        <w:t>A. massiliensis</w:t>
      </w:r>
      <w:r w:rsidRPr="005D050B">
        <w:rPr>
          <w:rFonts w:ascii="Times New Roman" w:eastAsia="SimSun" w:hAnsi="Times New Roman" w:cs="Times New Roman"/>
          <w:kern w:val="0"/>
          <w:sz w:val="24"/>
          <w:szCs w:val="24"/>
          <w:shd w:val="clear" w:color="auto" w:fill="FFFFFF"/>
        </w:rPr>
        <w:t xml:space="preserve"> (96.41%), </w:t>
      </w:r>
      <w:r w:rsidRPr="005D050B">
        <w:rPr>
          <w:rFonts w:ascii="Times New Roman" w:eastAsia="SimSun" w:hAnsi="Times New Roman" w:cs="Times New Roman"/>
          <w:i/>
          <w:kern w:val="0"/>
          <w:sz w:val="24"/>
          <w:szCs w:val="24"/>
          <w:shd w:val="clear" w:color="auto" w:fill="FFFFFF"/>
        </w:rPr>
        <w:t>A. rubiinfantis</w:t>
      </w:r>
      <w:r w:rsidRPr="005D050B">
        <w:rPr>
          <w:rFonts w:ascii="Times New Roman" w:eastAsia="SimSun" w:hAnsi="Times New Roman" w:cs="Times New Roman"/>
          <w:kern w:val="0"/>
          <w:sz w:val="24"/>
          <w:szCs w:val="24"/>
          <w:shd w:val="clear" w:color="auto" w:fill="FFFFFF"/>
        </w:rPr>
        <w:t xml:space="preserve"> (94.82%) and </w:t>
      </w:r>
      <w:r w:rsidRPr="005D050B">
        <w:rPr>
          <w:rFonts w:ascii="Times New Roman" w:eastAsia="SimSun" w:hAnsi="Times New Roman" w:cs="Times New Roman"/>
          <w:i/>
          <w:kern w:val="0"/>
          <w:sz w:val="24"/>
          <w:szCs w:val="24"/>
          <w:shd w:val="clear" w:color="auto" w:fill="FFFFFF"/>
        </w:rPr>
        <w:t>Youxingia wuxianensis</w:t>
      </w:r>
      <w:r w:rsidRPr="005D050B">
        <w:rPr>
          <w:rFonts w:ascii="Times New Roman" w:eastAsia="SimSun" w:hAnsi="Times New Roman" w:cs="Times New Roman"/>
          <w:kern w:val="0"/>
          <w:sz w:val="24"/>
          <w:szCs w:val="24"/>
          <w:shd w:val="clear" w:color="auto" w:fill="FFFFFF"/>
        </w:rPr>
        <w:t xml:space="preserve"> (93.16%). In the phylogenetic tree, strain LDE-1 formed a stable cluster with </w:t>
      </w:r>
      <w:r w:rsidRPr="005D050B">
        <w:rPr>
          <w:rFonts w:ascii="Times New Roman" w:eastAsia="SimSun" w:hAnsi="Times New Roman" w:cs="Times New Roman"/>
          <w:i/>
          <w:kern w:val="0"/>
          <w:sz w:val="24"/>
          <w:szCs w:val="24"/>
          <w:shd w:val="clear" w:color="auto" w:fill="FFFFFF"/>
        </w:rPr>
        <w:t xml:space="preserve">A. colihominis </w:t>
      </w:r>
      <w:r w:rsidRPr="005D050B">
        <w:rPr>
          <w:rFonts w:ascii="Times New Roman" w:eastAsia="SimSun" w:hAnsi="Times New Roman" w:cs="Times New Roman"/>
          <w:kern w:val="0"/>
          <w:sz w:val="24"/>
          <w:szCs w:val="24"/>
          <w:shd w:val="clear" w:color="auto" w:fill="FFFFFF"/>
        </w:rPr>
        <w:t>(</w:t>
      </w:r>
      <w:r w:rsidRPr="005D050B">
        <w:rPr>
          <w:rFonts w:ascii="Times New Roman" w:hAnsi="Times New Roman" w:cs="Times New Roman"/>
          <w:sz w:val="24"/>
          <w:szCs w:val="24"/>
        </w:rPr>
        <w:t>Note S1</w:t>
      </w:r>
      <w:r>
        <w:rPr>
          <w:rFonts w:ascii="Times New Roman" w:hAnsi="Times New Roman" w:cs="Times New Roman"/>
          <w:sz w:val="24"/>
          <w:szCs w:val="24"/>
        </w:rPr>
        <w:t>e</w:t>
      </w:r>
      <w:r w:rsidRPr="005D050B">
        <w:rPr>
          <w:rFonts w:ascii="Times New Roman" w:hAnsi="Times New Roman" w:cs="Times New Roman"/>
          <w:sz w:val="24"/>
          <w:szCs w:val="24"/>
        </w:rPr>
        <w:t>)</w:t>
      </w:r>
      <w:r w:rsidRPr="005D050B">
        <w:rPr>
          <w:rFonts w:ascii="Times New Roman" w:eastAsia="SimSun" w:hAnsi="Times New Roman" w:cs="Times New Roman"/>
          <w:kern w:val="0"/>
          <w:sz w:val="24"/>
          <w:szCs w:val="24"/>
          <w:shd w:val="clear" w:color="auto" w:fill="FFFFFF"/>
        </w:rPr>
        <w:t xml:space="preserve">. </w:t>
      </w:r>
      <w:r w:rsidRPr="005D050B">
        <w:rPr>
          <w:rFonts w:ascii="Times New Roman" w:hAnsi="Times New Roman" w:cs="Times New Roman"/>
          <w:sz w:val="24"/>
          <w:szCs w:val="24"/>
        </w:rPr>
        <w:t xml:space="preserve">Genome-based taxonomic classification using the Genome Taxonomy Database (GTDB) with 120 marker genes, along with average nucleotide identity (ANI) analysis, confirmed that strain LDE-1 belongs to the species </w:t>
      </w:r>
      <w:r w:rsidRPr="005D050B">
        <w:rPr>
          <w:rFonts w:ascii="Times New Roman" w:hAnsi="Times New Roman" w:cs="Times New Roman"/>
          <w:i/>
          <w:sz w:val="24"/>
          <w:szCs w:val="24"/>
        </w:rPr>
        <w:t>A. colihominis</w:t>
      </w:r>
      <w:r w:rsidRPr="005D050B">
        <w:rPr>
          <w:rFonts w:ascii="Times New Roman" w:hAnsi="Times New Roman" w:cs="Times New Roman"/>
          <w:sz w:val="24"/>
          <w:szCs w:val="24"/>
        </w:rPr>
        <w:t xml:space="preserve"> </w:t>
      </w:r>
      <w:r w:rsidRPr="005D050B">
        <w:rPr>
          <w:rFonts w:ascii="Times New Roman" w:hAnsi="Times New Roman" w:cs="Times New Roman"/>
          <w:iCs/>
          <w:sz w:val="24"/>
          <w:szCs w:val="24"/>
        </w:rPr>
        <w:t>with an identity of 99.03% (Table S17 and Note S1</w:t>
      </w:r>
      <w:r>
        <w:rPr>
          <w:rFonts w:ascii="Times New Roman" w:hAnsi="Times New Roman" w:cs="Times New Roman"/>
          <w:iCs/>
          <w:sz w:val="24"/>
          <w:szCs w:val="24"/>
        </w:rPr>
        <w:t>f</w:t>
      </w:r>
      <w:r w:rsidRPr="005D050B">
        <w:rPr>
          <w:rFonts w:ascii="Times New Roman" w:hAnsi="Times New Roman" w:cs="Times New Roman"/>
          <w:iCs/>
          <w:sz w:val="24"/>
          <w:szCs w:val="24"/>
        </w:rPr>
        <w:t xml:space="preserve">). Therefore, strain LDE-1 represents a novel strain of the species </w:t>
      </w:r>
      <w:r w:rsidRPr="005D050B">
        <w:rPr>
          <w:rFonts w:ascii="Times New Roman" w:hAnsi="Times New Roman" w:cs="Times New Roman"/>
          <w:i/>
          <w:iCs/>
          <w:sz w:val="24"/>
          <w:szCs w:val="24"/>
        </w:rPr>
        <w:t>Anaerotruncus colihominis</w:t>
      </w:r>
      <w:r w:rsidRPr="005D050B">
        <w:rPr>
          <w:rFonts w:ascii="Times New Roman" w:hAnsi="Times New Roman" w:cs="Times New Roman"/>
          <w:iCs/>
          <w:sz w:val="24"/>
          <w:szCs w:val="24"/>
        </w:rPr>
        <w:t xml:space="preserve">. </w:t>
      </w:r>
    </w:p>
    <w:p w14:paraId="726EC878" w14:textId="77777777" w:rsidR="00650B57" w:rsidRPr="005D050B" w:rsidRDefault="00650B57" w:rsidP="00650B57">
      <w:pPr>
        <w:adjustRightInd w:val="0"/>
        <w:snapToGrid w:val="0"/>
        <w:spacing w:line="480" w:lineRule="auto"/>
        <w:ind w:leftChars="-400" w:left="-840"/>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138A055B" wp14:editId="4FB85AD0">
            <wp:extent cx="6675755" cy="5657850"/>
            <wp:effectExtent l="0" t="0" r="0" b="0"/>
            <wp:docPr id="33" name="图片 3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A screenshot of a computer&#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75755" cy="5657850"/>
                    </a:xfrm>
                    <a:prstGeom prst="rect">
                      <a:avLst/>
                    </a:prstGeom>
                    <a:noFill/>
                  </pic:spPr>
                </pic:pic>
              </a:graphicData>
            </a:graphic>
          </wp:inline>
        </w:drawing>
      </w:r>
    </w:p>
    <w:p w14:paraId="1F0DA200"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Pr="005D050B">
        <w:rPr>
          <w:rFonts w:ascii="Times New Roman" w:hAnsi="Times New Roman" w:cs="Times New Roman"/>
          <w:b/>
          <w:bCs/>
          <w:sz w:val="24"/>
          <w:szCs w:val="24"/>
        </w:rPr>
        <w:t xml:space="preserve">Note </w:t>
      </w:r>
      <w:r>
        <w:rPr>
          <w:rFonts w:ascii="Times New Roman" w:hAnsi="Times New Roman" w:cs="Times New Roman"/>
          <w:b/>
          <w:bCs/>
          <w:sz w:val="24"/>
          <w:szCs w:val="24"/>
        </w:rPr>
        <w:t xml:space="preserve">Fig. </w:t>
      </w:r>
      <w:r w:rsidRPr="005D050B">
        <w:rPr>
          <w:rFonts w:ascii="Times New Roman" w:hAnsi="Times New Roman" w:cs="Times New Roman"/>
          <w:b/>
          <w:bCs/>
          <w:sz w:val="24"/>
          <w:szCs w:val="24"/>
        </w:rPr>
        <w:t>1</w:t>
      </w:r>
      <w:r>
        <w:rPr>
          <w:rFonts w:ascii="Times New Roman" w:hAnsi="Times New Roman" w:cs="Times New Roman"/>
          <w:b/>
          <w:bCs/>
          <w:sz w:val="24"/>
          <w:szCs w:val="24"/>
        </w:rPr>
        <w:t>:</w:t>
      </w:r>
      <w:r w:rsidRPr="005D050B">
        <w:rPr>
          <w:rFonts w:ascii="Times New Roman" w:hAnsi="Times New Roman" w:cs="Times New Roman"/>
          <w:b/>
          <w:bCs/>
          <w:sz w:val="24"/>
          <w:szCs w:val="24"/>
        </w:rPr>
        <w:t xml:space="preserve"> </w:t>
      </w:r>
      <w:r>
        <w:rPr>
          <w:rFonts w:ascii="Times New Roman" w:hAnsi="Times New Roman" w:cs="Times New Roman"/>
          <w:b/>
          <w:bCs/>
          <w:sz w:val="24"/>
          <w:szCs w:val="24"/>
        </w:rPr>
        <w:t>Characterisation</w:t>
      </w:r>
      <w:r w:rsidRPr="005D050B">
        <w:rPr>
          <w:rFonts w:ascii="Times New Roman" w:hAnsi="Times New Roman" w:cs="Times New Roman"/>
          <w:b/>
          <w:bCs/>
          <w:sz w:val="24"/>
          <w:szCs w:val="24"/>
        </w:rPr>
        <w:t xml:space="preserve"> and genomic analysis of strain LDE-</w:t>
      </w:r>
      <w:r w:rsidRPr="005D050B">
        <w:rPr>
          <w:rFonts w:ascii="Times New Roman" w:hAnsi="Times New Roman" w:cs="Times New Roman"/>
          <w:b/>
          <w:bCs/>
          <w:sz w:val="24"/>
          <w:szCs w:val="24"/>
        </w:rPr>
        <w:lastRenderedPageBreak/>
        <w:t>1</w:t>
      </w:r>
    </w:p>
    <w:p w14:paraId="690C9DF5"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sidRPr="001F1E8D">
        <w:rPr>
          <w:rFonts w:ascii="Times New Roman" w:hAnsi="Times New Roman" w:cs="Times New Roman"/>
          <w:b/>
          <w:sz w:val="24"/>
          <w:szCs w:val="24"/>
        </w:rPr>
        <w:t>a,</w:t>
      </w:r>
      <w:r w:rsidRPr="005D050B">
        <w:rPr>
          <w:rFonts w:ascii="Times New Roman" w:hAnsi="Times New Roman" w:cs="Times New Roman"/>
          <w:sz w:val="24"/>
          <w:szCs w:val="24"/>
        </w:rPr>
        <w:t xml:space="preserve"> Transmission electron micrograph of strain LDE-1 following negative staining. (B) Genome assembly metrics of strain LDE-1, including scaffold and contig characteristics. </w:t>
      </w:r>
      <w:r w:rsidRPr="0035387E">
        <w:rPr>
          <w:rFonts w:ascii="Times New Roman" w:hAnsi="Times New Roman" w:cs="Times New Roman"/>
          <w:b/>
          <w:sz w:val="24"/>
          <w:szCs w:val="24"/>
        </w:rPr>
        <w:t>c,d,</w:t>
      </w:r>
      <w:r w:rsidRPr="005D050B">
        <w:rPr>
          <w:rFonts w:ascii="Times New Roman" w:hAnsi="Times New Roman" w:cs="Times New Roman"/>
          <w:sz w:val="24"/>
          <w:szCs w:val="24"/>
        </w:rPr>
        <w:t xml:space="preserve"> Functional annotation of the genome based on Gene Ontology (GO) and KEGG pathway analyses. </w:t>
      </w:r>
      <w:r w:rsidRPr="0035387E">
        <w:rPr>
          <w:rFonts w:ascii="Times New Roman" w:hAnsi="Times New Roman" w:cs="Times New Roman"/>
          <w:b/>
          <w:sz w:val="24"/>
          <w:szCs w:val="24"/>
        </w:rPr>
        <w:t>e,</w:t>
      </w:r>
      <w:r w:rsidRPr="005D050B">
        <w:rPr>
          <w:rFonts w:ascii="Times New Roman" w:hAnsi="Times New Roman" w:cs="Times New Roman"/>
          <w:sz w:val="24"/>
          <w:szCs w:val="24"/>
        </w:rPr>
        <w:t xml:space="preserve"> Neighbo</w:t>
      </w:r>
      <w:r>
        <w:rPr>
          <w:rFonts w:ascii="Times New Roman" w:hAnsi="Times New Roman" w:cs="Times New Roman"/>
          <w:sz w:val="24"/>
          <w:szCs w:val="24"/>
        </w:rPr>
        <w:t>u</w:t>
      </w:r>
      <w:r w:rsidRPr="005D050B">
        <w:rPr>
          <w:rFonts w:ascii="Times New Roman" w:hAnsi="Times New Roman" w:cs="Times New Roman"/>
          <w:sz w:val="24"/>
          <w:szCs w:val="24"/>
        </w:rPr>
        <w:t xml:space="preserve">r-joining phylogenetic tree based on 16S rRNA gene sequences, constructed using MEGA7. Bootstrap values (1000 replicates) are indicated at branch nodes. The scale bar represents evolutionary distance. Closest related type strains are shown with percentage sequence similarity. </w:t>
      </w:r>
      <w:r w:rsidRPr="0035387E">
        <w:rPr>
          <w:rFonts w:ascii="Times New Roman" w:hAnsi="Times New Roman" w:cs="Times New Roman"/>
          <w:b/>
          <w:sz w:val="24"/>
          <w:szCs w:val="24"/>
        </w:rPr>
        <w:t>f,</w:t>
      </w:r>
      <w:r w:rsidRPr="005D050B">
        <w:rPr>
          <w:rFonts w:ascii="Times New Roman" w:hAnsi="Times New Roman" w:cs="Times New Roman"/>
          <w:sz w:val="24"/>
          <w:szCs w:val="24"/>
        </w:rPr>
        <w:t xml:space="preserve"> Taxonomic classification of strain LDE-1 using GTDB-Tk. </w:t>
      </w:r>
    </w:p>
    <w:p w14:paraId="2414B68B"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p>
    <w:p w14:paraId="49ABB39C" w14:textId="77777777" w:rsidR="00650B57" w:rsidRPr="005D050B" w:rsidRDefault="00650B57" w:rsidP="00650B57">
      <w:pPr>
        <w:widowControl/>
        <w:jc w:val="left"/>
        <w:rPr>
          <w:rFonts w:ascii="Times New Roman" w:hAnsi="Times New Roman" w:cs="Times New Roman"/>
          <w:b/>
          <w:bCs/>
          <w:sz w:val="24"/>
          <w:szCs w:val="24"/>
        </w:rPr>
      </w:pPr>
      <w:r w:rsidRPr="005D050B">
        <w:rPr>
          <w:rFonts w:ascii="Times New Roman" w:hAnsi="Times New Roman" w:cs="Times New Roman"/>
          <w:b/>
          <w:bCs/>
          <w:sz w:val="24"/>
          <w:szCs w:val="24"/>
        </w:rPr>
        <w:br w:type="page"/>
      </w:r>
    </w:p>
    <w:p w14:paraId="5B163B97"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sidRPr="005D050B">
        <w:rPr>
          <w:rFonts w:ascii="Times New Roman" w:hAnsi="Times New Roman" w:cs="Times New Roman"/>
          <w:b/>
          <w:bCs/>
          <w:sz w:val="24"/>
          <w:szCs w:val="24"/>
        </w:rPr>
        <w:lastRenderedPageBreak/>
        <w:t>Supplement</w:t>
      </w:r>
      <w:r>
        <w:rPr>
          <w:rFonts w:ascii="Times New Roman" w:hAnsi="Times New Roman" w:cs="Times New Roman"/>
          <w:b/>
          <w:bCs/>
          <w:sz w:val="24"/>
          <w:szCs w:val="24"/>
        </w:rPr>
        <w:t>ary</w:t>
      </w:r>
      <w:r w:rsidRPr="005D050B">
        <w:rPr>
          <w:rFonts w:ascii="Times New Roman" w:hAnsi="Times New Roman" w:cs="Times New Roman"/>
          <w:b/>
          <w:bCs/>
          <w:sz w:val="24"/>
          <w:szCs w:val="24"/>
        </w:rPr>
        <w:t xml:space="preserve"> Note 2</w:t>
      </w:r>
      <w:r>
        <w:rPr>
          <w:rFonts w:ascii="Times New Roman" w:hAnsi="Times New Roman" w:cs="Times New Roman"/>
          <w:b/>
          <w:bCs/>
          <w:sz w:val="24"/>
          <w:szCs w:val="24"/>
        </w:rPr>
        <w:t xml:space="preserve">: </w:t>
      </w:r>
      <w:r w:rsidRPr="005D050B">
        <w:rPr>
          <w:rFonts w:ascii="Times New Roman" w:hAnsi="Times New Roman" w:cs="Times New Roman"/>
          <w:b/>
          <w:bCs/>
          <w:kern w:val="0"/>
          <w:sz w:val="24"/>
          <w:szCs w:val="24"/>
        </w:rPr>
        <w:t>Description of</w:t>
      </w:r>
      <w:r w:rsidRPr="005D050B">
        <w:rPr>
          <w:rFonts w:ascii="Times New Roman" w:hAnsi="Times New Roman" w:cs="Times New Roman"/>
          <w:b/>
          <w:kern w:val="0"/>
          <w:sz w:val="24"/>
          <w:szCs w:val="24"/>
        </w:rPr>
        <w:t xml:space="preserve"> </w:t>
      </w:r>
      <w:bookmarkStart w:id="19" w:name="_Hlk207463396"/>
      <w:r w:rsidRPr="005D050B">
        <w:rPr>
          <w:rFonts w:ascii="Times New Roman" w:hAnsi="Times New Roman" w:cs="Times New Roman"/>
          <w:b/>
          <w:i/>
          <w:kern w:val="0"/>
          <w:sz w:val="24"/>
          <w:szCs w:val="24"/>
        </w:rPr>
        <w:t>Lachnospiraceae</w:t>
      </w:r>
      <w:r w:rsidRPr="005D050B">
        <w:rPr>
          <w:rFonts w:ascii="Times New Roman" w:hAnsi="Times New Roman" w:cs="Times New Roman"/>
          <w:b/>
          <w:kern w:val="0"/>
          <w:sz w:val="24"/>
          <w:szCs w:val="24"/>
        </w:rPr>
        <w:t xml:space="preserve"> sp. strain </w:t>
      </w:r>
      <w:bookmarkEnd w:id="19"/>
      <w:r w:rsidRPr="005D050B">
        <w:rPr>
          <w:rFonts w:ascii="Times New Roman" w:hAnsi="Times New Roman" w:cs="Times New Roman"/>
          <w:b/>
          <w:kern w:val="0"/>
          <w:sz w:val="24"/>
          <w:szCs w:val="24"/>
        </w:rPr>
        <w:t>LDE-2</w:t>
      </w:r>
      <w:r>
        <w:rPr>
          <w:rFonts w:ascii="Times New Roman" w:hAnsi="Times New Roman" w:cs="Times New Roman"/>
          <w:b/>
          <w:kern w:val="0"/>
          <w:sz w:val="24"/>
          <w:szCs w:val="24"/>
        </w:rPr>
        <w:t>.</w:t>
      </w:r>
      <w:r w:rsidRPr="005D050B">
        <w:rPr>
          <w:rFonts w:ascii="Times New Roman" w:hAnsi="Times New Roman" w:cs="Times New Roman"/>
          <w:b/>
          <w:sz w:val="24"/>
          <w:szCs w:val="24"/>
        </w:rPr>
        <w:t xml:space="preserve"> </w:t>
      </w:r>
    </w:p>
    <w:p w14:paraId="7EF8FA7A" w14:textId="77777777" w:rsidR="00650B57" w:rsidRPr="005D050B" w:rsidRDefault="00650B57" w:rsidP="00650B57">
      <w:pPr>
        <w:adjustRightInd w:val="0"/>
        <w:snapToGrid w:val="0"/>
        <w:spacing w:line="480" w:lineRule="auto"/>
        <w:rPr>
          <w:rFonts w:ascii="Times New Roman" w:hAnsi="Times New Roman" w:cs="Times New Roman"/>
          <w:sz w:val="24"/>
          <w:szCs w:val="24"/>
        </w:rPr>
      </w:pPr>
      <w:r w:rsidRPr="005D050B">
        <w:rPr>
          <w:rFonts w:ascii="Times New Roman" w:hAnsi="Times New Roman" w:cs="Times New Roman"/>
          <w:sz w:val="24"/>
          <w:szCs w:val="24"/>
        </w:rPr>
        <w:t>Strain LDE-2 is a strictly anaerobic, Gram-positive rod-shaped bacterium, measuring 0.2-0.5 μm in width and 3.0-6.1 μm in length, and possesses flagella (Note S2A)</w:t>
      </w:r>
      <w:r w:rsidRPr="005D050B">
        <w:rPr>
          <w:rFonts w:ascii="Times New Roman" w:hAnsi="Times New Roman" w:cs="Times New Roman" w:hint="eastAsia"/>
          <w:sz w:val="24"/>
          <w:szCs w:val="24"/>
        </w:rPr>
        <w:t>.</w:t>
      </w:r>
      <w:r w:rsidRPr="005D050B">
        <w:rPr>
          <w:rFonts w:ascii="Times New Roman" w:hAnsi="Times New Roman" w:cs="Times New Roman"/>
          <w:sz w:val="24"/>
          <w:szCs w:val="24"/>
        </w:rPr>
        <w:t xml:space="preserve"> </w:t>
      </w:r>
      <w:r w:rsidRPr="005D050B">
        <w:rPr>
          <w:rFonts w:ascii="Times New Roman" w:hAnsi="Times New Roman" w:cs="Times New Roman"/>
          <w:sz w:val="24"/>
          <w:szCs w:val="24"/>
          <w:shd w:val="clear" w:color="auto" w:fill="FFFFFF"/>
        </w:rPr>
        <w:t>After 5 days of incubation on mGAM agar at 37 °C under an</w:t>
      </w:r>
      <w:r w:rsidRPr="005D050B">
        <w:rPr>
          <w:rFonts w:ascii="Times New Roman" w:hAnsi="Times New Roman" w:cs="Times New Roman"/>
          <w:sz w:val="24"/>
          <w:szCs w:val="24"/>
        </w:rPr>
        <w:t xml:space="preserve"> N</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/CO</w:t>
      </w:r>
      <w:r w:rsidRPr="005D050B">
        <w:rPr>
          <w:rFonts w:ascii="Times New Roman" w:hAnsi="Times New Roman" w:cs="Times New Roman"/>
          <w:sz w:val="24"/>
          <w:szCs w:val="24"/>
          <w:vertAlign w:val="subscript"/>
        </w:rPr>
        <w:t>2</w:t>
      </w:r>
      <w:r w:rsidRPr="005D050B">
        <w:rPr>
          <w:rFonts w:ascii="Times New Roman" w:hAnsi="Times New Roman" w:cs="Times New Roman"/>
          <w:sz w:val="24"/>
          <w:szCs w:val="24"/>
        </w:rPr>
        <w:t>/H</w:t>
      </w:r>
      <w:r w:rsidRPr="005D050B">
        <w:rPr>
          <w:rFonts w:ascii="Times New Roman" w:hAnsi="Times New Roman" w:cs="Times New Roman"/>
          <w:sz w:val="24"/>
          <w:szCs w:val="24"/>
          <w:vertAlign w:val="subscript"/>
        </w:rPr>
        <w:t xml:space="preserve">2 </w:t>
      </w:r>
      <w:r w:rsidRPr="005D050B">
        <w:rPr>
          <w:rFonts w:ascii="Times New Roman" w:hAnsi="Times New Roman" w:cs="Times New Roman"/>
          <w:sz w:val="24"/>
          <w:szCs w:val="24"/>
        </w:rPr>
        <w:t>(85:5:10, v:v) atmosphere, colonies reach 3-5 mm in diameter, appear round and light yellow, with irregular margins, a rough surface, and are non-hemolytic</w:t>
      </w:r>
      <w:r w:rsidRPr="005D050B">
        <w:rPr>
          <w:rFonts w:ascii="Times New Roman" w:hAnsi="Times New Roman" w:cs="Times New Roman"/>
          <w:sz w:val="24"/>
          <w:szCs w:val="24"/>
          <w:shd w:val="clear" w:color="auto" w:fill="FFFFFF"/>
        </w:rPr>
        <w:t>.</w:t>
      </w:r>
      <w:r w:rsidRPr="005D050B">
        <w:rPr>
          <w:rFonts w:ascii="Times New Roman" w:hAnsi="Times New Roman" w:cs="Times New Roman"/>
          <w:sz w:val="24"/>
          <w:szCs w:val="24"/>
        </w:rPr>
        <w:t xml:space="preserve"> Growth occurs at 37 °C and within pH 6.5-8.0 (optimum pH 7.2). No growth is observed on BHI, PYG, LB, or TSA media. According to the API 50 CHL test, the strain </w:t>
      </w:r>
      <w:r>
        <w:rPr>
          <w:rFonts w:ascii="Times New Roman" w:hAnsi="Times New Roman" w:cs="Times New Roman"/>
          <w:sz w:val="24"/>
          <w:szCs w:val="24"/>
        </w:rPr>
        <w:t>utilises</w:t>
      </w:r>
      <w:r w:rsidRPr="005D050B">
        <w:rPr>
          <w:rFonts w:ascii="Times New Roman" w:hAnsi="Times New Roman" w:cs="Times New Roman"/>
          <w:sz w:val="24"/>
          <w:szCs w:val="24"/>
        </w:rPr>
        <w:t xml:space="preserve"> maltose, melibiose, sucrose, trehalose, raffinose, and D-pinitol as carbon sources; moderately </w:t>
      </w:r>
      <w:r>
        <w:rPr>
          <w:rFonts w:ascii="Times New Roman" w:hAnsi="Times New Roman" w:cs="Times New Roman"/>
          <w:sz w:val="24"/>
          <w:szCs w:val="24"/>
        </w:rPr>
        <w:t>metabolises</w:t>
      </w:r>
      <w:r w:rsidRPr="005D050B">
        <w:rPr>
          <w:rFonts w:ascii="Times New Roman" w:hAnsi="Times New Roman" w:cs="Times New Roman"/>
          <w:sz w:val="24"/>
          <w:szCs w:val="24"/>
        </w:rPr>
        <w:t xml:space="preserve"> galactose, glucose, and fructose; and weakly </w:t>
      </w:r>
      <w:r>
        <w:rPr>
          <w:rFonts w:ascii="Times New Roman" w:hAnsi="Times New Roman" w:cs="Times New Roman"/>
          <w:sz w:val="24"/>
          <w:szCs w:val="24"/>
        </w:rPr>
        <w:t>metabolises</w:t>
      </w:r>
      <w:r w:rsidRPr="005D050B">
        <w:rPr>
          <w:rFonts w:ascii="Times New Roman" w:hAnsi="Times New Roman" w:cs="Times New Roman"/>
          <w:sz w:val="24"/>
          <w:szCs w:val="24"/>
        </w:rPr>
        <w:t xml:space="preserve"> D-arabinose, L-arabinose, α-methyl-D-glucoside, and D-tagatose. Using the API 20A system, acid production from sucrose, glucose, galactose, and mannose was detected. The API Rapid ID 32A system yielded positive reactions for α-galactosidase and α-glucosidase. </w:t>
      </w:r>
    </w:p>
    <w:p w14:paraId="30AE065E" w14:textId="77777777" w:rsidR="00650B57" w:rsidRPr="005D050B" w:rsidRDefault="00650B57" w:rsidP="00650B57">
      <w:pPr>
        <w:adjustRightInd w:val="0"/>
        <w:snapToGrid w:val="0"/>
        <w:spacing w:line="480" w:lineRule="auto"/>
        <w:rPr>
          <w:rFonts w:ascii="Times New Roman" w:hAnsi="Times New Roman" w:cs="Times New Roman"/>
          <w:sz w:val="24"/>
          <w:szCs w:val="24"/>
        </w:rPr>
      </w:pPr>
    </w:p>
    <w:p w14:paraId="1F371B4B" w14:textId="77777777" w:rsidR="00650B57" w:rsidRPr="005D050B" w:rsidRDefault="00650B57" w:rsidP="00650B57">
      <w:pPr>
        <w:pStyle w:val="ListParagraph"/>
        <w:adjustRightInd w:val="0"/>
        <w:snapToGrid w:val="0"/>
        <w:spacing w:line="480" w:lineRule="auto"/>
        <w:rPr>
          <w:rFonts w:ascii="Times New Roman" w:hAnsi="Times New Roman" w:cs="Times New Roman"/>
        </w:rPr>
      </w:pPr>
      <w:r w:rsidRPr="005D050B">
        <w:rPr>
          <w:rFonts w:ascii="Times New Roman" w:hAnsi="Times New Roman" w:cs="Times New Roman"/>
        </w:rPr>
        <w:t>The complete genome of strain LDE-2 consists of a circular chromosome of 4,120,988 bp with a G+C content of 44.8%. Sequencing reached 367× coverage (Note S2B)</w:t>
      </w:r>
      <w:r w:rsidRPr="005D050B">
        <w:rPr>
          <w:rFonts w:ascii="Times New Roman" w:hAnsi="Times New Roman" w:cs="Times New Roman"/>
          <w:shd w:val="clear" w:color="auto" w:fill="FFFFFF"/>
        </w:rPr>
        <w:t xml:space="preserve">, and the assembly produced 74 scaffolds (&gt; 500 bp) and 79 contigs (&gt; 500 bp), with an N50 of 147,214 bp. The genome contains 4,425 protein-coding genes, </w:t>
      </w:r>
      <w:r>
        <w:rPr>
          <w:rFonts w:ascii="Times New Roman" w:hAnsi="Times New Roman" w:cs="Times New Roman"/>
          <w:shd w:val="clear" w:color="auto" w:fill="FFFFFF"/>
        </w:rPr>
        <w:t>totalling</w:t>
      </w:r>
      <w:r w:rsidRPr="005D050B">
        <w:rPr>
          <w:rFonts w:ascii="Times New Roman" w:hAnsi="Times New Roman" w:cs="Times New Roman"/>
          <w:shd w:val="clear" w:color="auto" w:fill="FFFFFF"/>
        </w:rPr>
        <w:t xml:space="preserve"> 3,708,483 bp, and one incomplete 16S rRNA gene sequence (1,305 bp). Functional annotation was performed via BLAST against the GO (Note S2C) and KEGG (Note S2D) databases. </w:t>
      </w:r>
      <w:r w:rsidRPr="005D050B">
        <w:rPr>
          <w:rFonts w:ascii="Times New Roman" w:hAnsi="Times New Roman" w:cs="Times New Roman"/>
        </w:rPr>
        <w:t xml:space="preserve">Based on 16S rRNA gene sequence similarity, the closest related species is </w:t>
      </w:r>
      <w:r w:rsidRPr="005D050B">
        <w:rPr>
          <w:rFonts w:ascii="Times New Roman" w:hAnsi="Times New Roman" w:cs="Times New Roman"/>
          <w:i/>
        </w:rPr>
        <w:t>Acetatifactor muris</w:t>
      </w:r>
      <w:r w:rsidRPr="005D050B">
        <w:rPr>
          <w:rFonts w:ascii="Times New Roman" w:hAnsi="Times New Roman" w:cs="Times New Roman"/>
        </w:rPr>
        <w:t xml:space="preserve"> (91.78%) within the family </w:t>
      </w:r>
      <w:r w:rsidRPr="005D050B">
        <w:rPr>
          <w:rFonts w:ascii="Times New Roman" w:hAnsi="Times New Roman" w:cs="Times New Roman"/>
          <w:i/>
          <w:iCs/>
        </w:rPr>
        <w:t>Lachnospiraceae</w:t>
      </w:r>
      <w:r w:rsidRPr="005D050B">
        <w:rPr>
          <w:rFonts w:ascii="Times New Roman" w:hAnsi="Times New Roman" w:cs="Times New Roman"/>
        </w:rPr>
        <w:t xml:space="preserve">. Phylogenetic analysis placed strain LDE-2 within the </w:t>
      </w:r>
      <w:r w:rsidRPr="005D050B">
        <w:rPr>
          <w:rFonts w:ascii="Times New Roman" w:hAnsi="Times New Roman" w:cs="Times New Roman"/>
          <w:i/>
        </w:rPr>
        <w:t>Lachnospiraceae</w:t>
      </w:r>
      <w:r w:rsidRPr="005D050B">
        <w:rPr>
          <w:rFonts w:ascii="Times New Roman" w:hAnsi="Times New Roman" w:cs="Times New Roman"/>
        </w:rPr>
        <w:t xml:space="preserve"> family, adjacent to genera such as</w:t>
      </w:r>
      <w:r w:rsidRPr="005D050B">
        <w:rPr>
          <w:rFonts w:ascii="Times New Roman" w:eastAsia="SimSun" w:hAnsi="Times New Roman" w:cs="Times New Roman"/>
          <w:kern w:val="0"/>
          <w:shd w:val="clear" w:color="auto" w:fill="FFFFFF"/>
        </w:rPr>
        <w:t xml:space="preserve"> </w:t>
      </w:r>
      <w:r w:rsidRPr="005D050B">
        <w:rPr>
          <w:rFonts w:ascii="Times New Roman" w:hAnsi="Times New Roman" w:cs="Times New Roman"/>
          <w:i/>
        </w:rPr>
        <w:t>Acetatifactor</w:t>
      </w:r>
      <w:r w:rsidRPr="005D050B">
        <w:rPr>
          <w:rFonts w:ascii="Times New Roman" w:hAnsi="Times New Roman" w:cs="Times New Roman"/>
          <w:iCs/>
        </w:rPr>
        <w:t>,</w:t>
      </w:r>
      <w:r w:rsidRPr="005D050B">
        <w:rPr>
          <w:rFonts w:ascii="Times New Roman" w:eastAsia="SimSun" w:hAnsi="Times New Roman" w:cs="Times New Roman"/>
          <w:i/>
          <w:kern w:val="0"/>
          <w:shd w:val="clear" w:color="auto" w:fill="FFFFFF"/>
        </w:rPr>
        <w:t xml:space="preserve"> Eisenbergiella</w:t>
      </w:r>
      <w:r w:rsidRPr="005D050B">
        <w:rPr>
          <w:rFonts w:ascii="Times New Roman" w:eastAsia="SimSun" w:hAnsi="Times New Roman" w:cs="Times New Roman"/>
          <w:kern w:val="0"/>
          <w:shd w:val="clear" w:color="auto" w:fill="FFFFFF"/>
        </w:rPr>
        <w:t xml:space="preserve">, </w:t>
      </w:r>
      <w:r w:rsidRPr="005D050B">
        <w:rPr>
          <w:rFonts w:ascii="Times New Roman" w:eastAsia="SimSun" w:hAnsi="Times New Roman" w:cs="Times New Roman"/>
          <w:i/>
          <w:kern w:val="0"/>
          <w:shd w:val="clear" w:color="auto" w:fill="FFFFFF"/>
        </w:rPr>
        <w:t>Enterocloster</w:t>
      </w:r>
      <w:r w:rsidRPr="005D050B">
        <w:rPr>
          <w:rFonts w:ascii="Times New Roman" w:eastAsia="SimSun" w:hAnsi="Times New Roman" w:cs="Times New Roman"/>
          <w:kern w:val="0"/>
          <w:shd w:val="clear" w:color="auto" w:fill="FFFFFF"/>
        </w:rPr>
        <w:t xml:space="preserve">, </w:t>
      </w:r>
      <w:r w:rsidRPr="005D050B">
        <w:rPr>
          <w:rFonts w:ascii="Times New Roman" w:eastAsia="SimSun" w:hAnsi="Times New Roman" w:cs="Times New Roman"/>
          <w:i/>
          <w:kern w:val="0"/>
          <w:shd w:val="clear" w:color="auto" w:fill="FFFFFF"/>
        </w:rPr>
        <w:t>Kineothrix</w:t>
      </w:r>
      <w:r w:rsidRPr="005D050B">
        <w:rPr>
          <w:rFonts w:ascii="Times New Roman" w:eastAsia="SimSun" w:hAnsi="Times New Roman" w:cs="Times New Roman"/>
          <w:iCs/>
          <w:kern w:val="0"/>
          <w:shd w:val="clear" w:color="auto" w:fill="FFFFFF"/>
        </w:rPr>
        <w:t>,</w:t>
      </w:r>
      <w:r w:rsidRPr="005D050B">
        <w:rPr>
          <w:rFonts w:ascii="Times New Roman" w:eastAsia="SimSun" w:hAnsi="Times New Roman" w:cs="Times New Roman"/>
          <w:kern w:val="0"/>
          <w:shd w:val="clear" w:color="auto" w:fill="FFFFFF"/>
        </w:rPr>
        <w:t xml:space="preserve"> and </w:t>
      </w:r>
      <w:r w:rsidRPr="005D050B">
        <w:rPr>
          <w:rFonts w:ascii="Times New Roman" w:eastAsia="SimSun" w:hAnsi="Times New Roman" w:cs="Times New Roman"/>
          <w:i/>
          <w:kern w:val="0"/>
          <w:shd w:val="clear" w:color="auto" w:fill="FFFFFF"/>
        </w:rPr>
        <w:lastRenderedPageBreak/>
        <w:t>Marvinbryantia</w:t>
      </w:r>
      <w:r w:rsidRPr="005D050B">
        <w:rPr>
          <w:rFonts w:ascii="Times New Roman" w:eastAsia="SimSun" w:hAnsi="Times New Roman" w:cs="Times New Roman"/>
          <w:kern w:val="0"/>
          <w:shd w:val="clear" w:color="auto" w:fill="FFFFFF"/>
        </w:rPr>
        <w:t>. In the phylogenetic tree, strain LDE-2 formed a distinct branch (</w:t>
      </w:r>
      <w:r w:rsidRPr="005D050B">
        <w:rPr>
          <w:rFonts w:ascii="Times New Roman" w:hAnsi="Times New Roman" w:cs="Times New Roman"/>
        </w:rPr>
        <w:t>Note S2E)</w:t>
      </w:r>
      <w:r w:rsidRPr="005D050B">
        <w:rPr>
          <w:rFonts w:ascii="Times New Roman" w:eastAsia="SimSun" w:hAnsi="Times New Roman" w:cs="Times New Roman"/>
          <w:kern w:val="0"/>
          <w:shd w:val="clear" w:color="auto" w:fill="FFFFFF"/>
        </w:rPr>
        <w:t xml:space="preserve">, and the low 16S rRNA gene sequence similarity to other known taxa in </w:t>
      </w:r>
      <w:r w:rsidRPr="005D050B">
        <w:rPr>
          <w:rFonts w:ascii="Times New Roman" w:eastAsia="SimSun" w:hAnsi="Times New Roman" w:cs="Times New Roman"/>
          <w:i/>
          <w:kern w:val="0"/>
          <w:shd w:val="clear" w:color="auto" w:fill="FFFFFF"/>
        </w:rPr>
        <w:t>Lachnospiraceae</w:t>
      </w:r>
      <w:r w:rsidRPr="005D050B">
        <w:rPr>
          <w:rFonts w:ascii="Times New Roman" w:eastAsia="SimSun" w:hAnsi="Times New Roman" w:cs="Times New Roman"/>
          <w:kern w:val="0"/>
          <w:shd w:val="clear" w:color="auto" w:fill="FFFFFF"/>
        </w:rPr>
        <w:t xml:space="preserve">, suggested that strain </w:t>
      </w:r>
      <w:r w:rsidRPr="005D050B">
        <w:rPr>
          <w:rFonts w:ascii="Times New Roman" w:eastAsia="SimSun" w:hAnsi="Times New Roman" w:cs="Times New Roman" w:hint="eastAsia"/>
          <w:kern w:val="0"/>
          <w:shd w:val="clear" w:color="auto" w:fill="FFFFFF"/>
        </w:rPr>
        <w:t>LDE-2</w:t>
      </w:r>
      <w:r w:rsidRPr="005D050B">
        <w:rPr>
          <w:rFonts w:ascii="Times New Roman" w:eastAsia="SimSun" w:hAnsi="Times New Roman" w:cs="Times New Roman"/>
          <w:kern w:val="0"/>
          <w:shd w:val="clear" w:color="auto" w:fill="FFFFFF"/>
        </w:rPr>
        <w:t xml:space="preserve"> represented a novel species, and possibly a new genus, within the family </w:t>
      </w:r>
      <w:r w:rsidRPr="005D050B">
        <w:rPr>
          <w:rFonts w:ascii="Times New Roman" w:eastAsia="SimSun" w:hAnsi="Times New Roman" w:cs="Times New Roman"/>
          <w:i/>
          <w:kern w:val="0"/>
          <w:shd w:val="clear" w:color="auto" w:fill="FFFFFF"/>
        </w:rPr>
        <w:t>Lachnospiraceae</w:t>
      </w:r>
      <w:r w:rsidRPr="005D050B">
        <w:rPr>
          <w:rFonts w:ascii="Times New Roman" w:eastAsia="SimSun" w:hAnsi="Times New Roman" w:cs="Times New Roman"/>
          <w:kern w:val="0"/>
          <w:shd w:val="clear" w:color="auto" w:fill="FFFFFF"/>
        </w:rPr>
        <w:t xml:space="preserve"> suggests that it may represent a novel species, and possibly a new genus, within this family. Further study is required to clarify its taxonomic status</w:t>
      </w:r>
      <w:r w:rsidRPr="005D050B">
        <w:rPr>
          <w:rFonts w:ascii="Times New Roman" w:hAnsi="Times New Roman" w:cs="Times New Roman"/>
        </w:rPr>
        <w:t>.</w:t>
      </w:r>
    </w:p>
    <w:p w14:paraId="201EC93D" w14:textId="77777777" w:rsidR="00650B57" w:rsidRPr="005D050B" w:rsidRDefault="00650B57" w:rsidP="00650B57">
      <w:pPr>
        <w:adjustRightInd w:val="0"/>
        <w:snapToGrid w:val="0"/>
        <w:spacing w:line="480" w:lineRule="auto"/>
        <w:ind w:leftChars="-400" w:left="-84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60C72DA" wp14:editId="6E80B813">
            <wp:extent cx="6425565" cy="5657850"/>
            <wp:effectExtent l="0" t="0" r="0" b="0"/>
            <wp:docPr id="34" name="图片 3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A screenshot of a computer&#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25565" cy="5657850"/>
                    </a:xfrm>
                    <a:prstGeom prst="rect">
                      <a:avLst/>
                    </a:prstGeom>
                    <a:noFill/>
                  </pic:spPr>
                </pic:pic>
              </a:graphicData>
            </a:graphic>
          </wp:inline>
        </w:drawing>
      </w:r>
    </w:p>
    <w:p w14:paraId="581AFD74" w14:textId="77777777" w:rsidR="00650B57" w:rsidRPr="005D050B" w:rsidRDefault="00650B57" w:rsidP="00650B57">
      <w:pPr>
        <w:adjustRightInd w:val="0"/>
        <w:snapToGrid w:val="0"/>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Supplementary </w:t>
      </w:r>
      <w:r w:rsidRPr="005D050B">
        <w:rPr>
          <w:rFonts w:ascii="Times New Roman" w:hAnsi="Times New Roman" w:cs="Times New Roman"/>
          <w:b/>
          <w:bCs/>
          <w:sz w:val="24"/>
          <w:szCs w:val="24"/>
        </w:rPr>
        <w:t xml:space="preserve">Note </w:t>
      </w:r>
      <w:r>
        <w:rPr>
          <w:rFonts w:ascii="Times New Roman" w:hAnsi="Times New Roman" w:cs="Times New Roman"/>
          <w:b/>
          <w:bCs/>
          <w:sz w:val="24"/>
          <w:szCs w:val="24"/>
        </w:rPr>
        <w:t>Fig. 2:</w:t>
      </w:r>
      <w:r w:rsidRPr="005D050B">
        <w:rPr>
          <w:rFonts w:ascii="Times New Roman" w:hAnsi="Times New Roman" w:cs="Times New Roman"/>
          <w:b/>
          <w:bCs/>
          <w:sz w:val="24"/>
          <w:szCs w:val="24"/>
        </w:rPr>
        <w:t xml:space="preserve"> </w:t>
      </w:r>
      <w:r>
        <w:rPr>
          <w:rFonts w:ascii="Times New Roman" w:hAnsi="Times New Roman" w:cs="Times New Roman"/>
          <w:b/>
          <w:bCs/>
          <w:sz w:val="24"/>
          <w:szCs w:val="24"/>
        </w:rPr>
        <w:t>Characterisation</w:t>
      </w:r>
      <w:r w:rsidRPr="005D050B">
        <w:rPr>
          <w:rFonts w:ascii="Times New Roman" w:hAnsi="Times New Roman" w:cs="Times New Roman"/>
          <w:b/>
          <w:bCs/>
          <w:sz w:val="24"/>
          <w:szCs w:val="24"/>
        </w:rPr>
        <w:t xml:space="preserve"> and genomic analysis of strain LDE-2</w:t>
      </w:r>
      <w:r>
        <w:rPr>
          <w:rFonts w:ascii="Times New Roman" w:hAnsi="Times New Roman" w:cs="Times New Roman"/>
          <w:b/>
          <w:bCs/>
          <w:sz w:val="24"/>
          <w:szCs w:val="24"/>
        </w:rPr>
        <w:t>.</w:t>
      </w:r>
    </w:p>
    <w:p w14:paraId="1E7A323F" w14:textId="77777777" w:rsidR="00650B57" w:rsidRPr="005D050B" w:rsidRDefault="00650B57" w:rsidP="00650B57">
      <w:pPr>
        <w:widowControl/>
        <w:adjustRightInd w:val="0"/>
        <w:snapToGrid w:val="0"/>
        <w:spacing w:line="480" w:lineRule="auto"/>
        <w:rPr>
          <w:rFonts w:ascii="Times New Roman" w:hAnsi="Times New Roman" w:cs="Times New Roman"/>
          <w:sz w:val="24"/>
          <w:szCs w:val="24"/>
        </w:rPr>
      </w:pPr>
      <w:r w:rsidRPr="00101660">
        <w:rPr>
          <w:rFonts w:ascii="Times New Roman" w:hAnsi="Times New Roman" w:cs="Times New Roman"/>
          <w:b/>
          <w:kern w:val="0"/>
          <w:sz w:val="24"/>
          <w:szCs w:val="24"/>
        </w:rPr>
        <w:lastRenderedPageBreak/>
        <w:t>a,</w:t>
      </w:r>
      <w:r w:rsidRPr="005D050B">
        <w:rPr>
          <w:rFonts w:ascii="Times New Roman" w:hAnsi="Times New Roman" w:cs="Times New Roman"/>
          <w:kern w:val="0"/>
          <w:sz w:val="24"/>
          <w:szCs w:val="24"/>
        </w:rPr>
        <w:t xml:space="preserve"> Transmission electron micrograph of strain LDE-2 following negative staining. </w:t>
      </w:r>
      <w:r w:rsidRPr="00101660">
        <w:rPr>
          <w:rFonts w:ascii="Times New Roman" w:hAnsi="Times New Roman" w:cs="Times New Roman"/>
          <w:b/>
          <w:kern w:val="0"/>
          <w:sz w:val="24"/>
          <w:szCs w:val="24"/>
        </w:rPr>
        <w:t xml:space="preserve">b, </w:t>
      </w:r>
      <w:r w:rsidRPr="005D050B">
        <w:rPr>
          <w:rFonts w:ascii="Times New Roman" w:hAnsi="Times New Roman" w:cs="Times New Roman"/>
          <w:kern w:val="0"/>
          <w:sz w:val="24"/>
          <w:szCs w:val="24"/>
        </w:rPr>
        <w:t xml:space="preserve">Genome assembly metrics of strain LDE-2, including scaffold and contig characteristics. </w:t>
      </w:r>
      <w:r w:rsidRPr="00101660">
        <w:rPr>
          <w:rFonts w:ascii="Times New Roman" w:hAnsi="Times New Roman" w:cs="Times New Roman"/>
          <w:b/>
          <w:kern w:val="0"/>
          <w:sz w:val="24"/>
          <w:szCs w:val="24"/>
        </w:rPr>
        <w:t>c,d,</w:t>
      </w:r>
      <w:r w:rsidRPr="005D050B">
        <w:rPr>
          <w:rFonts w:ascii="Times New Roman" w:hAnsi="Times New Roman" w:cs="Times New Roman"/>
          <w:kern w:val="0"/>
          <w:sz w:val="24"/>
          <w:szCs w:val="24"/>
        </w:rPr>
        <w:t xml:space="preserve"> Functional annotation of the genome based on Gene Ontology (GO) and KEGG pathway analyses. </w:t>
      </w:r>
      <w:r w:rsidRPr="00101660">
        <w:rPr>
          <w:rFonts w:ascii="Times New Roman" w:hAnsi="Times New Roman" w:cs="Times New Roman"/>
          <w:b/>
          <w:kern w:val="0"/>
          <w:sz w:val="24"/>
          <w:szCs w:val="24"/>
        </w:rPr>
        <w:t>e,</w:t>
      </w:r>
      <w:r w:rsidRPr="005D050B">
        <w:rPr>
          <w:rFonts w:ascii="Times New Roman" w:hAnsi="Times New Roman" w:cs="Times New Roman"/>
          <w:kern w:val="0"/>
          <w:sz w:val="24"/>
          <w:szCs w:val="24"/>
        </w:rPr>
        <w:t xml:space="preserve"> Neighbo</w:t>
      </w:r>
      <w:r>
        <w:rPr>
          <w:rFonts w:ascii="Times New Roman" w:hAnsi="Times New Roman" w:cs="Times New Roman"/>
          <w:kern w:val="0"/>
          <w:sz w:val="24"/>
          <w:szCs w:val="24"/>
        </w:rPr>
        <w:t>u</w:t>
      </w:r>
      <w:r w:rsidRPr="005D050B">
        <w:rPr>
          <w:rFonts w:ascii="Times New Roman" w:hAnsi="Times New Roman" w:cs="Times New Roman"/>
          <w:kern w:val="0"/>
          <w:sz w:val="24"/>
          <w:szCs w:val="24"/>
        </w:rPr>
        <w:t>r-joining phylogenetic tree based on 16S rRNA gene sequences, constructed using MEGA7. Bootstrap values (1000 replicates) are indicated at branch nodes. The scale bar represents evolutionary distance. Closest related type strains are shown with percentage sequence similarity.</w:t>
      </w:r>
      <w:r w:rsidRPr="005D050B">
        <w:rPr>
          <w:rFonts w:ascii="Times New Roman" w:hAnsi="Times New Roman" w:cs="Times New Roman"/>
          <w:sz w:val="24"/>
          <w:szCs w:val="24"/>
        </w:rPr>
        <w:br w:type="page"/>
      </w:r>
    </w:p>
    <w:p w14:paraId="50E64BF7" w14:textId="77777777" w:rsidR="00650B57" w:rsidRPr="005D050B" w:rsidRDefault="00650B57" w:rsidP="00650B57">
      <w:pPr>
        <w:widowControl/>
        <w:adjustRightInd w:val="0"/>
        <w:snapToGrid w:val="0"/>
        <w:spacing w:line="480" w:lineRule="auto"/>
        <w:rPr>
          <w:rFonts w:ascii="Times New Roman" w:hAnsi="Times New Roman" w:cs="Times New Roman"/>
          <w:b/>
          <w:bCs/>
          <w:sz w:val="24"/>
          <w:szCs w:val="24"/>
        </w:rPr>
      </w:pPr>
      <w:r w:rsidRPr="005D050B">
        <w:rPr>
          <w:rFonts w:ascii="Times New Roman" w:hAnsi="Times New Roman" w:cs="Times New Roman"/>
          <w:b/>
          <w:bCs/>
          <w:sz w:val="24"/>
          <w:szCs w:val="24"/>
        </w:rPr>
        <w:lastRenderedPageBreak/>
        <w:t>Supplement</w:t>
      </w:r>
      <w:r>
        <w:rPr>
          <w:rFonts w:ascii="Times New Roman" w:hAnsi="Times New Roman" w:cs="Times New Roman"/>
          <w:b/>
          <w:bCs/>
          <w:sz w:val="24"/>
          <w:szCs w:val="24"/>
        </w:rPr>
        <w:t>ary</w:t>
      </w:r>
      <w:r w:rsidRPr="005D050B">
        <w:rPr>
          <w:rFonts w:ascii="Times New Roman" w:hAnsi="Times New Roman" w:cs="Times New Roman"/>
          <w:b/>
          <w:bCs/>
          <w:sz w:val="24"/>
          <w:szCs w:val="24"/>
        </w:rPr>
        <w:t xml:space="preserve"> Note 3</w:t>
      </w:r>
      <w:bookmarkStart w:id="20" w:name="_Hlk208750324"/>
      <w:r>
        <w:rPr>
          <w:rFonts w:ascii="Times New Roman" w:hAnsi="Times New Roman" w:cs="Times New Roman"/>
          <w:b/>
          <w:bCs/>
          <w:sz w:val="24"/>
          <w:szCs w:val="24"/>
        </w:rPr>
        <w:t xml:space="preserve">: </w:t>
      </w:r>
      <w:r w:rsidRPr="005D050B">
        <w:rPr>
          <w:rFonts w:ascii="Times New Roman" w:hAnsi="Times New Roman" w:cs="Times New Roman"/>
          <w:b/>
          <w:bCs/>
          <w:sz w:val="24"/>
          <w:szCs w:val="24"/>
        </w:rPr>
        <w:t>Materials and methods for bacterial strain analysis</w:t>
      </w:r>
      <w:bookmarkEnd w:id="20"/>
      <w:r w:rsidRPr="005D050B">
        <w:rPr>
          <w:rFonts w:ascii="Times New Roman" w:hAnsi="Times New Roman" w:cs="Times New Roman"/>
          <w:b/>
          <w:bCs/>
          <w:sz w:val="24"/>
          <w:szCs w:val="24"/>
        </w:rPr>
        <w:t xml:space="preserve">. </w:t>
      </w:r>
      <w:r w:rsidRPr="005D050B">
        <w:rPr>
          <w:rFonts w:ascii="Times New Roman" w:hAnsi="Times New Roman" w:cs="Times New Roman"/>
          <w:b/>
          <w:sz w:val="24"/>
          <w:szCs w:val="24"/>
        </w:rPr>
        <w:t xml:space="preserve"> </w:t>
      </w:r>
    </w:p>
    <w:p w14:paraId="2DFD1B99" w14:textId="77777777" w:rsidR="00650B57" w:rsidRPr="005D050B" w:rsidRDefault="00650B57" w:rsidP="00650B57">
      <w:pPr>
        <w:pStyle w:val="ListParagraph"/>
        <w:adjustRightInd w:val="0"/>
        <w:snapToGrid w:val="0"/>
        <w:spacing w:line="480" w:lineRule="auto"/>
        <w:rPr>
          <w:rFonts w:ascii="Times New Roman" w:hAnsi="Times New Roman" w:cs="Times New Roman"/>
          <w:shd w:val="clear" w:color="auto" w:fill="FFFFFF"/>
        </w:rPr>
      </w:pPr>
      <w:r w:rsidRPr="005D050B">
        <w:rPr>
          <w:rFonts w:ascii="Times New Roman" w:hAnsi="Times New Roman" w:cs="Times New Roman"/>
          <w:shd w:val="clear" w:color="auto" w:fill="FFFFFF"/>
        </w:rPr>
        <w:t>Cell motility and morphology were observed using a transmission electron microscope (HT-7800, Hitachi, Tokyo, Japan). Cells in the exponential growth phase were collected from GAM agar for imaging. The temperature range for growth was assessed on GAM agar at 25, 28, 30, 33, 37, and 40 °C to determine the optimal growth temperature. The pH tolerance was evaluated in GAM liquid medium (HB8515, Hope Bio, Qingdao, China) across pH 5.5 to 10.0 (in increments of 0.5 pH units).</w:t>
      </w:r>
    </w:p>
    <w:p w14:paraId="62188064" w14:textId="77777777" w:rsidR="00650B57" w:rsidRPr="005D050B" w:rsidRDefault="00650B57" w:rsidP="00650B57">
      <w:pPr>
        <w:pStyle w:val="ListParagraph"/>
        <w:adjustRightInd w:val="0"/>
        <w:snapToGrid w:val="0"/>
        <w:spacing w:line="480" w:lineRule="auto"/>
        <w:rPr>
          <w:rFonts w:ascii="Times New Roman" w:hAnsi="Times New Roman" w:cs="Times New Roman"/>
          <w:shd w:val="clear" w:color="auto" w:fill="FFFFFF"/>
        </w:rPr>
      </w:pPr>
    </w:p>
    <w:p w14:paraId="610264ED" w14:textId="77777777" w:rsidR="00650B57" w:rsidRPr="005D050B" w:rsidRDefault="00650B57" w:rsidP="00650B57">
      <w:pPr>
        <w:widowControl/>
        <w:adjustRightInd w:val="0"/>
        <w:snapToGrid w:val="0"/>
        <w:spacing w:line="480" w:lineRule="auto"/>
        <w:rPr>
          <w:sz w:val="24"/>
          <w:szCs w:val="24"/>
        </w:rPr>
      </w:pPr>
      <w:r w:rsidRPr="005D050B">
        <w:rPr>
          <w:rFonts w:ascii="Times New Roman" w:hAnsi="Times New Roman" w:cs="Times New Roman"/>
          <w:sz w:val="24"/>
          <w:szCs w:val="24"/>
          <w:shd w:val="clear" w:color="auto" w:fill="FFFFFF"/>
        </w:rPr>
        <w:t xml:space="preserve">Physiological biochemical characteristics and enzyme activities were tested using the API 20A (20300, bioMérieux, Shanghai, China) and API 32A (32300, bioMérieux) systems, while carbon source </w:t>
      </w:r>
      <w:r>
        <w:rPr>
          <w:rFonts w:ascii="Times New Roman" w:hAnsi="Times New Roman" w:cs="Times New Roman"/>
          <w:sz w:val="24"/>
          <w:szCs w:val="24"/>
          <w:shd w:val="clear" w:color="auto" w:fill="FFFFFF"/>
        </w:rPr>
        <w:t>utilisation</w:t>
      </w:r>
      <w:r w:rsidRPr="005D050B">
        <w:rPr>
          <w:rFonts w:ascii="Times New Roman" w:hAnsi="Times New Roman" w:cs="Times New Roman"/>
          <w:sz w:val="24"/>
          <w:szCs w:val="24"/>
          <w:shd w:val="clear" w:color="auto" w:fill="FFFFFF"/>
        </w:rPr>
        <w:t xml:space="preserve"> profiles were determined with the API 50</w:t>
      </w:r>
      <w:r w:rsidRPr="005D050B">
        <w:rPr>
          <w:rFonts w:ascii="Times New Roman" w:hAnsi="Times New Roman" w:cs="Times New Roman" w:hint="eastAsia"/>
          <w:sz w:val="24"/>
          <w:szCs w:val="24"/>
          <w:shd w:val="clear" w:color="auto" w:fill="FFFFFF"/>
        </w:rPr>
        <w:t xml:space="preserve"> </w:t>
      </w:r>
      <w:r w:rsidRPr="005D050B">
        <w:rPr>
          <w:rFonts w:ascii="Times New Roman" w:hAnsi="Times New Roman" w:cs="Times New Roman"/>
          <w:sz w:val="24"/>
          <w:szCs w:val="24"/>
          <w:shd w:val="clear" w:color="auto" w:fill="FFFFFF"/>
        </w:rPr>
        <w:t>CHL kit (50300, bioMérieux), following the manufacturer’s instructions. All API assays were performed in duplicate.</w:t>
      </w:r>
    </w:p>
    <w:p w14:paraId="3259B1A4" w14:textId="77777777" w:rsidR="00EB4A2D" w:rsidRDefault="00EB4A2D"/>
    <w:sectPr w:rsidR="00EB4A2D" w:rsidSect="00650B57">
      <w:footerReference w:type="default" r:id="rId18"/>
      <w:pgSz w:w="11906" w:h="16838"/>
      <w:pgMar w:top="1440" w:right="1800" w:bottom="1440" w:left="1800" w:header="851" w:footer="992" w:gutter="0"/>
      <w:lnNumType w:countBy="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7955073"/>
      <w:docPartObj>
        <w:docPartGallery w:val="Page Numbers (Bottom of Page)"/>
        <w:docPartUnique/>
      </w:docPartObj>
    </w:sdtPr>
    <w:sdtContent>
      <w:sdt>
        <w:sdtPr>
          <w:id w:val="1728636285"/>
          <w:docPartObj>
            <w:docPartGallery w:val="Page Numbers (Top of Page)"/>
            <w:docPartUnique/>
          </w:docPartObj>
        </w:sdtPr>
        <w:sdtContent>
          <w:p w14:paraId="0C72A4DB" w14:textId="77777777" w:rsidR="00650B57" w:rsidRDefault="00650B5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39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110</w:t>
            </w:r>
            <w:r>
              <w:rPr>
                <w:b/>
                <w:bCs/>
                <w:sz w:val="24"/>
                <w:szCs w:val="24"/>
              </w:rPr>
              <w:fldChar w:fldCharType="end"/>
            </w:r>
          </w:p>
        </w:sdtContent>
      </w:sdt>
    </w:sdtContent>
  </w:sdt>
  <w:p w14:paraId="252B1EBB" w14:textId="77777777" w:rsidR="00650B57" w:rsidRDefault="00650B5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B57"/>
    <w:rsid w:val="005C0D39"/>
    <w:rsid w:val="00650B57"/>
    <w:rsid w:val="0070406C"/>
    <w:rsid w:val="00724754"/>
    <w:rsid w:val="009E5BEF"/>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FF1FF"/>
  <w15:chartTrackingRefBased/>
  <w15:docId w15:val="{116D3191-9854-48B5-AC64-64111B83D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B57"/>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650B5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650B5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650B57"/>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650B57"/>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650B57"/>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650B57"/>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650B57"/>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650B57"/>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650B57"/>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0B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0B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0B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0B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0B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0B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0B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0B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0B57"/>
    <w:rPr>
      <w:rFonts w:eastAsiaTheme="majorEastAsia" w:cstheme="majorBidi"/>
      <w:color w:val="272727" w:themeColor="text1" w:themeTint="D8"/>
    </w:rPr>
  </w:style>
  <w:style w:type="paragraph" w:styleId="Title">
    <w:name w:val="Title"/>
    <w:basedOn w:val="Normal"/>
    <w:next w:val="Normal"/>
    <w:link w:val="TitleChar"/>
    <w:uiPriority w:val="10"/>
    <w:qFormat/>
    <w:rsid w:val="00650B57"/>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650B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0B57"/>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650B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0B57"/>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650B57"/>
    <w:rPr>
      <w:i/>
      <w:iCs/>
      <w:color w:val="404040" w:themeColor="text1" w:themeTint="BF"/>
    </w:rPr>
  </w:style>
  <w:style w:type="paragraph" w:styleId="ListParagraph">
    <w:name w:val="List Paragraph"/>
    <w:basedOn w:val="Normal"/>
    <w:uiPriority w:val="34"/>
    <w:qFormat/>
    <w:rsid w:val="00650B57"/>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650B57"/>
    <w:rPr>
      <w:i/>
      <w:iCs/>
      <w:color w:val="0F4761" w:themeColor="accent1" w:themeShade="BF"/>
    </w:rPr>
  </w:style>
  <w:style w:type="paragraph" w:styleId="IntenseQuote">
    <w:name w:val="Intense Quote"/>
    <w:basedOn w:val="Normal"/>
    <w:next w:val="Normal"/>
    <w:link w:val="IntenseQuoteChar"/>
    <w:uiPriority w:val="30"/>
    <w:qFormat/>
    <w:rsid w:val="00650B5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650B57"/>
    <w:rPr>
      <w:i/>
      <w:iCs/>
      <w:color w:val="0F4761" w:themeColor="accent1" w:themeShade="BF"/>
    </w:rPr>
  </w:style>
  <w:style w:type="character" w:styleId="IntenseReference">
    <w:name w:val="Intense Reference"/>
    <w:basedOn w:val="DefaultParagraphFont"/>
    <w:uiPriority w:val="32"/>
    <w:qFormat/>
    <w:rsid w:val="00650B57"/>
    <w:rPr>
      <w:b/>
      <w:bCs/>
      <w:smallCaps/>
      <w:color w:val="0F4761" w:themeColor="accent1" w:themeShade="BF"/>
      <w:spacing w:val="5"/>
    </w:rPr>
  </w:style>
  <w:style w:type="paragraph" w:styleId="Footer">
    <w:name w:val="footer"/>
    <w:basedOn w:val="Normal"/>
    <w:link w:val="FooterChar"/>
    <w:uiPriority w:val="99"/>
    <w:unhideWhenUsed/>
    <w:rsid w:val="00650B5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50B57"/>
    <w:rPr>
      <w:rFonts w:eastAsiaTheme="minorEastAsia"/>
      <w:sz w:val="18"/>
      <w:szCs w:val="18"/>
      <w:lang w:val="en-US" w:eastAsia="zh-CN"/>
      <w14:ligatures w14:val="none"/>
    </w:rPr>
  </w:style>
  <w:style w:type="character" w:styleId="LineNumber">
    <w:name w:val="line number"/>
    <w:basedOn w:val="DefaultParagraphFont"/>
    <w:uiPriority w:val="99"/>
    <w:semiHidden/>
    <w:unhideWhenUsed/>
    <w:rsid w:val="00650B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3539</Words>
  <Characters>21131</Characters>
  <Application>Microsoft Office Word</Application>
  <DocSecurity>0</DocSecurity>
  <Lines>364</Lines>
  <Paragraphs>83</Paragraphs>
  <ScaleCrop>false</ScaleCrop>
  <Company/>
  <LinksUpToDate>false</LinksUpToDate>
  <CharactersWithSpaces>24587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2025-11-19T06:43:00Z</dcterms:created>
  <dcterms:modified xsi:type="dcterms:W3CDTF">2025-11-19T06:43:00Z</dcterms:modified>
</cp:coreProperties>
</file>