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F126" w14:textId="6261660C" w:rsidR="003714F9" w:rsidRPr="003714F9" w:rsidRDefault="003714F9" w:rsidP="00234996">
      <w:pPr>
        <w:pStyle w:val="Caption"/>
        <w:rPr>
          <w:sz w:val="24"/>
          <w:szCs w:val="24"/>
          <w:lang w:val="en-CA"/>
        </w:rPr>
      </w:pPr>
      <w:r w:rsidRPr="003714F9">
        <w:rPr>
          <w:sz w:val="24"/>
          <w:szCs w:val="24"/>
        </w:rPr>
        <w:t xml:space="preserve">Supplement </w:t>
      </w:r>
      <w:r w:rsidRPr="003714F9">
        <w:rPr>
          <w:sz w:val="24"/>
          <w:szCs w:val="24"/>
        </w:rPr>
        <w:fldChar w:fldCharType="begin"/>
      </w:r>
      <w:r w:rsidRPr="003714F9">
        <w:rPr>
          <w:sz w:val="24"/>
          <w:szCs w:val="24"/>
        </w:rPr>
        <w:instrText xml:space="preserve"> SEQ Supplement \* ARABIC </w:instrText>
      </w:r>
      <w:r w:rsidRPr="003714F9">
        <w:rPr>
          <w:sz w:val="24"/>
          <w:szCs w:val="24"/>
        </w:rPr>
        <w:fldChar w:fldCharType="separate"/>
      </w:r>
      <w:r w:rsidR="00C26AAA">
        <w:rPr>
          <w:noProof/>
          <w:sz w:val="24"/>
          <w:szCs w:val="24"/>
        </w:rPr>
        <w:t>1</w:t>
      </w:r>
      <w:r w:rsidRPr="003714F9">
        <w:rPr>
          <w:sz w:val="24"/>
          <w:szCs w:val="24"/>
        </w:rPr>
        <w:fldChar w:fldCharType="end"/>
      </w:r>
      <w:r w:rsidRPr="003714F9">
        <w:rPr>
          <w:sz w:val="24"/>
          <w:szCs w:val="24"/>
          <w:lang w:val="en-CA"/>
        </w:rPr>
        <w:t>. Disease caused by the contaminants of our study and its average treatment cost</w:t>
      </w:r>
      <w:r>
        <w:rPr>
          <w:sz w:val="24"/>
          <w:szCs w:val="24"/>
          <w:lang w:val="en-CA"/>
        </w:rPr>
        <w:t>,</w:t>
      </w:r>
      <w:r w:rsidRPr="003714F9">
        <w:rPr>
          <w:sz w:val="24"/>
          <w:szCs w:val="24"/>
          <w:lang w:val="en-CA"/>
        </w:rPr>
        <w:t xml:space="preserve"> which is used to perform </w:t>
      </w:r>
      <w:r w:rsidR="001F3BD0">
        <w:rPr>
          <w:sz w:val="24"/>
          <w:szCs w:val="24"/>
          <w:lang w:val="en-CA"/>
        </w:rPr>
        <w:t xml:space="preserve">the </w:t>
      </w:r>
      <w:r w:rsidRPr="003714F9">
        <w:rPr>
          <w:sz w:val="24"/>
          <w:szCs w:val="24"/>
          <w:lang w:val="en-CA"/>
        </w:rPr>
        <w:t>decision tree.</w:t>
      </w:r>
    </w:p>
    <w:tbl>
      <w:tblPr>
        <w:tblStyle w:val="TableGrid"/>
        <w:tblW w:w="51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2475"/>
        <w:gridCol w:w="4815"/>
        <w:gridCol w:w="3578"/>
        <w:gridCol w:w="2915"/>
      </w:tblGrid>
      <w:tr w:rsidR="001F3BD0" w:rsidRPr="001F3BD0" w14:paraId="6221EC4B" w14:textId="77777777" w:rsidTr="001F3BD0">
        <w:tc>
          <w:tcPr>
            <w:tcW w:w="177" w:type="pct"/>
            <w:tcBorders>
              <w:top w:val="single" w:sz="4" w:space="0" w:color="auto"/>
              <w:bottom w:val="single" w:sz="4" w:space="0" w:color="auto"/>
            </w:tcBorders>
          </w:tcPr>
          <w:p w14:paraId="16F30E9B" w14:textId="1FD36052" w:rsidR="003714F9" w:rsidRPr="001F3BD0" w:rsidRDefault="003714F9" w:rsidP="001F3BD0">
            <w:pPr>
              <w:spacing w:line="480" w:lineRule="auto"/>
              <w:rPr>
                <w:rFonts w:ascii="Times New Roman" w:hAnsi="Times New Roman" w:cs="Times New Roman"/>
                <w:sz w:val="24"/>
                <w:szCs w:val="24"/>
              </w:rPr>
            </w:pPr>
          </w:p>
        </w:tc>
        <w:tc>
          <w:tcPr>
            <w:tcW w:w="866" w:type="pct"/>
            <w:tcBorders>
              <w:top w:val="single" w:sz="4" w:space="0" w:color="auto"/>
              <w:bottom w:val="single" w:sz="4" w:space="0" w:color="auto"/>
            </w:tcBorders>
          </w:tcPr>
          <w:p w14:paraId="058414F2" w14:textId="7DEDE954" w:rsidR="003714F9" w:rsidRPr="001F3BD0" w:rsidRDefault="003714F9" w:rsidP="001F3BD0">
            <w:pPr>
              <w:spacing w:line="480" w:lineRule="auto"/>
              <w:rPr>
                <w:rFonts w:ascii="Times New Roman" w:hAnsi="Times New Roman" w:cs="Times New Roman"/>
                <w:sz w:val="24"/>
                <w:szCs w:val="24"/>
                <w:vertAlign w:val="superscript"/>
              </w:rPr>
            </w:pPr>
            <w:r w:rsidRPr="001F3BD0">
              <w:rPr>
                <w:rFonts w:ascii="Times New Roman" w:hAnsi="Times New Roman" w:cs="Times New Roman"/>
                <w:sz w:val="24"/>
                <w:szCs w:val="24"/>
              </w:rPr>
              <w:t xml:space="preserve">Causative Agent </w:t>
            </w:r>
            <w:sdt>
              <w:sdtPr>
                <w:rPr>
                  <w:rFonts w:ascii="Times New Roman" w:hAnsi="Times New Roman" w:cs="Times New Roman"/>
                  <w:color w:val="000000"/>
                  <w:sz w:val="24"/>
                  <w:szCs w:val="24"/>
                  <w:vertAlign w:val="superscript"/>
                </w:rPr>
                <w:tag w:val="MENDELEY_CITATION_v3_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"/>
                <w:id w:val="-419960000"/>
                <w:placeholder>
                  <w:docPart w:val="9F6E3F9618B96E49956047AD503F081E"/>
                </w:placeholder>
              </w:sdtPr>
              <w:sdtContent>
                <w:r w:rsidR="001F3BD0" w:rsidRPr="001F3BD0">
                  <w:rPr>
                    <w:rFonts w:ascii="Times New Roman" w:hAnsi="Times New Roman" w:cs="Times New Roman"/>
                    <w:color w:val="000000"/>
                    <w:sz w:val="24"/>
                    <w:szCs w:val="24"/>
                    <w:vertAlign w:val="superscript"/>
                  </w:rPr>
                  <w:t>1,2</w:t>
                </w:r>
              </w:sdtContent>
            </w:sdt>
          </w:p>
        </w:tc>
        <w:tc>
          <w:tcPr>
            <w:tcW w:w="1685" w:type="pct"/>
            <w:tcBorders>
              <w:top w:val="single" w:sz="4" w:space="0" w:color="auto"/>
              <w:bottom w:val="single" w:sz="4" w:space="0" w:color="auto"/>
            </w:tcBorders>
          </w:tcPr>
          <w:p w14:paraId="37244A14" w14:textId="77777777" w:rsidR="003714F9" w:rsidRPr="001F3BD0" w:rsidRDefault="003714F9" w:rsidP="001F3BD0">
            <w:pPr>
              <w:spacing w:line="480" w:lineRule="auto"/>
              <w:rPr>
                <w:rFonts w:ascii="Times New Roman" w:hAnsi="Times New Roman" w:cs="Times New Roman"/>
                <w:sz w:val="24"/>
                <w:szCs w:val="24"/>
              </w:rPr>
            </w:pPr>
            <w:r w:rsidRPr="001F3BD0">
              <w:rPr>
                <w:rFonts w:ascii="Times New Roman" w:hAnsi="Times New Roman" w:cs="Times New Roman"/>
                <w:sz w:val="24"/>
                <w:szCs w:val="24"/>
              </w:rPr>
              <w:t>Disease</w:t>
            </w:r>
          </w:p>
        </w:tc>
        <w:tc>
          <w:tcPr>
            <w:tcW w:w="1252" w:type="pct"/>
            <w:tcBorders>
              <w:top w:val="single" w:sz="4" w:space="0" w:color="auto"/>
              <w:bottom w:val="single" w:sz="4" w:space="0" w:color="auto"/>
            </w:tcBorders>
          </w:tcPr>
          <w:p w14:paraId="063AA3A8" w14:textId="160C1496" w:rsidR="003714F9" w:rsidRPr="001F3BD0" w:rsidRDefault="001F3BD0" w:rsidP="001F3BD0">
            <w:pPr>
              <w:spacing w:line="480" w:lineRule="auto"/>
              <w:rPr>
                <w:rFonts w:ascii="Times New Roman" w:hAnsi="Times New Roman" w:cs="Times New Roman"/>
                <w:sz w:val="24"/>
                <w:szCs w:val="24"/>
              </w:rPr>
            </w:pPr>
            <w:r>
              <w:rPr>
                <w:rFonts w:ascii="Times New Roman" w:hAnsi="Times New Roman" w:cs="Times New Roman"/>
                <w:sz w:val="24"/>
                <w:szCs w:val="24"/>
              </w:rPr>
              <w:t xml:space="preserve">Antibiotic </w:t>
            </w:r>
            <w:r w:rsidR="003714F9" w:rsidRPr="001F3BD0">
              <w:rPr>
                <w:rFonts w:ascii="Times New Roman" w:hAnsi="Times New Roman" w:cs="Times New Roman"/>
                <w:sz w:val="24"/>
                <w:szCs w:val="24"/>
              </w:rPr>
              <w:t>Treatment</w:t>
            </w:r>
          </w:p>
        </w:tc>
        <w:tc>
          <w:tcPr>
            <w:tcW w:w="1020" w:type="pct"/>
            <w:tcBorders>
              <w:top w:val="single" w:sz="4" w:space="0" w:color="auto"/>
              <w:bottom w:val="single" w:sz="4" w:space="0" w:color="auto"/>
            </w:tcBorders>
          </w:tcPr>
          <w:p w14:paraId="12A514F6" w14:textId="6A2CFF06" w:rsidR="003714F9" w:rsidRPr="001F3BD0" w:rsidRDefault="003714F9" w:rsidP="001F3BD0">
            <w:pPr>
              <w:spacing w:line="480" w:lineRule="auto"/>
              <w:rPr>
                <w:rFonts w:ascii="Times New Roman" w:hAnsi="Times New Roman" w:cs="Times New Roman"/>
                <w:sz w:val="24"/>
                <w:szCs w:val="24"/>
              </w:rPr>
            </w:pPr>
            <w:r w:rsidRPr="001F3BD0">
              <w:rPr>
                <w:rFonts w:ascii="Times New Roman" w:hAnsi="Times New Roman" w:cs="Times New Roman"/>
                <w:sz w:val="24"/>
                <w:szCs w:val="24"/>
              </w:rPr>
              <w:t xml:space="preserve">Treatment </w:t>
            </w:r>
            <w:r w:rsidR="00354E71">
              <w:rPr>
                <w:rFonts w:ascii="Times New Roman" w:hAnsi="Times New Roman" w:cs="Times New Roman"/>
                <w:sz w:val="24"/>
                <w:szCs w:val="24"/>
              </w:rPr>
              <w:t>A</w:t>
            </w:r>
            <w:r w:rsidRPr="001F3BD0">
              <w:rPr>
                <w:rFonts w:ascii="Times New Roman" w:hAnsi="Times New Roman" w:cs="Times New Roman"/>
                <w:sz w:val="24"/>
                <w:szCs w:val="24"/>
              </w:rPr>
              <w:t xml:space="preserve">verage </w:t>
            </w:r>
            <w:r w:rsidR="00354E71">
              <w:rPr>
                <w:rFonts w:ascii="Times New Roman" w:hAnsi="Times New Roman" w:cs="Times New Roman"/>
                <w:sz w:val="24"/>
                <w:szCs w:val="24"/>
              </w:rPr>
              <w:t>C</w:t>
            </w:r>
            <w:r w:rsidRPr="001F3BD0">
              <w:rPr>
                <w:rFonts w:ascii="Times New Roman" w:hAnsi="Times New Roman" w:cs="Times New Roman"/>
                <w:sz w:val="24"/>
                <w:szCs w:val="24"/>
              </w:rPr>
              <w:t>ost</w:t>
            </w:r>
          </w:p>
        </w:tc>
      </w:tr>
      <w:tr w:rsidR="001F3BD0" w:rsidRPr="001F3BD0" w14:paraId="1582AFE9" w14:textId="77777777" w:rsidTr="001F3BD0">
        <w:tc>
          <w:tcPr>
            <w:tcW w:w="177" w:type="pct"/>
            <w:tcBorders>
              <w:top w:val="single" w:sz="4" w:space="0" w:color="auto"/>
            </w:tcBorders>
          </w:tcPr>
          <w:p w14:paraId="4A72EBA9"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1</w:t>
            </w:r>
          </w:p>
        </w:tc>
        <w:tc>
          <w:tcPr>
            <w:tcW w:w="866" w:type="pct"/>
            <w:tcBorders>
              <w:top w:val="single" w:sz="4" w:space="0" w:color="auto"/>
            </w:tcBorders>
          </w:tcPr>
          <w:p w14:paraId="35C79A3F" w14:textId="4C620504" w:rsidR="003714F9" w:rsidRPr="001F3BD0" w:rsidRDefault="001F3BD0" w:rsidP="003714F9">
            <w:pPr>
              <w:spacing w:line="480" w:lineRule="auto"/>
              <w:rPr>
                <w:rFonts w:ascii="Times New Roman" w:hAnsi="Times New Roman" w:cs="Times New Roman"/>
                <w:sz w:val="24"/>
                <w:szCs w:val="24"/>
              </w:rPr>
            </w:pPr>
            <w:r w:rsidRPr="001D1471">
              <w:rPr>
                <w:rFonts w:asciiTheme="majorBidi" w:hAnsiTheme="majorBidi" w:cstheme="majorBidi"/>
                <w:i/>
                <w:iCs/>
                <w:sz w:val="24"/>
                <w:szCs w:val="24"/>
              </w:rPr>
              <w:t>Staphylococcus aureus</w:t>
            </w:r>
          </w:p>
        </w:tc>
        <w:tc>
          <w:tcPr>
            <w:tcW w:w="1685" w:type="pct"/>
            <w:tcBorders>
              <w:top w:val="single" w:sz="4" w:space="0" w:color="auto"/>
            </w:tcBorders>
          </w:tcPr>
          <w:p w14:paraId="45753349"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 xml:space="preserve"> Keratitis</w:t>
            </w:r>
          </w:p>
          <w:p w14:paraId="3C3D4D8A" w14:textId="230BE323" w:rsidR="003714F9" w:rsidRPr="001F3BD0" w:rsidRDefault="001F3BD0"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Conjunctivitis</w:t>
            </w:r>
          </w:p>
          <w:p w14:paraId="16D46EB1" w14:textId="588A70BD" w:rsidR="003714F9" w:rsidRPr="001F3BD0" w:rsidRDefault="001F3BD0"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Blepharitis</w:t>
            </w:r>
          </w:p>
          <w:p w14:paraId="6EA741AF" w14:textId="51A411EA" w:rsidR="003714F9" w:rsidRPr="001F3BD0" w:rsidRDefault="001F3BD0" w:rsidP="003714F9">
            <w:pPr>
              <w:spacing w:line="480" w:lineRule="auto"/>
              <w:rPr>
                <w:rFonts w:ascii="Times New Roman" w:hAnsi="Times New Roman" w:cs="Times New Roman"/>
                <w:sz w:val="24"/>
                <w:szCs w:val="24"/>
              </w:rPr>
            </w:pPr>
            <w:r>
              <w:rPr>
                <w:rFonts w:ascii="Times New Roman" w:hAnsi="Times New Roman" w:cs="Times New Roman"/>
                <w:sz w:val="24"/>
                <w:szCs w:val="24"/>
              </w:rPr>
              <w:t>Incidence probability:</w:t>
            </w:r>
            <w:r w:rsidR="003714F9" w:rsidRPr="001F3BD0">
              <w:rPr>
                <w:rFonts w:ascii="Times New Roman" w:hAnsi="Times New Roman" w:cs="Times New Roman"/>
                <w:sz w:val="24"/>
                <w:szCs w:val="24"/>
              </w:rPr>
              <w:t xml:space="preserve"> 0.05 </w:t>
            </w:r>
            <w:r>
              <w:rPr>
                <w:rFonts w:ascii="Times New Roman" w:hAnsi="Times New Roman" w:cs="Times New Roman"/>
                <w:sz w:val="24"/>
                <w:szCs w:val="24"/>
              </w:rPr>
              <w:t>(</w:t>
            </w:r>
            <w:r w:rsidR="003714F9" w:rsidRPr="001F3BD0">
              <w:rPr>
                <w:rFonts w:ascii="Times New Roman" w:hAnsi="Times New Roman" w:cs="Times New Roman"/>
                <w:sz w:val="24"/>
                <w:szCs w:val="24"/>
              </w:rPr>
              <w:t>rare</w:t>
            </w:r>
            <w:r>
              <w:rPr>
                <w:rFonts w:ascii="Times New Roman" w:hAnsi="Times New Roman" w:cs="Times New Roman"/>
                <w:sz w:val="24"/>
                <w:szCs w:val="24"/>
              </w:rPr>
              <w:t>)</w:t>
            </w:r>
          </w:p>
        </w:tc>
        <w:tc>
          <w:tcPr>
            <w:tcW w:w="1252" w:type="pct"/>
            <w:tcBorders>
              <w:top w:val="single" w:sz="4" w:space="0" w:color="auto"/>
            </w:tcBorders>
          </w:tcPr>
          <w:p w14:paraId="2194D711" w14:textId="6207879C"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w:t>
            </w:r>
            <w:r w:rsidR="001F3BD0" w:rsidRPr="001F3BD0">
              <w:rPr>
                <w:rFonts w:ascii="Times New Roman" w:hAnsi="Times New Roman" w:cs="Times New Roman"/>
                <w:sz w:val="24"/>
                <w:szCs w:val="24"/>
              </w:rPr>
              <w:t>Chloramphenicol</w:t>
            </w:r>
            <w:r w:rsidRPr="001F3BD0">
              <w:rPr>
                <w:rFonts w:ascii="Times New Roman" w:hAnsi="Times New Roman" w:cs="Times New Roman"/>
                <w:sz w:val="24"/>
                <w:szCs w:val="24"/>
              </w:rPr>
              <w:t>, or</w:t>
            </w:r>
          </w:p>
          <w:p w14:paraId="5DDADC3E" w14:textId="565FD348"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w:t>
            </w:r>
            <w:r w:rsidR="001F3BD0">
              <w:rPr>
                <w:rFonts w:ascii="Times New Roman" w:hAnsi="Times New Roman" w:cs="Times New Roman"/>
                <w:sz w:val="24"/>
                <w:szCs w:val="24"/>
              </w:rPr>
              <w:t>T</w:t>
            </w:r>
            <w:r w:rsidRPr="001F3BD0">
              <w:rPr>
                <w:rFonts w:ascii="Times New Roman" w:hAnsi="Times New Roman" w:cs="Times New Roman"/>
                <w:sz w:val="24"/>
                <w:szCs w:val="24"/>
              </w:rPr>
              <w:t>obramycin, or</w:t>
            </w:r>
          </w:p>
          <w:p w14:paraId="265B9EF7" w14:textId="7340DBD2"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w:t>
            </w:r>
            <w:proofErr w:type="spellStart"/>
            <w:r w:rsidR="001F3BD0">
              <w:rPr>
                <w:rFonts w:ascii="Times New Roman" w:hAnsi="Times New Roman" w:cs="Times New Roman"/>
                <w:sz w:val="24"/>
                <w:szCs w:val="24"/>
              </w:rPr>
              <w:t>F</w:t>
            </w:r>
            <w:r w:rsidRPr="001F3BD0">
              <w:rPr>
                <w:rFonts w:ascii="Times New Roman" w:hAnsi="Times New Roman" w:cs="Times New Roman"/>
                <w:sz w:val="24"/>
                <w:szCs w:val="24"/>
              </w:rPr>
              <w:t>usidic</w:t>
            </w:r>
            <w:proofErr w:type="spellEnd"/>
            <w:r w:rsidRPr="001F3BD0">
              <w:rPr>
                <w:rFonts w:ascii="Times New Roman" w:hAnsi="Times New Roman" w:cs="Times New Roman"/>
                <w:sz w:val="24"/>
                <w:szCs w:val="24"/>
              </w:rPr>
              <w:t xml:space="preserve"> acid</w:t>
            </w:r>
          </w:p>
        </w:tc>
        <w:tc>
          <w:tcPr>
            <w:tcW w:w="1020" w:type="pct"/>
            <w:tcBorders>
              <w:top w:val="single" w:sz="4" w:space="0" w:color="auto"/>
            </w:tcBorders>
          </w:tcPr>
          <w:p w14:paraId="047E026B"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5.375 EGP</w:t>
            </w:r>
          </w:p>
          <w:p w14:paraId="712F6363"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22.816 EGP</w:t>
            </w:r>
          </w:p>
          <w:p w14:paraId="4204C6B9"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19.43 EGP</w:t>
            </w:r>
          </w:p>
          <w:p w14:paraId="4C48877D" w14:textId="77777777" w:rsidR="003714F9" w:rsidRPr="001F3BD0" w:rsidRDefault="003714F9" w:rsidP="003714F9">
            <w:pPr>
              <w:spacing w:line="480" w:lineRule="auto"/>
              <w:rPr>
                <w:rFonts w:ascii="Times New Roman" w:hAnsi="Times New Roman" w:cs="Times New Roman"/>
                <w:sz w:val="24"/>
                <w:szCs w:val="24"/>
              </w:rPr>
            </w:pPr>
          </w:p>
        </w:tc>
      </w:tr>
      <w:tr w:rsidR="001F3BD0" w:rsidRPr="001F3BD0" w14:paraId="51C798F1" w14:textId="77777777" w:rsidTr="001F3BD0">
        <w:trPr>
          <w:trHeight w:val="1377"/>
        </w:trPr>
        <w:tc>
          <w:tcPr>
            <w:tcW w:w="177" w:type="pct"/>
          </w:tcPr>
          <w:p w14:paraId="51A34DE4"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2</w:t>
            </w:r>
          </w:p>
        </w:tc>
        <w:tc>
          <w:tcPr>
            <w:tcW w:w="866" w:type="pct"/>
          </w:tcPr>
          <w:p w14:paraId="00F01247"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Fungi</w:t>
            </w:r>
          </w:p>
        </w:tc>
        <w:tc>
          <w:tcPr>
            <w:tcW w:w="1685" w:type="pct"/>
          </w:tcPr>
          <w:p w14:paraId="14F9D73B"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Keratitis agriculture season</w:t>
            </w:r>
          </w:p>
          <w:p w14:paraId="7BF5FB33" w14:textId="3DE58366" w:rsidR="003714F9" w:rsidRPr="001F3BD0" w:rsidRDefault="001F3BD0" w:rsidP="001F3BD0">
            <w:pPr>
              <w:spacing w:line="480" w:lineRule="auto"/>
              <w:rPr>
                <w:rFonts w:ascii="Times New Roman" w:hAnsi="Times New Roman" w:cs="Times New Roman"/>
                <w:sz w:val="24"/>
                <w:szCs w:val="24"/>
              </w:rPr>
            </w:pPr>
            <w:r>
              <w:rPr>
                <w:rFonts w:ascii="Times New Roman" w:hAnsi="Times New Roman" w:cs="Times New Roman"/>
                <w:sz w:val="24"/>
                <w:szCs w:val="24"/>
              </w:rPr>
              <w:t xml:space="preserve">Incidence probability: </w:t>
            </w:r>
            <w:r w:rsidR="003714F9" w:rsidRPr="001F3BD0">
              <w:rPr>
                <w:rFonts w:ascii="Times New Roman" w:hAnsi="Times New Roman" w:cs="Times New Roman"/>
                <w:sz w:val="24"/>
                <w:szCs w:val="24"/>
              </w:rPr>
              <w:t xml:space="preserve">0.001 </w:t>
            </w:r>
            <w:r>
              <w:rPr>
                <w:rFonts w:ascii="Times New Roman" w:hAnsi="Times New Roman" w:cs="Times New Roman"/>
                <w:sz w:val="24"/>
                <w:szCs w:val="24"/>
              </w:rPr>
              <w:t>(</w:t>
            </w:r>
            <w:r w:rsidR="003714F9" w:rsidRPr="001F3BD0">
              <w:rPr>
                <w:rFonts w:ascii="Times New Roman" w:hAnsi="Times New Roman" w:cs="Times New Roman"/>
                <w:sz w:val="24"/>
                <w:szCs w:val="24"/>
              </w:rPr>
              <w:t>extremely rare</w:t>
            </w:r>
            <w:r>
              <w:rPr>
                <w:rFonts w:ascii="Times New Roman" w:hAnsi="Times New Roman" w:cs="Times New Roman"/>
                <w:sz w:val="24"/>
                <w:szCs w:val="24"/>
              </w:rPr>
              <w:t>)</w:t>
            </w:r>
          </w:p>
        </w:tc>
        <w:tc>
          <w:tcPr>
            <w:tcW w:w="1252" w:type="pct"/>
          </w:tcPr>
          <w:p w14:paraId="34212DBD" w14:textId="22DA032D"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tl/>
              </w:rPr>
              <w:t>-</w:t>
            </w:r>
            <w:r w:rsidRPr="001F3BD0">
              <w:rPr>
                <w:rFonts w:ascii="Times New Roman" w:hAnsi="Times New Roman" w:cs="Times New Roman"/>
                <w:sz w:val="24"/>
                <w:szCs w:val="24"/>
              </w:rPr>
              <w:t>Natamycin, or</w:t>
            </w:r>
          </w:p>
          <w:p w14:paraId="77E4747D" w14:textId="71527F85" w:rsidR="003714F9" w:rsidRPr="001F3BD0" w:rsidRDefault="003714F9" w:rsidP="003714F9">
            <w:pPr>
              <w:spacing w:line="480" w:lineRule="auto"/>
              <w:rPr>
                <w:rFonts w:ascii="Times New Roman" w:hAnsi="Times New Roman" w:cs="Times New Roman"/>
                <w:sz w:val="24"/>
                <w:szCs w:val="24"/>
                <w:rtl/>
              </w:rPr>
            </w:pPr>
            <w:r w:rsidRPr="001F3BD0">
              <w:rPr>
                <w:rFonts w:ascii="Times New Roman" w:hAnsi="Times New Roman" w:cs="Times New Roman"/>
                <w:sz w:val="24"/>
                <w:szCs w:val="24"/>
                <w:rtl/>
              </w:rPr>
              <w:t>-</w:t>
            </w:r>
            <w:r w:rsidR="001F3BD0">
              <w:rPr>
                <w:rFonts w:ascii="Times New Roman" w:hAnsi="Times New Roman" w:cs="Times New Roman"/>
                <w:sz w:val="24"/>
                <w:szCs w:val="24"/>
              </w:rPr>
              <w:t>V</w:t>
            </w:r>
            <w:r w:rsidRPr="001F3BD0">
              <w:rPr>
                <w:rFonts w:ascii="Times New Roman" w:hAnsi="Times New Roman" w:cs="Times New Roman"/>
                <w:sz w:val="24"/>
                <w:szCs w:val="24"/>
              </w:rPr>
              <w:t>oriconazole</w:t>
            </w:r>
          </w:p>
        </w:tc>
        <w:tc>
          <w:tcPr>
            <w:tcW w:w="1020" w:type="pct"/>
          </w:tcPr>
          <w:p w14:paraId="1255CE88"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37.5 EGP</w:t>
            </w:r>
          </w:p>
          <w:p w14:paraId="00E0F946"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725.2 EGP</w:t>
            </w:r>
          </w:p>
        </w:tc>
      </w:tr>
      <w:tr w:rsidR="001F3BD0" w:rsidRPr="001F3BD0" w14:paraId="79FE0219" w14:textId="77777777" w:rsidTr="001F3BD0">
        <w:tc>
          <w:tcPr>
            <w:tcW w:w="177" w:type="pct"/>
            <w:tcBorders>
              <w:bottom w:val="single" w:sz="4" w:space="0" w:color="auto"/>
            </w:tcBorders>
          </w:tcPr>
          <w:p w14:paraId="71433D53"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3</w:t>
            </w:r>
          </w:p>
        </w:tc>
        <w:tc>
          <w:tcPr>
            <w:tcW w:w="866" w:type="pct"/>
            <w:tcBorders>
              <w:bottom w:val="single" w:sz="4" w:space="0" w:color="auto"/>
            </w:tcBorders>
          </w:tcPr>
          <w:p w14:paraId="3B949469" w14:textId="20B88AD9" w:rsidR="003714F9" w:rsidRPr="001F3BD0" w:rsidRDefault="003714F9" w:rsidP="003714F9">
            <w:pPr>
              <w:spacing w:line="480" w:lineRule="auto"/>
              <w:rPr>
                <w:rFonts w:ascii="Times New Roman" w:hAnsi="Times New Roman" w:cs="Times New Roman"/>
                <w:sz w:val="24"/>
                <w:szCs w:val="24"/>
                <w:rtl/>
                <w:lang w:bidi="ar-EG"/>
              </w:rPr>
            </w:pPr>
            <w:r w:rsidRPr="001F3BD0">
              <w:rPr>
                <w:rFonts w:ascii="Times New Roman" w:hAnsi="Times New Roman" w:cs="Times New Roman"/>
                <w:sz w:val="24"/>
                <w:szCs w:val="24"/>
              </w:rPr>
              <w:t xml:space="preserve">Gram negative </w:t>
            </w:r>
          </w:p>
        </w:tc>
        <w:tc>
          <w:tcPr>
            <w:tcW w:w="1685" w:type="pct"/>
            <w:tcBorders>
              <w:bottom w:val="single" w:sz="4" w:space="0" w:color="auto"/>
            </w:tcBorders>
          </w:tcPr>
          <w:p w14:paraId="4E0E5257" w14:textId="7256DCA8" w:rsidR="003714F9" w:rsidRPr="001F3BD0" w:rsidRDefault="003714F9" w:rsidP="003714F9">
            <w:pPr>
              <w:spacing w:line="480" w:lineRule="auto"/>
              <w:rPr>
                <w:rFonts w:ascii="Times New Roman" w:hAnsi="Times New Roman" w:cs="Times New Roman"/>
                <w:i/>
                <w:iCs/>
                <w:sz w:val="24"/>
                <w:szCs w:val="24"/>
              </w:rPr>
            </w:pPr>
            <w:r w:rsidRPr="001F3BD0">
              <w:rPr>
                <w:rFonts w:ascii="Times New Roman" w:hAnsi="Times New Roman" w:cs="Times New Roman"/>
                <w:sz w:val="24"/>
                <w:szCs w:val="24"/>
              </w:rPr>
              <w:t>Keratitis</w:t>
            </w:r>
            <w:r w:rsidRPr="001F3BD0">
              <w:rPr>
                <w:rFonts w:ascii="Times New Roman" w:hAnsi="Times New Roman" w:cs="Times New Roman"/>
                <w:i/>
                <w:iCs/>
                <w:sz w:val="24"/>
                <w:szCs w:val="24"/>
              </w:rPr>
              <w:t xml:space="preserve"> </w:t>
            </w:r>
            <w:r w:rsidR="001F3BD0">
              <w:rPr>
                <w:rFonts w:ascii="Times New Roman" w:hAnsi="Times New Roman" w:cs="Times New Roman"/>
                <w:i/>
                <w:iCs/>
                <w:sz w:val="24"/>
                <w:szCs w:val="24"/>
              </w:rPr>
              <w:t>P</w:t>
            </w:r>
            <w:r w:rsidR="001F3BD0" w:rsidRPr="001F3BD0">
              <w:rPr>
                <w:rFonts w:ascii="Times New Roman" w:hAnsi="Times New Roman" w:cs="Times New Roman"/>
                <w:i/>
                <w:iCs/>
                <w:sz w:val="24"/>
                <w:szCs w:val="24"/>
              </w:rPr>
              <w:t>seudomonas</w:t>
            </w:r>
            <w:r w:rsidRPr="001F3BD0">
              <w:rPr>
                <w:rFonts w:ascii="Times New Roman" w:hAnsi="Times New Roman" w:cs="Times New Roman"/>
                <w:i/>
                <w:iCs/>
                <w:sz w:val="24"/>
                <w:szCs w:val="24"/>
              </w:rPr>
              <w:t xml:space="preserve"> </w:t>
            </w:r>
            <w:r w:rsidR="001F3BD0" w:rsidRPr="001F3BD0">
              <w:rPr>
                <w:rFonts w:ascii="Times New Roman" w:hAnsi="Times New Roman" w:cs="Times New Roman"/>
                <w:i/>
                <w:iCs/>
                <w:sz w:val="24"/>
                <w:szCs w:val="24"/>
              </w:rPr>
              <w:t>aeruginosa</w:t>
            </w:r>
          </w:p>
          <w:p w14:paraId="3D0DE8D7" w14:textId="05D45C0B" w:rsidR="003714F9" w:rsidRPr="001F3BD0" w:rsidRDefault="003714F9" w:rsidP="003714F9">
            <w:pPr>
              <w:spacing w:line="480" w:lineRule="auto"/>
              <w:rPr>
                <w:rFonts w:ascii="Times New Roman" w:hAnsi="Times New Roman" w:cs="Times New Roman"/>
                <w:i/>
                <w:iCs/>
                <w:sz w:val="24"/>
                <w:szCs w:val="24"/>
                <w:lang w:val="en-CA"/>
              </w:rPr>
            </w:pPr>
            <w:r w:rsidRPr="001F3BD0">
              <w:rPr>
                <w:rFonts w:ascii="Times New Roman" w:hAnsi="Times New Roman" w:cs="Times New Roman"/>
                <w:sz w:val="24"/>
                <w:szCs w:val="24"/>
              </w:rPr>
              <w:t>Conjunctivitis</w:t>
            </w:r>
            <w:r w:rsidRPr="001F3BD0">
              <w:rPr>
                <w:rFonts w:ascii="Times New Roman" w:hAnsi="Times New Roman" w:cs="Times New Roman"/>
                <w:i/>
                <w:iCs/>
                <w:sz w:val="24"/>
                <w:szCs w:val="24"/>
              </w:rPr>
              <w:t xml:space="preserve"> </w:t>
            </w:r>
            <w:r w:rsidR="00354E71" w:rsidRPr="00354E71">
              <w:rPr>
                <w:rFonts w:ascii="Times New Roman" w:hAnsi="Times New Roman" w:cs="Times New Roman"/>
                <w:i/>
                <w:iCs/>
                <w:sz w:val="24"/>
                <w:szCs w:val="24"/>
              </w:rPr>
              <w:t>Escherichia coli</w:t>
            </w:r>
            <w:r w:rsidR="006E0752">
              <w:rPr>
                <w:rFonts w:ascii="Times New Roman" w:hAnsi="Times New Roman" w:cs="Times New Roman"/>
                <w:i/>
                <w:iCs/>
                <w:sz w:val="24"/>
                <w:szCs w:val="24"/>
              </w:rPr>
              <w:br/>
            </w:r>
            <w:r w:rsidR="001F3BD0">
              <w:rPr>
                <w:rFonts w:ascii="Times New Roman" w:hAnsi="Times New Roman" w:cs="Times New Roman"/>
                <w:sz w:val="24"/>
                <w:szCs w:val="24"/>
              </w:rPr>
              <w:t xml:space="preserve">Incidence probability: </w:t>
            </w:r>
            <w:r w:rsidRPr="001F3BD0">
              <w:rPr>
                <w:rFonts w:ascii="Times New Roman" w:hAnsi="Times New Roman" w:cs="Times New Roman"/>
                <w:sz w:val="24"/>
                <w:szCs w:val="24"/>
              </w:rPr>
              <w:t xml:space="preserve">0.01 </w:t>
            </w:r>
            <w:r w:rsidR="001F3BD0" w:rsidRPr="001F3BD0">
              <w:rPr>
                <w:rFonts w:ascii="Times New Roman" w:hAnsi="Times New Roman" w:cs="Times New Roman"/>
                <w:sz w:val="24"/>
                <w:szCs w:val="24"/>
              </w:rPr>
              <w:t>(</w:t>
            </w:r>
            <w:r w:rsidRPr="001F3BD0">
              <w:rPr>
                <w:rFonts w:ascii="Times New Roman" w:hAnsi="Times New Roman" w:cs="Times New Roman"/>
                <w:sz w:val="24"/>
                <w:szCs w:val="24"/>
              </w:rPr>
              <w:t>very rare</w:t>
            </w:r>
            <w:r w:rsidR="001F3BD0" w:rsidRPr="001F3BD0">
              <w:rPr>
                <w:rFonts w:ascii="Times New Roman" w:hAnsi="Times New Roman" w:cs="Times New Roman"/>
                <w:sz w:val="24"/>
                <w:szCs w:val="24"/>
              </w:rPr>
              <w:t>)</w:t>
            </w:r>
          </w:p>
        </w:tc>
        <w:tc>
          <w:tcPr>
            <w:tcW w:w="1252" w:type="pct"/>
            <w:tcBorders>
              <w:bottom w:val="single" w:sz="4" w:space="0" w:color="auto"/>
            </w:tcBorders>
          </w:tcPr>
          <w:p w14:paraId="59AA59CB" w14:textId="7CBD2402"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tl/>
              </w:rPr>
              <w:t>-</w:t>
            </w:r>
            <w:r w:rsidR="001F3BD0">
              <w:rPr>
                <w:rFonts w:ascii="Times New Roman" w:hAnsi="Times New Roman" w:cs="Times New Roman"/>
                <w:sz w:val="24"/>
                <w:szCs w:val="24"/>
              </w:rPr>
              <w:t>T</w:t>
            </w:r>
            <w:r w:rsidRPr="001F3BD0">
              <w:rPr>
                <w:rFonts w:ascii="Times New Roman" w:hAnsi="Times New Roman" w:cs="Times New Roman"/>
                <w:sz w:val="24"/>
                <w:szCs w:val="24"/>
              </w:rPr>
              <w:t>obramycin</w:t>
            </w:r>
          </w:p>
        </w:tc>
        <w:tc>
          <w:tcPr>
            <w:tcW w:w="1020" w:type="pct"/>
            <w:tcBorders>
              <w:bottom w:val="single" w:sz="4" w:space="0" w:color="auto"/>
            </w:tcBorders>
          </w:tcPr>
          <w:p w14:paraId="7743AAD7" w14:textId="77777777" w:rsidR="003714F9" w:rsidRPr="001F3BD0" w:rsidRDefault="003714F9" w:rsidP="003714F9">
            <w:pPr>
              <w:spacing w:line="480" w:lineRule="auto"/>
              <w:rPr>
                <w:rFonts w:ascii="Times New Roman" w:hAnsi="Times New Roman" w:cs="Times New Roman"/>
                <w:sz w:val="24"/>
                <w:szCs w:val="24"/>
              </w:rPr>
            </w:pPr>
            <w:r w:rsidRPr="001F3BD0">
              <w:rPr>
                <w:rFonts w:ascii="Times New Roman" w:hAnsi="Times New Roman" w:cs="Times New Roman"/>
                <w:sz w:val="24"/>
                <w:szCs w:val="24"/>
              </w:rPr>
              <w:t>22.816 EGP</w:t>
            </w:r>
          </w:p>
        </w:tc>
      </w:tr>
    </w:tbl>
    <w:sdt>
      <w:sdtPr>
        <w:rPr>
          <w:color w:val="000000"/>
        </w:rPr>
        <w:tag w:val="MENDELEY_BIBLIOGRAPHY"/>
        <w:id w:val="1968467798"/>
        <w:placeholder>
          <w:docPart w:val="DefaultPlaceholder_-1854013440"/>
        </w:placeholder>
      </w:sdtPr>
      <w:sdtContent>
        <w:p w14:paraId="2F7A1545" w14:textId="77777777" w:rsidR="001F3BD0" w:rsidRDefault="001F3BD0">
          <w:pPr>
            <w:autoSpaceDE w:val="0"/>
            <w:autoSpaceDN w:val="0"/>
            <w:ind w:hanging="640"/>
            <w:divId w:val="825778398"/>
            <w:rPr>
              <w:rFonts w:eastAsia="Times New Roman"/>
              <w:kern w:val="0"/>
              <w:sz w:val="24"/>
              <w:szCs w:val="24"/>
              <w14:ligatures w14:val="none"/>
            </w:rPr>
          </w:pPr>
          <w:r>
            <w:rPr>
              <w:rFonts w:eastAsia="Times New Roman"/>
            </w:rPr>
            <w:t>1.</w:t>
          </w:r>
          <w:r>
            <w:rPr>
              <w:rFonts w:eastAsia="Times New Roman"/>
            </w:rPr>
            <w:tab/>
          </w:r>
          <w:proofErr w:type="spellStart"/>
          <w:r>
            <w:rPr>
              <w:rFonts w:eastAsia="Times New Roman"/>
            </w:rPr>
            <w:t>Teweldemedhin</w:t>
          </w:r>
          <w:proofErr w:type="spellEnd"/>
          <w:r>
            <w:rPr>
              <w:rFonts w:eastAsia="Times New Roman"/>
            </w:rPr>
            <w:t xml:space="preserve"> M, Gebreyesus H, </w:t>
          </w:r>
          <w:proofErr w:type="spellStart"/>
          <w:r>
            <w:rPr>
              <w:rFonts w:eastAsia="Times New Roman"/>
            </w:rPr>
            <w:t>Atsbaha</w:t>
          </w:r>
          <w:proofErr w:type="spellEnd"/>
          <w:r>
            <w:rPr>
              <w:rFonts w:eastAsia="Times New Roman"/>
            </w:rPr>
            <w:t xml:space="preserve"> AH, Asgedom SW, Saravanan M. Bacterial profile of ocular infections: A systematic review. </w:t>
          </w:r>
          <w:r>
            <w:rPr>
              <w:rFonts w:eastAsia="Times New Roman"/>
              <w:i/>
              <w:iCs/>
            </w:rPr>
            <w:t xml:space="preserve">BMC </w:t>
          </w:r>
          <w:proofErr w:type="spellStart"/>
          <w:r>
            <w:rPr>
              <w:rFonts w:eastAsia="Times New Roman"/>
              <w:i/>
              <w:iCs/>
            </w:rPr>
            <w:t>Ophthalmol</w:t>
          </w:r>
          <w:proofErr w:type="spellEnd"/>
          <w:r>
            <w:rPr>
              <w:rFonts w:eastAsia="Times New Roman"/>
            </w:rPr>
            <w:t>. 2017;17(1). doi:10.1186/s12886-017-0612-2</w:t>
          </w:r>
        </w:p>
        <w:p w14:paraId="798EC7C9" w14:textId="77777777" w:rsidR="001F3BD0" w:rsidRDefault="001F3BD0">
          <w:pPr>
            <w:autoSpaceDE w:val="0"/>
            <w:autoSpaceDN w:val="0"/>
            <w:ind w:hanging="640"/>
            <w:divId w:val="2100133360"/>
            <w:rPr>
              <w:rFonts w:eastAsia="Times New Roman"/>
            </w:rPr>
          </w:pPr>
          <w:r>
            <w:rPr>
              <w:rFonts w:eastAsia="Times New Roman"/>
            </w:rPr>
            <w:t>2.</w:t>
          </w:r>
          <w:r>
            <w:rPr>
              <w:rFonts w:eastAsia="Times New Roman"/>
            </w:rPr>
            <w:tab/>
            <w:t xml:space="preserve">Forrester J V., Dick AD, McMenamin PG, Roberts F, Pearlman E. </w:t>
          </w:r>
          <w:r>
            <w:rPr>
              <w:rFonts w:eastAsia="Times New Roman"/>
              <w:i/>
              <w:iCs/>
            </w:rPr>
            <w:t>The Eye: Basic Sciences in Practice</w:t>
          </w:r>
          <w:r>
            <w:rPr>
              <w:rFonts w:eastAsia="Times New Roman"/>
            </w:rPr>
            <w:t>. 4th ed. Elsevier; 2016. doi:10.1016/C2012-0-07682-X</w:t>
          </w:r>
        </w:p>
        <w:p w14:paraId="5519F102" w14:textId="29F831ED" w:rsidR="00234996" w:rsidRDefault="00000000" w:rsidP="00234996">
          <w:pPr>
            <w:rPr>
              <w:color w:val="000000"/>
            </w:rPr>
            <w:sectPr w:rsidR="00234996" w:rsidSect="001F3BD0">
              <w:pgSz w:w="16840" w:h="11900" w:orient="landscape"/>
              <w:pgMar w:top="1440" w:right="1440" w:bottom="1264" w:left="1440" w:header="708" w:footer="708" w:gutter="0"/>
              <w:cols w:space="708"/>
              <w:docGrid w:linePitch="360"/>
            </w:sectPr>
          </w:pPr>
        </w:p>
      </w:sdtContent>
    </w:sdt>
    <w:p w14:paraId="59A36000" w14:textId="7485006F" w:rsidR="00336A16" w:rsidRPr="006E0752" w:rsidRDefault="000A3AD4" w:rsidP="00336A16">
      <w:pPr>
        <w:rPr>
          <w:i/>
          <w:iCs/>
          <w:color w:val="000000"/>
        </w:rPr>
      </w:pPr>
      <w:r w:rsidRPr="006E0752">
        <w:rPr>
          <w:i/>
          <w:iCs/>
          <w:noProof/>
          <w:sz w:val="28"/>
          <w:szCs w:val="28"/>
        </w:rPr>
        <w:lastRenderedPageBreak/>
        <mc:AlternateContent>
          <mc:Choice Requires="wps">
            <w:drawing>
              <wp:anchor distT="45720" distB="45720" distL="114300" distR="114300" simplePos="0" relativeHeight="251659264" behindDoc="0" locked="0" layoutInCell="1" allowOverlap="1" wp14:anchorId="4128E77D" wp14:editId="1DA2295E">
                <wp:simplePos x="0" y="0"/>
                <wp:positionH relativeFrom="column">
                  <wp:posOffset>33655</wp:posOffset>
                </wp:positionH>
                <wp:positionV relativeFrom="paragraph">
                  <wp:posOffset>242570</wp:posOffset>
                </wp:positionV>
                <wp:extent cx="5797550" cy="865505"/>
                <wp:effectExtent l="0" t="0" r="635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65505"/>
                        </a:xfrm>
                        <a:prstGeom prst="rect">
                          <a:avLst/>
                        </a:prstGeom>
                        <a:solidFill>
                          <a:srgbClr val="FFFFFF"/>
                        </a:solidFill>
                        <a:ln w="9525">
                          <a:noFill/>
                          <a:miter lim="800000"/>
                          <a:headEnd/>
                          <a:tailEnd/>
                        </a:ln>
                      </wps:spPr>
                      <wps:txbx>
                        <w:txbxContent>
                          <w:p w14:paraId="48A10418" w14:textId="3D767E2A" w:rsidR="00336A16" w:rsidRPr="00FB0F41" w:rsidRDefault="00336A16" w:rsidP="000A3AD4">
                            <w:pPr>
                              <w:rPr>
                                <w:rFonts w:asciiTheme="majorBidi" w:hAnsiTheme="majorBidi" w:cstheme="majorBidi"/>
                                <w:sz w:val="24"/>
                                <w:szCs w:val="24"/>
                              </w:rPr>
                            </w:pPr>
                            <w:r w:rsidRPr="00FB0F41">
                              <w:rPr>
                                <w:rFonts w:asciiTheme="majorBidi" w:hAnsiTheme="majorBidi" w:cstheme="majorBidi"/>
                                <w:sz w:val="24"/>
                                <w:szCs w:val="24"/>
                              </w:rPr>
                              <w:t xml:space="preserve"> </w:t>
                            </w:r>
                            <w:r>
                              <w:rPr>
                                <w:rFonts w:asciiTheme="majorBidi" w:hAnsiTheme="majorBidi" w:cstheme="majorBidi"/>
                                <w:sz w:val="24"/>
                                <w:szCs w:val="24"/>
                              </w:rPr>
                              <w:t>The patient reusing the vial is expected to take 2-3 days to</w:t>
                            </w:r>
                            <w:r w:rsidRPr="00FB0F41">
                              <w:rPr>
                                <w:rFonts w:asciiTheme="majorBidi" w:hAnsiTheme="majorBidi" w:cstheme="majorBidi"/>
                                <w:sz w:val="24"/>
                                <w:szCs w:val="24"/>
                              </w:rPr>
                              <w:t xml:space="preserve"> develop symptoms</w:t>
                            </w:r>
                            <w:r>
                              <w:rPr>
                                <w:rFonts w:asciiTheme="majorBidi" w:hAnsiTheme="majorBidi" w:cstheme="majorBidi"/>
                                <w:sz w:val="24"/>
                                <w:szCs w:val="24"/>
                              </w:rPr>
                              <w:t xml:space="preserve"> of infection. Then take about one</w:t>
                            </w:r>
                            <w:r w:rsidRPr="00FB0F41">
                              <w:rPr>
                                <w:rFonts w:asciiTheme="majorBidi" w:hAnsiTheme="majorBidi" w:cstheme="majorBidi"/>
                                <w:sz w:val="24"/>
                                <w:szCs w:val="24"/>
                              </w:rPr>
                              <w:t xml:space="preserve"> day </w:t>
                            </w:r>
                            <w:r>
                              <w:rPr>
                                <w:rFonts w:asciiTheme="majorBidi" w:hAnsiTheme="majorBidi" w:cstheme="majorBidi"/>
                                <w:sz w:val="24"/>
                                <w:szCs w:val="24"/>
                              </w:rPr>
                              <w:t xml:space="preserve">for medical </w:t>
                            </w:r>
                            <w:r w:rsidRPr="00FB0F41">
                              <w:rPr>
                                <w:rFonts w:asciiTheme="majorBidi" w:hAnsiTheme="majorBidi" w:cstheme="majorBidi"/>
                                <w:sz w:val="24"/>
                                <w:szCs w:val="24"/>
                              </w:rPr>
                              <w:t xml:space="preserve">consultation </w:t>
                            </w:r>
                            <w:r>
                              <w:rPr>
                                <w:rFonts w:asciiTheme="majorBidi" w:hAnsiTheme="majorBidi" w:cstheme="majorBidi"/>
                                <w:sz w:val="24"/>
                                <w:szCs w:val="24"/>
                              </w:rPr>
                              <w:t>that will refer them to topical treatment. After that, the duration of treating this simple infection is between 3-</w:t>
                            </w:r>
                            <w:r w:rsidRPr="00FB0F41">
                              <w:rPr>
                                <w:rFonts w:asciiTheme="majorBidi" w:hAnsiTheme="majorBidi" w:cstheme="majorBidi"/>
                                <w:sz w:val="24"/>
                                <w:szCs w:val="24"/>
                              </w:rPr>
                              <w:t>5 days</w:t>
                            </w:r>
                            <w:r w:rsidR="00354E71">
                              <w:rPr>
                                <w:rFonts w:asciiTheme="majorBidi" w:hAnsiTheme="majorBidi" w:cstheme="majorBidi"/>
                                <w:sz w:val="24"/>
                                <w:szCs w:val="24"/>
                              </w:rPr>
                              <w:t>.</w:t>
                            </w:r>
                            <w:r>
                              <w:rPr>
                                <w:rFonts w:asciiTheme="majorBidi" w:hAnsiTheme="majorBidi" w:cstheme="majorBidi"/>
                                <w:sz w:val="24"/>
                                <w:szCs w:val="24"/>
                              </w:rPr>
                              <w:t xml:space="preserve"> Lastly, one </w:t>
                            </w:r>
                            <w:r w:rsidRPr="00FB0F41">
                              <w:rPr>
                                <w:rFonts w:asciiTheme="majorBidi" w:hAnsiTheme="majorBidi" w:cstheme="majorBidi"/>
                                <w:sz w:val="24"/>
                                <w:szCs w:val="24"/>
                              </w:rPr>
                              <w:t xml:space="preserve">day </w:t>
                            </w:r>
                            <w:r>
                              <w:rPr>
                                <w:rFonts w:asciiTheme="majorBidi" w:hAnsiTheme="majorBidi" w:cstheme="majorBidi"/>
                                <w:sz w:val="24"/>
                                <w:szCs w:val="24"/>
                              </w:rPr>
                              <w:t xml:space="preserve">is needed for complete </w:t>
                            </w:r>
                            <w:r w:rsidRPr="00FB0F41">
                              <w:rPr>
                                <w:rFonts w:asciiTheme="majorBidi" w:hAnsiTheme="majorBidi" w:cstheme="majorBidi"/>
                                <w:sz w:val="24"/>
                                <w:szCs w:val="24"/>
                              </w:rPr>
                              <w:t>reso</w:t>
                            </w:r>
                            <w:r>
                              <w:rPr>
                                <w:rFonts w:asciiTheme="majorBidi" w:hAnsiTheme="majorBidi" w:cstheme="majorBidi"/>
                                <w:sz w:val="24"/>
                                <w:szCs w:val="24"/>
                              </w:rPr>
                              <w:t>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8E77D" id="_x0000_t202" coordsize="21600,21600" o:spt="202" path="m,l,21600r21600,l21600,xe">
                <v:stroke joinstyle="miter"/>
                <v:path gradientshapeok="t" o:connecttype="rect"/>
              </v:shapetype>
              <v:shape id="Text Box 2" o:spid="_x0000_s1026" type="#_x0000_t202" style="position:absolute;margin-left:2.65pt;margin-top:19.1pt;width:456.5pt;height:6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" stroked="f">
                <v:textbox>
                  <w:txbxContent>
                    <w:p w14:paraId="48A10418" w14:textId="3D767E2A" w:rsidR="00336A16" w:rsidRPr="00FB0F41" w:rsidRDefault="00336A16" w:rsidP="000A3AD4">
                      <w:pPr>
                        <w:rPr>
                          <w:rFonts w:asciiTheme="majorBidi" w:hAnsiTheme="majorBidi" w:cstheme="majorBidi"/>
                          <w:sz w:val="24"/>
                          <w:szCs w:val="24"/>
                        </w:rPr>
                      </w:pPr>
                      <w:r w:rsidRPr="00FB0F41">
                        <w:rPr>
                          <w:rFonts w:asciiTheme="majorBidi" w:hAnsiTheme="majorBidi" w:cstheme="majorBidi"/>
                          <w:sz w:val="24"/>
                          <w:szCs w:val="24"/>
                        </w:rPr>
                        <w:t xml:space="preserve"> </w:t>
                      </w:r>
                      <w:r>
                        <w:rPr>
                          <w:rFonts w:asciiTheme="majorBidi" w:hAnsiTheme="majorBidi" w:cstheme="majorBidi"/>
                          <w:sz w:val="24"/>
                          <w:szCs w:val="24"/>
                        </w:rPr>
                        <w:t>The patient reusing the vial is expected to take 2-3 days to</w:t>
                      </w:r>
                      <w:r w:rsidRPr="00FB0F41">
                        <w:rPr>
                          <w:rFonts w:asciiTheme="majorBidi" w:hAnsiTheme="majorBidi" w:cstheme="majorBidi"/>
                          <w:sz w:val="24"/>
                          <w:szCs w:val="24"/>
                        </w:rPr>
                        <w:t xml:space="preserve"> develop symptoms</w:t>
                      </w:r>
                      <w:r>
                        <w:rPr>
                          <w:rFonts w:asciiTheme="majorBidi" w:hAnsiTheme="majorBidi" w:cstheme="majorBidi"/>
                          <w:sz w:val="24"/>
                          <w:szCs w:val="24"/>
                        </w:rPr>
                        <w:t xml:space="preserve"> of infection. Then take about one</w:t>
                      </w:r>
                      <w:r w:rsidRPr="00FB0F41">
                        <w:rPr>
                          <w:rFonts w:asciiTheme="majorBidi" w:hAnsiTheme="majorBidi" w:cstheme="majorBidi"/>
                          <w:sz w:val="24"/>
                          <w:szCs w:val="24"/>
                        </w:rPr>
                        <w:t xml:space="preserve"> day </w:t>
                      </w:r>
                      <w:r>
                        <w:rPr>
                          <w:rFonts w:asciiTheme="majorBidi" w:hAnsiTheme="majorBidi" w:cstheme="majorBidi"/>
                          <w:sz w:val="24"/>
                          <w:szCs w:val="24"/>
                        </w:rPr>
                        <w:t xml:space="preserve">for medical </w:t>
                      </w:r>
                      <w:r w:rsidRPr="00FB0F41">
                        <w:rPr>
                          <w:rFonts w:asciiTheme="majorBidi" w:hAnsiTheme="majorBidi" w:cstheme="majorBidi"/>
                          <w:sz w:val="24"/>
                          <w:szCs w:val="24"/>
                        </w:rPr>
                        <w:t xml:space="preserve">consultation </w:t>
                      </w:r>
                      <w:r>
                        <w:rPr>
                          <w:rFonts w:asciiTheme="majorBidi" w:hAnsiTheme="majorBidi" w:cstheme="majorBidi"/>
                          <w:sz w:val="24"/>
                          <w:szCs w:val="24"/>
                        </w:rPr>
                        <w:t>that will refer them to topical treatment. After that, the duration of treating this simple infection is between 3-</w:t>
                      </w:r>
                      <w:r w:rsidRPr="00FB0F41">
                        <w:rPr>
                          <w:rFonts w:asciiTheme="majorBidi" w:hAnsiTheme="majorBidi" w:cstheme="majorBidi"/>
                          <w:sz w:val="24"/>
                          <w:szCs w:val="24"/>
                        </w:rPr>
                        <w:t>5 days</w:t>
                      </w:r>
                      <w:r w:rsidR="00354E71">
                        <w:rPr>
                          <w:rFonts w:asciiTheme="majorBidi" w:hAnsiTheme="majorBidi" w:cstheme="majorBidi"/>
                          <w:sz w:val="24"/>
                          <w:szCs w:val="24"/>
                        </w:rPr>
                        <w:t>.</w:t>
                      </w:r>
                      <w:r>
                        <w:rPr>
                          <w:rFonts w:asciiTheme="majorBidi" w:hAnsiTheme="majorBidi" w:cstheme="majorBidi"/>
                          <w:sz w:val="24"/>
                          <w:szCs w:val="24"/>
                        </w:rPr>
                        <w:t xml:space="preserve"> Lastly, one </w:t>
                      </w:r>
                      <w:r w:rsidRPr="00FB0F41">
                        <w:rPr>
                          <w:rFonts w:asciiTheme="majorBidi" w:hAnsiTheme="majorBidi" w:cstheme="majorBidi"/>
                          <w:sz w:val="24"/>
                          <w:szCs w:val="24"/>
                        </w:rPr>
                        <w:t xml:space="preserve">day </w:t>
                      </w:r>
                      <w:r>
                        <w:rPr>
                          <w:rFonts w:asciiTheme="majorBidi" w:hAnsiTheme="majorBidi" w:cstheme="majorBidi"/>
                          <w:sz w:val="24"/>
                          <w:szCs w:val="24"/>
                        </w:rPr>
                        <w:t xml:space="preserve">is needed for complete </w:t>
                      </w:r>
                      <w:r w:rsidRPr="00FB0F41">
                        <w:rPr>
                          <w:rFonts w:asciiTheme="majorBidi" w:hAnsiTheme="majorBidi" w:cstheme="majorBidi"/>
                          <w:sz w:val="24"/>
                          <w:szCs w:val="24"/>
                        </w:rPr>
                        <w:t>reso</w:t>
                      </w:r>
                      <w:r>
                        <w:rPr>
                          <w:rFonts w:asciiTheme="majorBidi" w:hAnsiTheme="majorBidi" w:cstheme="majorBidi"/>
                          <w:sz w:val="24"/>
                          <w:szCs w:val="24"/>
                        </w:rPr>
                        <w:t>lution.</w:t>
                      </w:r>
                    </w:p>
                  </w:txbxContent>
                </v:textbox>
                <w10:wrap type="topAndBottom"/>
              </v:shape>
            </w:pict>
          </mc:Fallback>
        </mc:AlternateContent>
      </w:r>
      <w:r w:rsidRPr="006E0752">
        <w:rPr>
          <w:i/>
          <w:iCs/>
          <w:sz w:val="24"/>
          <w:szCs w:val="24"/>
        </w:rPr>
        <w:t xml:space="preserve">Supplement </w:t>
      </w:r>
      <w:r w:rsidRPr="006E0752">
        <w:rPr>
          <w:i/>
          <w:iCs/>
          <w:sz w:val="24"/>
          <w:szCs w:val="24"/>
        </w:rPr>
        <w:fldChar w:fldCharType="begin"/>
      </w:r>
      <w:r w:rsidRPr="006E0752">
        <w:rPr>
          <w:i/>
          <w:iCs/>
          <w:sz w:val="24"/>
          <w:szCs w:val="24"/>
        </w:rPr>
        <w:instrText xml:space="preserve"> SEQ Supplement \* ARABIC </w:instrText>
      </w:r>
      <w:r w:rsidRPr="006E0752">
        <w:rPr>
          <w:i/>
          <w:iCs/>
          <w:sz w:val="24"/>
          <w:szCs w:val="24"/>
        </w:rPr>
        <w:fldChar w:fldCharType="separate"/>
      </w:r>
      <w:r w:rsidR="00C26AAA" w:rsidRPr="006E0752">
        <w:rPr>
          <w:i/>
          <w:iCs/>
          <w:noProof/>
          <w:sz w:val="24"/>
          <w:szCs w:val="24"/>
        </w:rPr>
        <w:t>2</w:t>
      </w:r>
      <w:r w:rsidRPr="006E0752">
        <w:rPr>
          <w:i/>
          <w:iCs/>
          <w:sz w:val="24"/>
          <w:szCs w:val="24"/>
        </w:rPr>
        <w:fldChar w:fldCharType="end"/>
      </w:r>
      <w:r w:rsidR="00354E71" w:rsidRPr="006E0752">
        <w:rPr>
          <w:i/>
          <w:iCs/>
          <w:sz w:val="24"/>
          <w:szCs w:val="24"/>
        </w:rPr>
        <w:t>.</w:t>
      </w:r>
      <w:r w:rsidRPr="006E0752">
        <w:rPr>
          <w:i/>
          <w:iCs/>
          <w:sz w:val="24"/>
          <w:szCs w:val="24"/>
          <w:lang w:val="en-CA"/>
        </w:rPr>
        <w:t xml:space="preserve"> Conceptual </w:t>
      </w:r>
      <w:r w:rsidR="00354E71" w:rsidRPr="006E0752">
        <w:rPr>
          <w:i/>
          <w:iCs/>
          <w:sz w:val="24"/>
          <w:szCs w:val="24"/>
          <w:lang w:val="en-CA"/>
        </w:rPr>
        <w:t>m</w:t>
      </w:r>
      <w:r w:rsidRPr="006E0752">
        <w:rPr>
          <w:i/>
          <w:iCs/>
          <w:sz w:val="24"/>
          <w:szCs w:val="24"/>
          <w:lang w:val="en-CA"/>
        </w:rPr>
        <w:t>odel for getting an eye infection</w:t>
      </w:r>
    </w:p>
    <w:p w14:paraId="116E53E1" w14:textId="6BC01B5B" w:rsidR="000A3AD4" w:rsidRDefault="000A3AD4">
      <w:pPr>
        <w:spacing w:line="278" w:lineRule="auto"/>
      </w:pPr>
    </w:p>
    <w:p w14:paraId="232B0219" w14:textId="6C9A95C7" w:rsidR="00470E08" w:rsidRPr="006E0752" w:rsidRDefault="00234996" w:rsidP="00336A16">
      <w:pPr>
        <w:rPr>
          <w:i/>
          <w:iCs/>
          <w:sz w:val="24"/>
          <w:szCs w:val="24"/>
        </w:rPr>
      </w:pPr>
      <w:r w:rsidRPr="006E0752">
        <w:rPr>
          <w:i/>
          <w:iCs/>
          <w:sz w:val="24"/>
          <w:szCs w:val="24"/>
        </w:rPr>
        <w:drawing>
          <wp:anchor distT="0" distB="0" distL="114300" distR="114300" simplePos="0" relativeHeight="251660288" behindDoc="0" locked="0" layoutInCell="1" allowOverlap="1" wp14:anchorId="072FEA55" wp14:editId="7A14956B">
            <wp:simplePos x="0" y="0"/>
            <wp:positionH relativeFrom="column">
              <wp:posOffset>-24765</wp:posOffset>
            </wp:positionH>
            <wp:positionV relativeFrom="paragraph">
              <wp:posOffset>291465</wp:posOffset>
            </wp:positionV>
            <wp:extent cx="6215380" cy="5715635"/>
            <wp:effectExtent l="0" t="0" r="0" b="0"/>
            <wp:wrapTopAndBottom/>
            <wp:docPr id="1259301524" name="Picture 3" descr="A diagram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01524" name="Picture 3" descr="A diagram of a viru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215380" cy="5715635"/>
                    </a:xfrm>
                    <a:prstGeom prst="rect">
                      <a:avLst/>
                    </a:prstGeom>
                  </pic:spPr>
                </pic:pic>
              </a:graphicData>
            </a:graphic>
            <wp14:sizeRelH relativeFrom="page">
              <wp14:pctWidth>0</wp14:pctWidth>
            </wp14:sizeRelH>
            <wp14:sizeRelV relativeFrom="page">
              <wp14:pctHeight>0</wp14:pctHeight>
            </wp14:sizeRelV>
          </wp:anchor>
        </w:drawing>
      </w:r>
      <w:r w:rsidR="000A3AD4" w:rsidRPr="006E0752">
        <w:rPr>
          <w:i/>
          <w:iCs/>
          <w:sz w:val="24"/>
          <w:szCs w:val="24"/>
        </w:rPr>
        <w:t xml:space="preserve">Supplement </w:t>
      </w:r>
      <w:r w:rsidR="000A3AD4" w:rsidRPr="006E0752">
        <w:rPr>
          <w:i/>
          <w:iCs/>
          <w:sz w:val="24"/>
          <w:szCs w:val="24"/>
        </w:rPr>
        <w:fldChar w:fldCharType="begin"/>
      </w:r>
      <w:r w:rsidR="000A3AD4" w:rsidRPr="006E0752">
        <w:rPr>
          <w:i/>
          <w:iCs/>
          <w:sz w:val="24"/>
          <w:szCs w:val="24"/>
        </w:rPr>
        <w:instrText xml:space="preserve"> SEQ Supplement \* ARABIC </w:instrText>
      </w:r>
      <w:r w:rsidR="000A3AD4" w:rsidRPr="006E0752">
        <w:rPr>
          <w:i/>
          <w:iCs/>
          <w:sz w:val="24"/>
          <w:szCs w:val="24"/>
        </w:rPr>
        <w:fldChar w:fldCharType="separate"/>
      </w:r>
      <w:r w:rsidR="00C26AAA" w:rsidRPr="006E0752">
        <w:rPr>
          <w:i/>
          <w:iCs/>
          <w:sz w:val="24"/>
          <w:szCs w:val="24"/>
        </w:rPr>
        <w:t>3</w:t>
      </w:r>
      <w:r w:rsidR="000A3AD4" w:rsidRPr="006E0752">
        <w:rPr>
          <w:i/>
          <w:iCs/>
          <w:sz w:val="24"/>
          <w:szCs w:val="24"/>
        </w:rPr>
        <w:fldChar w:fldCharType="end"/>
      </w:r>
      <w:r w:rsidR="000A3AD4" w:rsidRPr="006E0752">
        <w:rPr>
          <w:i/>
          <w:iCs/>
          <w:sz w:val="24"/>
          <w:szCs w:val="24"/>
        </w:rPr>
        <w:t xml:space="preserve"> Decision </w:t>
      </w:r>
      <w:r w:rsidR="00C26AAA" w:rsidRPr="006E0752">
        <w:rPr>
          <w:i/>
          <w:iCs/>
          <w:sz w:val="24"/>
          <w:szCs w:val="24"/>
        </w:rPr>
        <w:t>T</w:t>
      </w:r>
      <w:r w:rsidR="000A3AD4" w:rsidRPr="006E0752">
        <w:rPr>
          <w:i/>
          <w:iCs/>
          <w:sz w:val="24"/>
          <w:szCs w:val="24"/>
        </w:rPr>
        <w:t xml:space="preserve">ree for the best case </w:t>
      </w:r>
    </w:p>
    <w:p w14:paraId="6BA56383" w14:textId="64194B57" w:rsidR="000A3AD4" w:rsidRDefault="000A3AD4">
      <w:pPr>
        <w:spacing w:line="278" w:lineRule="auto"/>
        <w:rPr>
          <w:color w:val="000000"/>
        </w:rPr>
      </w:pPr>
      <w:r>
        <w:rPr>
          <w:color w:val="000000"/>
        </w:rPr>
        <w:br w:type="page"/>
      </w:r>
    </w:p>
    <w:p w14:paraId="125F7252" w14:textId="0DD3A3CB" w:rsidR="00234996" w:rsidRPr="006E0752" w:rsidRDefault="00234996" w:rsidP="00234996">
      <w:pPr>
        <w:spacing w:line="278" w:lineRule="auto"/>
        <w:rPr>
          <w:i/>
          <w:iCs/>
          <w:color w:val="000000"/>
          <w:sz w:val="24"/>
          <w:szCs w:val="24"/>
        </w:rPr>
      </w:pPr>
      <w:r w:rsidRPr="006E0752">
        <w:rPr>
          <w:i/>
          <w:iCs/>
          <w:color w:val="000000"/>
          <w:sz w:val="24"/>
          <w:szCs w:val="24"/>
        </w:rPr>
        <w:lastRenderedPageBreak/>
        <w:t xml:space="preserve">Supplement </w:t>
      </w:r>
      <w:r w:rsidRPr="006E0752">
        <w:rPr>
          <w:i/>
          <w:iCs/>
          <w:color w:val="000000"/>
          <w:sz w:val="24"/>
          <w:szCs w:val="24"/>
        </w:rPr>
        <w:fldChar w:fldCharType="begin"/>
      </w:r>
      <w:r w:rsidRPr="006E0752">
        <w:rPr>
          <w:i/>
          <w:iCs/>
          <w:color w:val="000000"/>
          <w:sz w:val="24"/>
          <w:szCs w:val="24"/>
        </w:rPr>
        <w:instrText xml:space="preserve"> SEQ Supplement \* ARABIC </w:instrText>
      </w:r>
      <w:r w:rsidRPr="006E0752">
        <w:rPr>
          <w:i/>
          <w:iCs/>
          <w:color w:val="000000"/>
          <w:sz w:val="24"/>
          <w:szCs w:val="24"/>
        </w:rPr>
        <w:fldChar w:fldCharType="separate"/>
      </w:r>
      <w:r w:rsidRPr="006E0752">
        <w:rPr>
          <w:i/>
          <w:iCs/>
          <w:noProof/>
          <w:color w:val="000000"/>
          <w:sz w:val="24"/>
          <w:szCs w:val="24"/>
        </w:rPr>
        <w:t>4</w:t>
      </w:r>
      <w:r w:rsidRPr="006E0752">
        <w:rPr>
          <w:i/>
          <w:iCs/>
          <w:color w:val="000000"/>
          <w:sz w:val="24"/>
          <w:szCs w:val="24"/>
        </w:rPr>
        <w:fldChar w:fldCharType="end"/>
      </w:r>
      <w:r w:rsidRPr="006E0752">
        <w:rPr>
          <w:i/>
          <w:iCs/>
          <w:color w:val="000000"/>
          <w:sz w:val="24"/>
          <w:szCs w:val="24"/>
          <w:lang w:val="en-CA"/>
        </w:rPr>
        <w:t xml:space="preserve"> Decision tree for the Worst case</w:t>
      </w:r>
    </w:p>
    <w:p w14:paraId="396C3D32" w14:textId="2E184A43" w:rsidR="000A3AD4" w:rsidRPr="00336A16" w:rsidRDefault="0018294D" w:rsidP="00336A16">
      <w:pPr>
        <w:rPr>
          <w:color w:val="000000"/>
        </w:rPr>
      </w:pPr>
      <w:r>
        <w:rPr>
          <w:noProof/>
          <w:color w:val="000000"/>
        </w:rPr>
        <w:drawing>
          <wp:inline distT="0" distB="0" distL="0" distR="0" wp14:anchorId="74E5C760" wp14:editId="523230D1">
            <wp:extent cx="5839460" cy="6877050"/>
            <wp:effectExtent l="0" t="0" r="2540" b="6350"/>
            <wp:docPr id="1920141290" name="Picture 2" descr="A diagram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41290" name="Picture 2" descr="A diagram of a viru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839460" cy="6877050"/>
                    </a:xfrm>
                    <a:prstGeom prst="rect">
                      <a:avLst/>
                    </a:prstGeom>
                  </pic:spPr>
                </pic:pic>
              </a:graphicData>
            </a:graphic>
          </wp:inline>
        </w:drawing>
      </w:r>
    </w:p>
    <w:sectPr w:rsidR="000A3AD4" w:rsidRPr="00336A16" w:rsidSect="00234996">
      <w:pgSz w:w="11900" w:h="16840"/>
      <w:pgMar w:top="1440" w:right="1440" w:bottom="1440" w:left="12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01"/>
    <w:rsid w:val="000017DA"/>
    <w:rsid w:val="00003D42"/>
    <w:rsid w:val="00004343"/>
    <w:rsid w:val="00005B66"/>
    <w:rsid w:val="00015CBD"/>
    <w:rsid w:val="00016D0F"/>
    <w:rsid w:val="000418AF"/>
    <w:rsid w:val="0004465E"/>
    <w:rsid w:val="00045468"/>
    <w:rsid w:val="00066738"/>
    <w:rsid w:val="000727FD"/>
    <w:rsid w:val="000A3AD4"/>
    <w:rsid w:val="000B5F44"/>
    <w:rsid w:val="000C0544"/>
    <w:rsid w:val="00134BA1"/>
    <w:rsid w:val="00162807"/>
    <w:rsid w:val="001654EE"/>
    <w:rsid w:val="001827AD"/>
    <w:rsid w:val="0018294D"/>
    <w:rsid w:val="001931DA"/>
    <w:rsid w:val="001E5B12"/>
    <w:rsid w:val="001F057D"/>
    <w:rsid w:val="001F3BD0"/>
    <w:rsid w:val="001F45D1"/>
    <w:rsid w:val="001F491E"/>
    <w:rsid w:val="001F6337"/>
    <w:rsid w:val="00224C4A"/>
    <w:rsid w:val="002347CE"/>
    <w:rsid w:val="00234996"/>
    <w:rsid w:val="002716CD"/>
    <w:rsid w:val="00293358"/>
    <w:rsid w:val="0029398D"/>
    <w:rsid w:val="002A4700"/>
    <w:rsid w:val="002B49AD"/>
    <w:rsid w:val="002C37E5"/>
    <w:rsid w:val="002D00EF"/>
    <w:rsid w:val="002F3C37"/>
    <w:rsid w:val="003009B9"/>
    <w:rsid w:val="00304DEA"/>
    <w:rsid w:val="0030510F"/>
    <w:rsid w:val="003116B6"/>
    <w:rsid w:val="003132F6"/>
    <w:rsid w:val="00313A55"/>
    <w:rsid w:val="00332CC3"/>
    <w:rsid w:val="00335FE9"/>
    <w:rsid w:val="00336A16"/>
    <w:rsid w:val="0034002C"/>
    <w:rsid w:val="003428D9"/>
    <w:rsid w:val="00354E71"/>
    <w:rsid w:val="003714F9"/>
    <w:rsid w:val="00383D97"/>
    <w:rsid w:val="00393E4A"/>
    <w:rsid w:val="003A33A6"/>
    <w:rsid w:val="003B0267"/>
    <w:rsid w:val="003D0B67"/>
    <w:rsid w:val="003D6991"/>
    <w:rsid w:val="003F2B41"/>
    <w:rsid w:val="00401C4D"/>
    <w:rsid w:val="00470E08"/>
    <w:rsid w:val="004766C4"/>
    <w:rsid w:val="0048038C"/>
    <w:rsid w:val="004A2288"/>
    <w:rsid w:val="004D2A47"/>
    <w:rsid w:val="004D4DCC"/>
    <w:rsid w:val="005405A6"/>
    <w:rsid w:val="00590BD2"/>
    <w:rsid w:val="005969D0"/>
    <w:rsid w:val="005B3682"/>
    <w:rsid w:val="005B5022"/>
    <w:rsid w:val="005D1269"/>
    <w:rsid w:val="005D1BE8"/>
    <w:rsid w:val="005F2AE5"/>
    <w:rsid w:val="00613739"/>
    <w:rsid w:val="00634B6F"/>
    <w:rsid w:val="00664DBC"/>
    <w:rsid w:val="0067258A"/>
    <w:rsid w:val="00682EFA"/>
    <w:rsid w:val="006B6B8A"/>
    <w:rsid w:val="006B6FF4"/>
    <w:rsid w:val="006E0752"/>
    <w:rsid w:val="006F2993"/>
    <w:rsid w:val="0071415A"/>
    <w:rsid w:val="00727C0B"/>
    <w:rsid w:val="0073362A"/>
    <w:rsid w:val="0075291C"/>
    <w:rsid w:val="00773B28"/>
    <w:rsid w:val="0077511A"/>
    <w:rsid w:val="00777189"/>
    <w:rsid w:val="007773B6"/>
    <w:rsid w:val="007861C6"/>
    <w:rsid w:val="00786AB6"/>
    <w:rsid w:val="00787652"/>
    <w:rsid w:val="00795B26"/>
    <w:rsid w:val="007C043E"/>
    <w:rsid w:val="007F536A"/>
    <w:rsid w:val="0082382C"/>
    <w:rsid w:val="008252DA"/>
    <w:rsid w:val="00844DEA"/>
    <w:rsid w:val="00851B2C"/>
    <w:rsid w:val="00873F79"/>
    <w:rsid w:val="008939E3"/>
    <w:rsid w:val="0089483C"/>
    <w:rsid w:val="00896FF4"/>
    <w:rsid w:val="008A1212"/>
    <w:rsid w:val="008B461A"/>
    <w:rsid w:val="008C6FFD"/>
    <w:rsid w:val="008D6F35"/>
    <w:rsid w:val="008D72AE"/>
    <w:rsid w:val="008F6875"/>
    <w:rsid w:val="00922345"/>
    <w:rsid w:val="00953EC2"/>
    <w:rsid w:val="00955C90"/>
    <w:rsid w:val="009B2399"/>
    <w:rsid w:val="009D2A2B"/>
    <w:rsid w:val="009F6819"/>
    <w:rsid w:val="00A07D68"/>
    <w:rsid w:val="00A44F1F"/>
    <w:rsid w:val="00A477EA"/>
    <w:rsid w:val="00A51F38"/>
    <w:rsid w:val="00A51FB4"/>
    <w:rsid w:val="00A53CAD"/>
    <w:rsid w:val="00A801B2"/>
    <w:rsid w:val="00A82A6D"/>
    <w:rsid w:val="00A93AF0"/>
    <w:rsid w:val="00A94A40"/>
    <w:rsid w:val="00AB4C35"/>
    <w:rsid w:val="00B102CC"/>
    <w:rsid w:val="00B10B0C"/>
    <w:rsid w:val="00B1598C"/>
    <w:rsid w:val="00B17AE4"/>
    <w:rsid w:val="00B41E50"/>
    <w:rsid w:val="00B43163"/>
    <w:rsid w:val="00B65AD1"/>
    <w:rsid w:val="00B722DE"/>
    <w:rsid w:val="00BA3853"/>
    <w:rsid w:val="00BB019B"/>
    <w:rsid w:val="00BB1A15"/>
    <w:rsid w:val="00BB513E"/>
    <w:rsid w:val="00BC4379"/>
    <w:rsid w:val="00BC47E3"/>
    <w:rsid w:val="00BE799B"/>
    <w:rsid w:val="00BF4CBC"/>
    <w:rsid w:val="00BF56FA"/>
    <w:rsid w:val="00C0758C"/>
    <w:rsid w:val="00C256FE"/>
    <w:rsid w:val="00C26AAA"/>
    <w:rsid w:val="00C34EE9"/>
    <w:rsid w:val="00C45225"/>
    <w:rsid w:val="00C55CC4"/>
    <w:rsid w:val="00C60D34"/>
    <w:rsid w:val="00C628C4"/>
    <w:rsid w:val="00C62A83"/>
    <w:rsid w:val="00C724EB"/>
    <w:rsid w:val="00C902FC"/>
    <w:rsid w:val="00C90484"/>
    <w:rsid w:val="00CA01F6"/>
    <w:rsid w:val="00CF10F2"/>
    <w:rsid w:val="00D14C61"/>
    <w:rsid w:val="00D153C1"/>
    <w:rsid w:val="00D17393"/>
    <w:rsid w:val="00D2083A"/>
    <w:rsid w:val="00D23C6D"/>
    <w:rsid w:val="00D251A2"/>
    <w:rsid w:val="00D47BA7"/>
    <w:rsid w:val="00D6515B"/>
    <w:rsid w:val="00D66B60"/>
    <w:rsid w:val="00D77FF0"/>
    <w:rsid w:val="00D94C81"/>
    <w:rsid w:val="00DE0F96"/>
    <w:rsid w:val="00E04165"/>
    <w:rsid w:val="00E26486"/>
    <w:rsid w:val="00E3306B"/>
    <w:rsid w:val="00E33A0A"/>
    <w:rsid w:val="00E51BDA"/>
    <w:rsid w:val="00E9466A"/>
    <w:rsid w:val="00E94AA1"/>
    <w:rsid w:val="00EB6053"/>
    <w:rsid w:val="00EC2238"/>
    <w:rsid w:val="00EE6F03"/>
    <w:rsid w:val="00F129F7"/>
    <w:rsid w:val="00F14169"/>
    <w:rsid w:val="00F22A20"/>
    <w:rsid w:val="00F6031C"/>
    <w:rsid w:val="00F77B83"/>
    <w:rsid w:val="00F8085A"/>
    <w:rsid w:val="00F86858"/>
    <w:rsid w:val="00F97C01"/>
    <w:rsid w:val="00FF2B00"/>
  </w:rsids>
  <m:mathPr>
    <m:mathFont m:val="Cambria Math"/>
    <m:brkBin m:val="before"/>
    <m:brkBinSub m:val="--"/>
    <m:smallFrac m:val="0"/>
    <m:dispDef/>
    <m:lMargin m:val="0"/>
    <m:rMargin m:val="0"/>
    <m:defJc m:val="centerGroup"/>
    <m:wrapIndent m:val="1440"/>
    <m:intLim m:val="subSup"/>
    <m:naryLim m:val="undOvr"/>
  </m:mathPr>
  <w:themeFontLang w:val="en-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5EB9"/>
  <w15:chartTrackingRefBased/>
  <w15:docId w15:val="{174C66A0-0B29-E343-9760-79D264C2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F9"/>
    <w:pPr>
      <w:spacing w:line="259"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F97C0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zh-CN"/>
    </w:rPr>
  </w:style>
  <w:style w:type="paragraph" w:styleId="Heading2">
    <w:name w:val="heading 2"/>
    <w:basedOn w:val="Normal"/>
    <w:next w:val="Normal"/>
    <w:link w:val="Heading2Char"/>
    <w:uiPriority w:val="9"/>
    <w:semiHidden/>
    <w:unhideWhenUsed/>
    <w:qFormat/>
    <w:rsid w:val="00F97C0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zh-CN"/>
    </w:rPr>
  </w:style>
  <w:style w:type="paragraph" w:styleId="Heading3">
    <w:name w:val="heading 3"/>
    <w:basedOn w:val="Normal"/>
    <w:next w:val="Normal"/>
    <w:link w:val="Heading3Char"/>
    <w:uiPriority w:val="9"/>
    <w:semiHidden/>
    <w:unhideWhenUsed/>
    <w:qFormat/>
    <w:rsid w:val="00F97C01"/>
    <w:pPr>
      <w:keepNext/>
      <w:keepLines/>
      <w:spacing w:before="160" w:after="80" w:line="278" w:lineRule="auto"/>
      <w:outlineLvl w:val="2"/>
    </w:pPr>
    <w:rPr>
      <w:rFonts w:eastAsiaTheme="majorEastAsia" w:cstheme="majorBidi"/>
      <w:color w:val="0F4761" w:themeColor="accent1" w:themeShade="BF"/>
      <w:sz w:val="28"/>
      <w:szCs w:val="28"/>
      <w:lang w:eastAsia="zh-CN"/>
    </w:rPr>
  </w:style>
  <w:style w:type="paragraph" w:styleId="Heading4">
    <w:name w:val="heading 4"/>
    <w:basedOn w:val="Normal"/>
    <w:next w:val="Normal"/>
    <w:link w:val="Heading4Char"/>
    <w:uiPriority w:val="9"/>
    <w:semiHidden/>
    <w:unhideWhenUsed/>
    <w:qFormat/>
    <w:rsid w:val="00F97C01"/>
    <w:pPr>
      <w:keepNext/>
      <w:keepLines/>
      <w:spacing w:before="80" w:after="40" w:line="278" w:lineRule="auto"/>
      <w:outlineLvl w:val="3"/>
    </w:pPr>
    <w:rPr>
      <w:rFonts w:eastAsiaTheme="majorEastAsia" w:cstheme="majorBidi"/>
      <w:i/>
      <w:iCs/>
      <w:color w:val="0F4761" w:themeColor="accent1" w:themeShade="BF"/>
      <w:sz w:val="24"/>
      <w:szCs w:val="24"/>
      <w:lang w:eastAsia="zh-CN"/>
    </w:rPr>
  </w:style>
  <w:style w:type="paragraph" w:styleId="Heading5">
    <w:name w:val="heading 5"/>
    <w:basedOn w:val="Normal"/>
    <w:next w:val="Normal"/>
    <w:link w:val="Heading5Char"/>
    <w:uiPriority w:val="9"/>
    <w:semiHidden/>
    <w:unhideWhenUsed/>
    <w:qFormat/>
    <w:rsid w:val="00F97C01"/>
    <w:pPr>
      <w:keepNext/>
      <w:keepLines/>
      <w:spacing w:before="80" w:after="40" w:line="278" w:lineRule="auto"/>
      <w:outlineLvl w:val="4"/>
    </w:pPr>
    <w:rPr>
      <w:rFonts w:eastAsiaTheme="majorEastAsia" w:cstheme="majorBidi"/>
      <w:color w:val="0F4761" w:themeColor="accent1" w:themeShade="BF"/>
      <w:sz w:val="24"/>
      <w:szCs w:val="24"/>
      <w:lang w:eastAsia="zh-CN"/>
    </w:rPr>
  </w:style>
  <w:style w:type="paragraph" w:styleId="Heading6">
    <w:name w:val="heading 6"/>
    <w:basedOn w:val="Normal"/>
    <w:next w:val="Normal"/>
    <w:link w:val="Heading6Char"/>
    <w:uiPriority w:val="9"/>
    <w:semiHidden/>
    <w:unhideWhenUsed/>
    <w:qFormat/>
    <w:rsid w:val="00F97C01"/>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Heading7">
    <w:name w:val="heading 7"/>
    <w:basedOn w:val="Normal"/>
    <w:next w:val="Normal"/>
    <w:link w:val="Heading7Char"/>
    <w:uiPriority w:val="9"/>
    <w:semiHidden/>
    <w:unhideWhenUsed/>
    <w:qFormat/>
    <w:rsid w:val="00F97C01"/>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Heading8">
    <w:name w:val="heading 8"/>
    <w:basedOn w:val="Normal"/>
    <w:next w:val="Normal"/>
    <w:link w:val="Heading8Char"/>
    <w:uiPriority w:val="9"/>
    <w:semiHidden/>
    <w:unhideWhenUsed/>
    <w:qFormat/>
    <w:rsid w:val="00F97C01"/>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Heading9">
    <w:name w:val="heading 9"/>
    <w:basedOn w:val="Normal"/>
    <w:next w:val="Normal"/>
    <w:link w:val="Heading9Char"/>
    <w:uiPriority w:val="9"/>
    <w:semiHidden/>
    <w:unhideWhenUsed/>
    <w:qFormat/>
    <w:rsid w:val="00F97C01"/>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C01"/>
    <w:rPr>
      <w:rFonts w:eastAsiaTheme="majorEastAsia" w:cstheme="majorBidi"/>
      <w:color w:val="272727" w:themeColor="text1" w:themeTint="D8"/>
    </w:rPr>
  </w:style>
  <w:style w:type="paragraph" w:styleId="Title">
    <w:name w:val="Title"/>
    <w:basedOn w:val="Normal"/>
    <w:next w:val="Normal"/>
    <w:link w:val="TitleChar"/>
    <w:uiPriority w:val="10"/>
    <w:qFormat/>
    <w:rsid w:val="00F97C01"/>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F97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01"/>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F97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C01"/>
    <w:pPr>
      <w:spacing w:before="160" w:line="278" w:lineRule="auto"/>
      <w:jc w:val="center"/>
    </w:pPr>
    <w:rPr>
      <w:rFonts w:eastAsiaTheme="minorEastAsia"/>
      <w:i/>
      <w:iCs/>
      <w:color w:val="404040" w:themeColor="text1" w:themeTint="BF"/>
      <w:sz w:val="24"/>
      <w:szCs w:val="24"/>
      <w:lang w:eastAsia="zh-CN"/>
    </w:rPr>
  </w:style>
  <w:style w:type="character" w:customStyle="1" w:styleId="QuoteChar">
    <w:name w:val="Quote Char"/>
    <w:basedOn w:val="DefaultParagraphFont"/>
    <w:link w:val="Quote"/>
    <w:uiPriority w:val="29"/>
    <w:rsid w:val="00F97C01"/>
    <w:rPr>
      <w:i/>
      <w:iCs/>
      <w:color w:val="404040" w:themeColor="text1" w:themeTint="BF"/>
    </w:rPr>
  </w:style>
  <w:style w:type="paragraph" w:styleId="ListParagraph">
    <w:name w:val="List Paragraph"/>
    <w:basedOn w:val="Normal"/>
    <w:uiPriority w:val="34"/>
    <w:qFormat/>
    <w:rsid w:val="00F97C01"/>
    <w:pPr>
      <w:spacing w:line="278" w:lineRule="auto"/>
      <w:ind w:left="720"/>
      <w:contextualSpacing/>
    </w:pPr>
    <w:rPr>
      <w:rFonts w:eastAsiaTheme="minorEastAsia"/>
      <w:sz w:val="24"/>
      <w:szCs w:val="24"/>
      <w:lang w:eastAsia="zh-CN"/>
    </w:rPr>
  </w:style>
  <w:style w:type="character" w:styleId="IntenseEmphasis">
    <w:name w:val="Intense Emphasis"/>
    <w:basedOn w:val="DefaultParagraphFont"/>
    <w:uiPriority w:val="21"/>
    <w:qFormat/>
    <w:rsid w:val="00F97C01"/>
    <w:rPr>
      <w:i/>
      <w:iCs/>
      <w:color w:val="0F4761" w:themeColor="accent1" w:themeShade="BF"/>
    </w:rPr>
  </w:style>
  <w:style w:type="paragraph" w:styleId="IntenseQuote">
    <w:name w:val="Intense Quote"/>
    <w:basedOn w:val="Normal"/>
    <w:next w:val="Normal"/>
    <w:link w:val="IntenseQuoteChar"/>
    <w:uiPriority w:val="30"/>
    <w:qFormat/>
    <w:rsid w:val="00F97C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sz w:val="24"/>
      <w:szCs w:val="24"/>
      <w:lang w:eastAsia="zh-CN"/>
    </w:rPr>
  </w:style>
  <w:style w:type="character" w:customStyle="1" w:styleId="IntenseQuoteChar">
    <w:name w:val="Intense Quote Char"/>
    <w:basedOn w:val="DefaultParagraphFont"/>
    <w:link w:val="IntenseQuote"/>
    <w:uiPriority w:val="30"/>
    <w:rsid w:val="00F97C01"/>
    <w:rPr>
      <w:i/>
      <w:iCs/>
      <w:color w:val="0F4761" w:themeColor="accent1" w:themeShade="BF"/>
    </w:rPr>
  </w:style>
  <w:style w:type="character" w:styleId="IntenseReference">
    <w:name w:val="Intense Reference"/>
    <w:basedOn w:val="DefaultParagraphFont"/>
    <w:uiPriority w:val="32"/>
    <w:qFormat/>
    <w:rsid w:val="00F97C01"/>
    <w:rPr>
      <w:b/>
      <w:bCs/>
      <w:smallCaps/>
      <w:color w:val="0F4761" w:themeColor="accent1" w:themeShade="BF"/>
      <w:spacing w:val="5"/>
    </w:rPr>
  </w:style>
  <w:style w:type="character" w:styleId="CommentReference">
    <w:name w:val="annotation reference"/>
    <w:basedOn w:val="DefaultParagraphFont"/>
    <w:uiPriority w:val="99"/>
    <w:semiHidden/>
    <w:unhideWhenUsed/>
    <w:rsid w:val="003714F9"/>
    <w:rPr>
      <w:sz w:val="16"/>
      <w:szCs w:val="16"/>
    </w:rPr>
  </w:style>
  <w:style w:type="table" w:styleId="TableGrid">
    <w:name w:val="Table Grid"/>
    <w:basedOn w:val="TableNormal"/>
    <w:uiPriority w:val="59"/>
    <w:rsid w:val="003714F9"/>
    <w:pPr>
      <w:spacing w:after="0" w:line="240" w:lineRule="auto"/>
    </w:pPr>
    <w:rPr>
      <w:rFonts w:eastAsiaTheme="minorHAnsi"/>
      <w:kern w:val="0"/>
      <w:sz w:val="22"/>
      <w:szCs w:val="22"/>
      <w:lang w:val="en-GB"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3714F9"/>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3714F9"/>
    <w:rPr>
      <w:color w:val="666666"/>
    </w:rPr>
  </w:style>
  <w:style w:type="paragraph" w:styleId="Revision">
    <w:name w:val="Revision"/>
    <w:hidden/>
    <w:uiPriority w:val="99"/>
    <w:semiHidden/>
    <w:rsid w:val="00354E71"/>
    <w:pPr>
      <w:spacing w:after="0" w:line="240" w:lineRule="auto"/>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939">
      <w:marLeft w:val="640"/>
      <w:marRight w:val="0"/>
      <w:marTop w:val="0"/>
      <w:marBottom w:val="0"/>
      <w:divBdr>
        <w:top w:val="none" w:sz="0" w:space="0" w:color="auto"/>
        <w:left w:val="none" w:sz="0" w:space="0" w:color="auto"/>
        <w:bottom w:val="none" w:sz="0" w:space="0" w:color="auto"/>
        <w:right w:val="none" w:sz="0" w:space="0" w:color="auto"/>
      </w:divBdr>
    </w:div>
    <w:div w:id="151217168">
      <w:marLeft w:val="640"/>
      <w:marRight w:val="0"/>
      <w:marTop w:val="0"/>
      <w:marBottom w:val="0"/>
      <w:divBdr>
        <w:top w:val="none" w:sz="0" w:space="0" w:color="auto"/>
        <w:left w:val="none" w:sz="0" w:space="0" w:color="auto"/>
        <w:bottom w:val="none" w:sz="0" w:space="0" w:color="auto"/>
        <w:right w:val="none" w:sz="0" w:space="0" w:color="auto"/>
      </w:divBdr>
    </w:div>
    <w:div w:id="253175856">
      <w:marLeft w:val="640"/>
      <w:marRight w:val="0"/>
      <w:marTop w:val="0"/>
      <w:marBottom w:val="0"/>
      <w:divBdr>
        <w:top w:val="none" w:sz="0" w:space="0" w:color="auto"/>
        <w:left w:val="none" w:sz="0" w:space="0" w:color="auto"/>
        <w:bottom w:val="none" w:sz="0" w:space="0" w:color="auto"/>
        <w:right w:val="none" w:sz="0" w:space="0" w:color="auto"/>
      </w:divBdr>
    </w:div>
    <w:div w:id="546334565">
      <w:marLeft w:val="640"/>
      <w:marRight w:val="0"/>
      <w:marTop w:val="0"/>
      <w:marBottom w:val="0"/>
      <w:divBdr>
        <w:top w:val="none" w:sz="0" w:space="0" w:color="auto"/>
        <w:left w:val="none" w:sz="0" w:space="0" w:color="auto"/>
        <w:bottom w:val="none" w:sz="0" w:space="0" w:color="auto"/>
        <w:right w:val="none" w:sz="0" w:space="0" w:color="auto"/>
      </w:divBdr>
    </w:div>
    <w:div w:id="814368965">
      <w:marLeft w:val="640"/>
      <w:marRight w:val="0"/>
      <w:marTop w:val="0"/>
      <w:marBottom w:val="0"/>
      <w:divBdr>
        <w:top w:val="none" w:sz="0" w:space="0" w:color="auto"/>
        <w:left w:val="none" w:sz="0" w:space="0" w:color="auto"/>
        <w:bottom w:val="none" w:sz="0" w:space="0" w:color="auto"/>
        <w:right w:val="none" w:sz="0" w:space="0" w:color="auto"/>
      </w:divBdr>
    </w:div>
    <w:div w:id="825778398">
      <w:marLeft w:val="640"/>
      <w:marRight w:val="0"/>
      <w:marTop w:val="0"/>
      <w:marBottom w:val="0"/>
      <w:divBdr>
        <w:top w:val="none" w:sz="0" w:space="0" w:color="auto"/>
        <w:left w:val="none" w:sz="0" w:space="0" w:color="auto"/>
        <w:bottom w:val="none" w:sz="0" w:space="0" w:color="auto"/>
        <w:right w:val="none" w:sz="0" w:space="0" w:color="auto"/>
      </w:divBdr>
    </w:div>
    <w:div w:id="1027096582">
      <w:marLeft w:val="640"/>
      <w:marRight w:val="0"/>
      <w:marTop w:val="0"/>
      <w:marBottom w:val="0"/>
      <w:divBdr>
        <w:top w:val="none" w:sz="0" w:space="0" w:color="auto"/>
        <w:left w:val="none" w:sz="0" w:space="0" w:color="auto"/>
        <w:bottom w:val="none" w:sz="0" w:space="0" w:color="auto"/>
        <w:right w:val="none" w:sz="0" w:space="0" w:color="auto"/>
      </w:divBdr>
    </w:div>
    <w:div w:id="1361206291">
      <w:marLeft w:val="640"/>
      <w:marRight w:val="0"/>
      <w:marTop w:val="0"/>
      <w:marBottom w:val="0"/>
      <w:divBdr>
        <w:top w:val="none" w:sz="0" w:space="0" w:color="auto"/>
        <w:left w:val="none" w:sz="0" w:space="0" w:color="auto"/>
        <w:bottom w:val="none" w:sz="0" w:space="0" w:color="auto"/>
        <w:right w:val="none" w:sz="0" w:space="0" w:color="auto"/>
      </w:divBdr>
    </w:div>
    <w:div w:id="1391726761">
      <w:marLeft w:val="640"/>
      <w:marRight w:val="0"/>
      <w:marTop w:val="0"/>
      <w:marBottom w:val="0"/>
      <w:divBdr>
        <w:top w:val="none" w:sz="0" w:space="0" w:color="auto"/>
        <w:left w:val="none" w:sz="0" w:space="0" w:color="auto"/>
        <w:bottom w:val="none" w:sz="0" w:space="0" w:color="auto"/>
        <w:right w:val="none" w:sz="0" w:space="0" w:color="auto"/>
      </w:divBdr>
    </w:div>
    <w:div w:id="1405567067">
      <w:marLeft w:val="640"/>
      <w:marRight w:val="0"/>
      <w:marTop w:val="0"/>
      <w:marBottom w:val="0"/>
      <w:divBdr>
        <w:top w:val="none" w:sz="0" w:space="0" w:color="auto"/>
        <w:left w:val="none" w:sz="0" w:space="0" w:color="auto"/>
        <w:bottom w:val="none" w:sz="0" w:space="0" w:color="auto"/>
        <w:right w:val="none" w:sz="0" w:space="0" w:color="auto"/>
      </w:divBdr>
    </w:div>
    <w:div w:id="1764448571">
      <w:marLeft w:val="640"/>
      <w:marRight w:val="0"/>
      <w:marTop w:val="0"/>
      <w:marBottom w:val="0"/>
      <w:divBdr>
        <w:top w:val="none" w:sz="0" w:space="0" w:color="auto"/>
        <w:left w:val="none" w:sz="0" w:space="0" w:color="auto"/>
        <w:bottom w:val="none" w:sz="0" w:space="0" w:color="auto"/>
        <w:right w:val="none" w:sz="0" w:space="0" w:color="auto"/>
      </w:divBdr>
    </w:div>
    <w:div w:id="1780837281">
      <w:marLeft w:val="640"/>
      <w:marRight w:val="0"/>
      <w:marTop w:val="0"/>
      <w:marBottom w:val="0"/>
      <w:divBdr>
        <w:top w:val="none" w:sz="0" w:space="0" w:color="auto"/>
        <w:left w:val="none" w:sz="0" w:space="0" w:color="auto"/>
        <w:bottom w:val="none" w:sz="0" w:space="0" w:color="auto"/>
        <w:right w:val="none" w:sz="0" w:space="0" w:color="auto"/>
      </w:divBdr>
    </w:div>
    <w:div w:id="2032489754">
      <w:marLeft w:val="640"/>
      <w:marRight w:val="0"/>
      <w:marTop w:val="0"/>
      <w:marBottom w:val="0"/>
      <w:divBdr>
        <w:top w:val="none" w:sz="0" w:space="0" w:color="auto"/>
        <w:left w:val="none" w:sz="0" w:space="0" w:color="auto"/>
        <w:bottom w:val="none" w:sz="0" w:space="0" w:color="auto"/>
        <w:right w:val="none" w:sz="0" w:space="0" w:color="auto"/>
      </w:divBdr>
    </w:div>
    <w:div w:id="210013336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6E3F9618B96E49956047AD503F081E"/>
        <w:category>
          <w:name w:val="General"/>
          <w:gallery w:val="placeholder"/>
        </w:category>
        <w:types>
          <w:type w:val="bbPlcHdr"/>
        </w:types>
        <w:behaviors>
          <w:behavior w:val="content"/>
        </w:behaviors>
        <w:guid w:val="{A7AACD76-D521-5343-AD90-3C1FD61E10D8}"/>
      </w:docPartPr>
      <w:docPartBody>
        <w:p w:rsidR="00F268D9" w:rsidRDefault="002A17C1" w:rsidP="002A17C1">
          <w:pPr>
            <w:pStyle w:val="9F6E3F9618B96E49956047AD503F081E"/>
          </w:pPr>
          <w:r w:rsidRPr="00191E8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977AF09-B7BF-4E4E-A94D-3052A0DB2FE9}"/>
      </w:docPartPr>
      <w:docPartBody>
        <w:p w:rsidR="00F268D9" w:rsidRDefault="002A17C1">
          <w:r w:rsidRPr="00E26B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C1"/>
    <w:rsid w:val="002A17C1"/>
    <w:rsid w:val="003A33A6"/>
    <w:rsid w:val="004A58B7"/>
    <w:rsid w:val="008B0831"/>
    <w:rsid w:val="00CA01F6"/>
    <w:rsid w:val="00D707F6"/>
    <w:rsid w:val="00F268D9"/>
    <w:rsid w:val="00F56B4E"/>
    <w:rsid w:val="00FE5A71"/>
  </w:rsids>
  <m:mathPr>
    <m:mathFont m:val="Cambria Math"/>
    <m:brkBin m:val="before"/>
    <m:brkBinSub m:val="--"/>
    <m:smallFrac m:val="0"/>
    <m:dispDef/>
    <m:lMargin m:val="0"/>
    <m:rMargin m:val="0"/>
    <m:defJc m:val="centerGroup"/>
    <m:wrapIndent m:val="1440"/>
    <m:intLim m:val="subSup"/>
    <m:naryLim m:val="undOvr"/>
  </m:mathPr>
  <w:themeFontLang w:val="en-CN"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7C1"/>
    <w:rPr>
      <w:color w:val="666666"/>
    </w:rPr>
  </w:style>
  <w:style w:type="paragraph" w:customStyle="1" w:styleId="9F6E3F9618B96E49956047AD503F081E">
    <w:name w:val="9F6E3F9618B96E49956047AD503F081E"/>
    <w:rsid w:val="002A1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ABF536-C71D-5045-B35B-EBC733A4DE5A}">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57456158-488a-4921-90a8-54e6c198f5b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&quot;,&quot;citationItems&quot;:[{&quot;id&quot;:&quot;7e48ec03-65fc-3bab-a87f-17edbc18d21d&quot;,&quot;itemData&quot;:{&quot;type&quot;:&quot;article&quot;,&quot;id&quot;:&quot;7e48ec03-65fc-3bab-a87f-17edbc18d21d&quot;,&quot;title&quot;:&quot;Bacterial profile of ocular infections: A systematic review&quot;,&quot;groupId&quot;:&quot;59109f0e-1e3e-3cd8-8d25-97189ccb0849&quot;,&quot;author&quot;:[{&quot;family&quot;:&quot;Teweldemedhin&quot;,&quot;given&quot;:&quot;Mebrahtu&quot;,&quot;parse-names&quot;:false,&quot;dropping-particle&quot;:&quot;&quot;,&quot;non-dropping-particle&quot;:&quot;&quot;},{&quot;family&quot;:&quot;Gebreyesus&quot;,&quot;given&quot;:&quot;Hailay&quot;,&quot;parse-names&quot;:false,&quot;dropping-particle&quot;:&quot;&quot;,&quot;non-dropping-particle&quot;:&quot;&quot;},{&quot;family&quot;:&quot;Atsbaha&quot;,&quot;given&quot;:&quot;Ataklti Hailu&quot;,&quot;parse-names&quot;:false,&quot;dropping-particle&quot;:&quot;&quot;,&quot;non-dropping-particle&quot;:&quot;&quot;},{&quot;family&quot;:&quot;Asgedom&quot;,&quot;given&quot;:&quot;Solomon Weldegebreal&quot;,&quot;parse-names&quot;:false,&quot;dropping-particle&quot;:&quot;&quot;,&quot;non-dropping-particle&quot;:&quot;&quot;},{&quot;family&quot;:&quot;Saravanan&quot;,&quot;given&quot;:&quot;Muthupandian&quot;,&quot;parse-names&quot;:false,&quot;dropping-particle&quot;:&quot;&quot;,&quot;non-dropping-particle&quot;:&quot;&quot;}],&quot;container-title&quot;:&quot;BMC Ophthalmology&quot;,&quot;container-title-short&quot;:&quot;BMC Ophthalmol&quot;,&quot;DOI&quot;:&quot;10.1186/s12886-017-0612-2&quot;,&quot;ISSN&quot;:&quot;14712415&quot;,&quot;PMID&quot;:&quot;29178851&quot;,&quot;issued&quot;:{&quot;date-parts&quot;:[[2017,11,25]]},&quot;abstract&quot;:&quot;Background: Bacteria are the major contributor of ocular infections worldwide. Ocular infections, if left untreated, can damage the structures of the eye with possible blindness and visual impairments. This work was aimed to review the bacterial profile of ocular infections. Methods: Literature search was made in different electronic databases; the review was systematically made to get concrete findings. Results: As far as this review, Staphylococcus aureus, Coagulase negative Staphylococci, Streptococcus pneumoniae and Pseudomonas aeruginosa are the leading isolates in ocular infections. Frequent pathogens of the respective clinical diagnose include Staphylococci, Streptococcus pyogenes and Pseudomonas aeruginosa in blepharitis; Staphylococci, Streptococus pneumoniae, Pseudomonas aeruginosa, Klebsiella pneumoniae and Escherichia coli in Conjunctivitis; Staphylococci, P. aeruginosa and E. coli in dacryocystitis; Coagulase negative Staphylococci, Pseudomonas aeruginosa and Staphylococcus aureus in keratitis; Streptococcus viridians, Streptococcus pneumoniae and Coagulase negative Staphylococci in endophthalmitis diagnoses. Endogenous endophthalmitis is associated with Klebsiella pneumoniae whereas Coagulase negative Staphylococci and Bacillus spp. are common causes of post-operative and post-traumatic endophthalmitis. However, the predominant pathogens may not be exactly same in all areas of the world, in the United States for instance, Staphylococcus aureus, Streptococcus pneumoniae and Haemophilus influenzae are the major causes of conjunctivitis. Conclusion: Gram positive bacteria are the major contributor of bacterial ocular infections. The distribution and proportion of bacterial isolates among clinical diagnoses varied but without exclusive anatomical restriction. To mitigate the burden of bacterial ocular infections, physicians should regard on risk reduction and comply with etiologic approach of diagnosis.&quot;,&quot;publisher&quot;:&quot;BioMed Central Ltd.&quot;,&quot;issue&quot;:&quot;1&quot;,&quot;volume&quot;:&quot;17&quot;},&quot;isTemporary&quot;:false},{&quot;id&quot;:&quot;51cb88f4-c495-309d-aa63-c0f0f129d04f&quot;,&quot;itemData&quot;:{&quot;type&quot;:&quot;book&quot;,&quot;id&quot;:&quot;51cb88f4-c495-309d-aa63-c0f0f129d04f&quot;,&quot;title&quot;:&quot;The eye: Basic sciences in practice&quot;,&quot;groupId&quot;:&quot;59109f0e-1e3e-3cd8-8d25-97189ccb0849&quot;,&quot;author&quot;:[{&quot;family&quot;:&quot;Forrester&quot;,&quot;given&quot;:&quot;John&quot;,&quot;parse-names&quot;:false,&quot;dropping-particle&quot;:&quot;V.&quot;,&quot;non-dropping-particle&quot;:&quot;&quot;},{&quot;family&quot;:&quot;Dick&quot;,&quot;given&quot;:&quot;Andrew D.&quot;,&quot;parse-names&quot;:false,&quot;dropping-particle&quot;:&quot;&quot;,&quot;non-dropping-particle&quot;:&quot;&quot;},{&quot;family&quot;:&quot;McMenamin&quot;,&quot;given&quot;:&quot;Paul G.&quot;,&quot;parse-names&quot;:false,&quot;dropping-particle&quot;:&quot;&quot;,&quot;non-dropping-particle&quot;:&quot;&quot;},{&quot;family&quot;:&quot;Roberts&quot;,&quot;given&quot;:&quot;Fiona&quot;,&quot;parse-names&quot;:false,&quot;dropping-particle&quot;:&quot;&quot;,&quot;non-dropping-particle&quot;:&quot;&quot;},{&quot;family&quot;:&quot;Pearlman&quot;,&quot;given&quot;:&quot;Eric&quot;,&quot;parse-names&quot;:false,&quot;dropping-particle&quot;:&quot;&quot;,&quot;non-dropping-particle&quot;:&quot;&quot;}],&quot;accessed&quot;:{&quot;date-parts&quot;:[[2025,8,17]]},&quot;DOI&quot;:&quot;10.1016/C2012-0-07682-X&quot;,&quot;ISBN&quot;:&quot;9780702055546&quot;,&quot;URL&quot;:&quot;https://research.monash.edu/en/publications/the-eye-basic-sciences-in-practice-2&quot;,&quot;issued&quot;:{&quot;date-parts&quot;:[[2016]]},&quot;publisher-place&quot;:&quot;Edinburgh UK&quot;,&quot;abstract&quot;:&quot;The Eye: Basic Sciences in Practice provides highly accessible, concise coverage of all the essential basic science required by today's ophthalmologists and optometrists in training. It is also essential reading for those embarking on a career in visual and ophthalmic science, as well as an invaluable, current refresher for the range of practitioners working in this area. This new fourth edition has now been fully revised and updated in line with current curricula, key research developments and clinical best practice. It succinctly incorporates the massive strides being made by genetics and functional genomics based on the Human Genome Project, the new understanding of how the microbiome affects all aspects of immunology, the remarkable progress in imaging technology now applied to anatomy and neurophysiology, as well as exciting new molecular and other diagnostic methodologies now being used in microbiology and pathology. All this and more collectively brings a wealth of new knowledge to students and practitioners in the fields of ophthalmology and visual science. For the first time, this (print) edition also now comes with bonus access to the complete, fully searchable electronic text - including carefully selected additional information and new video content to further explain and expand on key concepts - making The Eye a more flexible, comprehensive and engaging learning package than ever before.&quot;,&quot;edition&quot;:&quot;4&quot;,&quot;publisher&quot;:&quot;Elsevier&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17C7-8946-774C-87C8-47416B12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MOHAMED YEHIA NAGUIB AHMED OSMAN</dc:creator>
  <cp:keywords/>
  <dc:description/>
  <cp:lastModifiedBy>AHMED MOHAMED YEHIA NAGUIB AHMED OSMAN</cp:lastModifiedBy>
  <cp:revision>3</cp:revision>
  <dcterms:created xsi:type="dcterms:W3CDTF">2025-08-23T00:20:00Z</dcterms:created>
  <dcterms:modified xsi:type="dcterms:W3CDTF">2025-08-23T00:22:00Z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