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85927" w14:textId="77777777" w:rsidR="00C74E5E" w:rsidRPr="004747AB" w:rsidRDefault="00C74E5E" w:rsidP="00C74E5E">
      <w:pPr>
        <w:spacing w:line="480" w:lineRule="auto"/>
        <w:rPr>
          <w:rFonts w:ascii="Times New Roman" w:hAnsi="Times New Roman" w:cs="Times New Roman"/>
          <w:b/>
        </w:rPr>
      </w:pPr>
      <w:r w:rsidRPr="004747AB">
        <w:rPr>
          <w:rFonts w:ascii="Times New Roman" w:hAnsi="Times New Roman" w:cs="Times New Roman"/>
          <w:b/>
        </w:rPr>
        <w:t>Supplementary Figure</w:t>
      </w:r>
      <w:r>
        <w:rPr>
          <w:rFonts w:ascii="Times New Roman" w:hAnsi="Times New Roman" w:cs="Times New Roman"/>
          <w:b/>
        </w:rPr>
        <w:t>s</w:t>
      </w:r>
    </w:p>
    <w:p w14:paraId="37C10642" w14:textId="77777777" w:rsidR="00C74E5E" w:rsidRDefault="00C74E5E" w:rsidP="00C74E5E">
      <w:pPr>
        <w:spacing w:line="480" w:lineRule="auto"/>
        <w:rPr>
          <w:rFonts w:ascii="Times New Roman" w:hAnsi="Times New Roman" w:cs="Times New Roman"/>
        </w:rPr>
      </w:pPr>
      <w:r>
        <w:rPr>
          <w:rFonts w:ascii="Times New Roman" w:hAnsi="Times New Roman" w:cs="Times New Roman"/>
          <w:b/>
          <w:bCs/>
          <w:noProof/>
        </w:rPr>
        <w:drawing>
          <wp:inline distT="0" distB="0" distL="0" distR="0" wp14:anchorId="7928609C" wp14:editId="1D0F2F32">
            <wp:extent cx="5943600" cy="53022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4">
                      <a:extLst>
                        <a:ext uri="{28A0092B-C50C-407E-A947-70E740481C1C}">
                          <a14:useLocalDpi xmlns:a14="http://schemas.microsoft.com/office/drawing/2010/main" val="0"/>
                        </a:ext>
                      </a:extLst>
                    </a:blip>
                    <a:stretch>
                      <a:fillRect/>
                    </a:stretch>
                  </pic:blipFill>
                  <pic:spPr>
                    <a:xfrm>
                      <a:off x="0" y="0"/>
                      <a:ext cx="5943600" cy="5302250"/>
                    </a:xfrm>
                    <a:prstGeom prst="rect">
                      <a:avLst/>
                    </a:prstGeom>
                  </pic:spPr>
                </pic:pic>
              </a:graphicData>
            </a:graphic>
          </wp:inline>
        </w:drawing>
      </w:r>
      <w:r w:rsidRPr="00A52ACA">
        <w:rPr>
          <w:rFonts w:ascii="Times New Roman" w:hAnsi="Times New Roman" w:cs="Times New Roman"/>
          <w:b/>
          <w:bCs/>
        </w:rPr>
        <w:t xml:space="preserve">Supplementary Figure S1. Bt65 and Bt81 do not display a hypermutator phenotype on 5-FC or 5-FOA. </w:t>
      </w:r>
      <w:r>
        <w:rPr>
          <w:rFonts w:ascii="Times New Roman" w:hAnsi="Times New Roman" w:cs="Times New Roman"/>
        </w:rPr>
        <w:t xml:space="preserve">Mutation rates of closely related VNBII strains and controls on </w:t>
      </w:r>
      <w:r w:rsidRPr="00A52ACA">
        <w:rPr>
          <w:rFonts w:ascii="Times New Roman" w:hAnsi="Times New Roman" w:cs="Times New Roman"/>
          <w:b/>
          <w:bCs/>
        </w:rPr>
        <w:t>(A)</w:t>
      </w:r>
      <w:r>
        <w:rPr>
          <w:rFonts w:ascii="Times New Roman" w:hAnsi="Times New Roman" w:cs="Times New Roman"/>
        </w:rPr>
        <w:t xml:space="preserve"> YNB + 5-FC and </w:t>
      </w:r>
      <w:r w:rsidRPr="00A52ACA">
        <w:rPr>
          <w:rFonts w:ascii="Times New Roman" w:hAnsi="Times New Roman" w:cs="Times New Roman"/>
          <w:b/>
          <w:bCs/>
        </w:rPr>
        <w:t>(B)</w:t>
      </w:r>
      <w:r>
        <w:rPr>
          <w:rFonts w:ascii="Times New Roman" w:hAnsi="Times New Roman" w:cs="Times New Roman"/>
        </w:rPr>
        <w:t xml:space="preserve"> YNB + 5-FOA media. Bars represent the mutation rate and error bars represent 95% confidence intervals; mutation rates represent the number of mutations per cell per generation. Schematic depicts the phylogenetic relationships of all strains included in fluctuation analyses based on Desjardins et al. 2017</w:t>
      </w:r>
      <w:r>
        <w:rPr>
          <w:rFonts w:ascii="Times New Roman" w:hAnsi="Times New Roman" w:cs="Times New Roman"/>
        </w:rPr>
        <w:fldChar w:fldCharType="begin" w:fldLock="1"/>
      </w:r>
      <w:r>
        <w:rPr>
          <w:rFonts w:ascii="Times New Roman" w:hAnsi="Times New Roman" w:cs="Times New Roman"/>
        </w:rPr>
        <w:instrText>ADDIN CSL_CITATION {"citationItems":[{"id":"ITEM-1","itemData":{"DOI":"10.1101/gr.218727.116","ISSN":"15495469","PMID":"28611159","abstract":"Cryptococcus neoformans is an opportunistic fungal pathogen that causes approximately 625,000 deaths per year from nervous system infections. Here, we leveraged a unique, genetically diverse population of C. neoformans from sub-Saharan Africa, commonly isolated from mopane trees, to determine how selective pressures in the environment coincidentally adapted C. neoformans for human virulence. Genome sequencing and phylogenetic analysis of 387 isolates, representing the global VNI and African VNB lineages, highlighted a deep, nonrecombining split in VNB (herein, VNBI and VNBII). VNBII was enriched for clinical samples relative to VNBI, while phenotypic profiling of 183 isolates demonstrated that VNBI isolates were significantly more resistant to oxidative stress and more heavily melanized than VNBII isolates. Lack of melanization in both lineages was associated with loss-of-function mutations in the BZP4 transcription factor. A genome-wide association study across all VNB isolates revealed sequence differences between clinical and environmental isolates in virulence factors and stress response genes. Inositol transporters and catabolism genes, which process sugars present in plants and the human nervous system, were identified as targets of selection in all three lineages. Further phylogenetic and population genomic analyses revealed extensive loss of genetic diversity in VNBI, suggestive of a history of population bottlenecks, along with unique evolutionary trajectories for mating type loci. These data highlight the complex evolutionary interplay between adaptation to natural environments and opportunistic infections, and that selection on specific pathways may predispose isolates to human virulence.","author":[{"dropping-particle":"","family":"Desjardins","given":"Christopher A.","non-dropping-particle":"","parse-names":false,"suffix":""},{"dropping-particle":"","family":"Giamberardino","given":"Charles","non-dropping-particle":"","parse-names":false,"suffix":""},{"dropping-particle":"","family":"Sykes","given":"Sean M.","non-dropping-particle":"","parse-names":false,"suffix":""},{"dropping-particle":"","family":"Yu","given":"Chen Hsin","non-dropping-particle":"","parse-names":false,"suffix":""},{"dropping-particle":"","family":"Tenor","given":"Jennifer L.","non-dropping-particle":"","parse-names":false,"suffix":""},{"dropping-particle":"","family":"Chen","given":"Yuan","non-dropping-particle":"","parse-names":false,"suffix":""},{"dropping-particle":"","family":"Yang","given":"Timothy","non-dropping-particle":"","parse-names":false,"suffix":""},{"dropping-particle":"","family":"Jones","given":"Alexander M.","non-dropping-particle":"","parse-names":false,"suffix":""},{"dropping-particle":"","family":"Sun","given":"Sheng","non-dropping-particle":"","parse-names":false,"suffix":""},{"dropping-particle":"","family":"Haverkamp","given":"Miriam R.","non-dropping-particle":"","parse-names":false,"suffix":""},{"dropping-particle":"","family":"Heitman","given":"Joseph","non-dropping-particle":"","parse-names":false,"suffix":""},{"dropping-particle":"","family":"Litvintseva","given":"Anastasia P.","non-dropping-particle":"","parse-names":false,"suffix":""},{"dropping-particle":"","family":"Perfect","given":"John R.","non-dropping-particle":"","parse-names":false,"suffix":""},{"dropping-particle":"","family":"Cuomo","given":"Christina A.","non-dropping-particle":"","parse-names":false,"suffix":""}],"container-title":"Genome Research","id":"ITEM-1","issue":"7","issued":{"date-parts":[["2017"]]},"page":"1207-1219","title":"Population genomics and the evolution of virulence in the fungal pathogen Cryptococcus neoformans","type":"article-journal","volume":"27"},"uris":["http://www.mendeley.com/documents/?uuid=d009ecd6-94eb-4cb2-9fdd-7b84aa9e62c0"]}],"mendeley":{"formattedCitation":"&lt;sup&gt;18&lt;/sup&gt;","plainTextFormattedCitation":"18","previouslyFormattedCitation":"&lt;sup&gt;18&lt;/sup&gt;"},"properties":{"noteIndex":0},"schema":"https://github.com/citation-style-language/schema/raw/master/csl-citation.json"}</w:instrText>
      </w:r>
      <w:r>
        <w:rPr>
          <w:rFonts w:ascii="Times New Roman" w:hAnsi="Times New Roman" w:cs="Times New Roman"/>
        </w:rPr>
        <w:fldChar w:fldCharType="separate"/>
      </w:r>
      <w:r w:rsidRPr="00EA7249">
        <w:rPr>
          <w:rFonts w:ascii="Times New Roman" w:hAnsi="Times New Roman" w:cs="Times New Roman"/>
          <w:noProof/>
          <w:vertAlign w:val="superscript"/>
        </w:rPr>
        <w:t>18</w:t>
      </w:r>
      <w:r>
        <w:rPr>
          <w:rFonts w:ascii="Times New Roman" w:hAnsi="Times New Roman" w:cs="Times New Roman"/>
        </w:rPr>
        <w:fldChar w:fldCharType="end"/>
      </w:r>
      <w:r>
        <w:rPr>
          <w:rFonts w:ascii="Times New Roman" w:hAnsi="Times New Roman" w:cs="Times New Roman"/>
        </w:rPr>
        <w:t>.</w:t>
      </w:r>
    </w:p>
    <w:p w14:paraId="0319EAB2" w14:textId="77777777" w:rsidR="00C74E5E" w:rsidRDefault="00C74E5E" w:rsidP="00C74E5E">
      <w:pPr>
        <w:rPr>
          <w:rFonts w:ascii="Times New Roman" w:hAnsi="Times New Roman" w:cs="Times New Roman"/>
        </w:rPr>
      </w:pPr>
      <w:r>
        <w:rPr>
          <w:rFonts w:ascii="Times New Roman" w:hAnsi="Times New Roman" w:cs="Times New Roman"/>
        </w:rPr>
        <w:br w:type="page"/>
      </w:r>
    </w:p>
    <w:p w14:paraId="144D648A" w14:textId="77777777" w:rsidR="00C74E5E" w:rsidRDefault="00C74E5E" w:rsidP="00C74E5E">
      <w:pPr>
        <w:spacing w:line="480" w:lineRule="auto"/>
        <w:rPr>
          <w:rFonts w:ascii="Times New Roman" w:hAnsi="Times New Roman" w:cs="Times New Roman"/>
          <w:b/>
        </w:rPr>
      </w:pPr>
    </w:p>
    <w:p w14:paraId="7816CC9C" w14:textId="77777777" w:rsidR="00C74E5E" w:rsidRDefault="00C74E5E" w:rsidP="00C74E5E">
      <w:pPr>
        <w:spacing w:line="480" w:lineRule="auto"/>
        <w:rPr>
          <w:rFonts w:ascii="Times New Roman" w:hAnsi="Times New Roman" w:cs="Times New Roman"/>
          <w:b/>
        </w:rPr>
      </w:pPr>
    </w:p>
    <w:p w14:paraId="1DB482A5" w14:textId="77777777" w:rsidR="00C74E5E" w:rsidRDefault="00C74E5E" w:rsidP="00C74E5E">
      <w:pPr>
        <w:spacing w:line="480" w:lineRule="auto"/>
        <w:rPr>
          <w:rFonts w:ascii="Times New Roman" w:hAnsi="Times New Roman" w:cs="Times New Roman"/>
          <w:b/>
        </w:rPr>
      </w:pPr>
    </w:p>
    <w:p w14:paraId="3104C517" w14:textId="77777777" w:rsidR="00C74E5E" w:rsidRDefault="00C74E5E" w:rsidP="00C74E5E">
      <w:pPr>
        <w:spacing w:line="480" w:lineRule="auto"/>
        <w:rPr>
          <w:rFonts w:ascii="Times New Roman" w:hAnsi="Times New Roman" w:cs="Times New Roman"/>
          <w:b/>
        </w:rPr>
      </w:pPr>
    </w:p>
    <w:p w14:paraId="1F09D255"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noProof/>
        </w:rPr>
        <w:drawing>
          <wp:inline distT="0" distB="0" distL="0" distR="0" wp14:anchorId="6A9241A4" wp14:editId="07ED1E6D">
            <wp:extent cx="5943600" cy="3782060"/>
            <wp:effectExtent l="0" t="0" r="0" b="2540"/>
            <wp:docPr id="22" name="Picture 2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bar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782060"/>
                    </a:xfrm>
                    <a:prstGeom prst="rect">
                      <a:avLst/>
                    </a:prstGeom>
                  </pic:spPr>
                </pic:pic>
              </a:graphicData>
            </a:graphic>
          </wp:inline>
        </w:drawing>
      </w:r>
    </w:p>
    <w:p w14:paraId="56D6CB96" w14:textId="77777777" w:rsidR="00C74E5E" w:rsidRDefault="00C74E5E" w:rsidP="00C74E5E">
      <w:pPr>
        <w:spacing w:line="480" w:lineRule="auto"/>
        <w:rPr>
          <w:rFonts w:ascii="Times New Roman" w:hAnsi="Times New Roman" w:cs="Times New Roman"/>
        </w:rPr>
      </w:pPr>
      <w:r>
        <w:rPr>
          <w:rFonts w:ascii="Times New Roman" w:hAnsi="Times New Roman" w:cs="Times New Roman"/>
          <w:b/>
        </w:rPr>
        <w:t>Supplementary Figure S2</w:t>
      </w:r>
      <w:r w:rsidRPr="00302877">
        <w:rPr>
          <w:rFonts w:ascii="Times New Roman" w:hAnsi="Times New Roman" w:cs="Times New Roman"/>
          <w:b/>
        </w:rPr>
        <w:t>.</w:t>
      </w:r>
      <w:r>
        <w:rPr>
          <w:rFonts w:ascii="Times New Roman" w:hAnsi="Times New Roman" w:cs="Times New Roman"/>
        </w:rPr>
        <w:t xml:space="preserve"> </w:t>
      </w:r>
      <w:r w:rsidRPr="00286BE0">
        <w:rPr>
          <w:rFonts w:ascii="Times New Roman" w:hAnsi="Times New Roman" w:cs="Times New Roman"/>
          <w:b/>
        </w:rPr>
        <w:t xml:space="preserve">Growth at elevated temperature does not result in increased mutation rates in </w:t>
      </w:r>
      <w:r w:rsidRPr="00286BE0">
        <w:rPr>
          <w:rFonts w:ascii="Times New Roman" w:hAnsi="Times New Roman" w:cs="Times New Roman"/>
          <w:b/>
          <w:i/>
        </w:rPr>
        <w:t>C. neoformans</w:t>
      </w:r>
      <w:r w:rsidRPr="00286BE0">
        <w:rPr>
          <w:rFonts w:ascii="Times New Roman" w:hAnsi="Times New Roman" w:cs="Times New Roman"/>
          <w:b/>
        </w:rPr>
        <w:t xml:space="preserve"> strains.</w:t>
      </w:r>
      <w:r>
        <w:rPr>
          <w:rFonts w:ascii="Times New Roman" w:hAnsi="Times New Roman" w:cs="Times New Roman"/>
        </w:rPr>
        <w:t xml:space="preserve"> Fluctuation assays were used to quantify the mutation rates of strains grown overnight at 30°C or 37°C and plated on YPD + rapamycin + FK506 medium. Bars indicate mean mutation rate and error bars indicate 95% confidence intervals. Mutation rates represent the number of mutations per cell per generation.</w:t>
      </w:r>
    </w:p>
    <w:p w14:paraId="094D28FD" w14:textId="77777777" w:rsidR="00C74E5E" w:rsidRDefault="00C74E5E" w:rsidP="00C74E5E">
      <w:pPr>
        <w:rPr>
          <w:rFonts w:ascii="Times New Roman" w:hAnsi="Times New Roman" w:cs="Times New Roman"/>
        </w:rPr>
      </w:pPr>
      <w:r>
        <w:rPr>
          <w:rFonts w:ascii="Times New Roman" w:hAnsi="Times New Roman" w:cs="Times New Roman"/>
        </w:rPr>
        <w:br w:type="page"/>
      </w:r>
    </w:p>
    <w:p w14:paraId="702A302C" w14:textId="77777777" w:rsidR="00C74E5E" w:rsidRDefault="00C74E5E" w:rsidP="00C74E5E">
      <w:pPr>
        <w:spacing w:line="480" w:lineRule="auto"/>
        <w:jc w:val="center"/>
        <w:rPr>
          <w:rFonts w:ascii="Times New Roman" w:hAnsi="Times New Roman" w:cs="Times New Roman"/>
          <w:b/>
        </w:rPr>
      </w:pPr>
      <w:r>
        <w:rPr>
          <w:rFonts w:ascii="Times New Roman" w:hAnsi="Times New Roman" w:cs="Times New Roman"/>
          <w:b/>
          <w:noProof/>
        </w:rPr>
        <w:lastRenderedPageBreak/>
        <w:drawing>
          <wp:inline distT="0" distB="0" distL="0" distR="0" wp14:anchorId="2EB4FA04" wp14:editId="6FE82AB1">
            <wp:extent cx="4828478" cy="545370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6">
                      <a:extLst>
                        <a:ext uri="{28A0092B-C50C-407E-A947-70E740481C1C}">
                          <a14:useLocalDpi xmlns:a14="http://schemas.microsoft.com/office/drawing/2010/main" val="0"/>
                        </a:ext>
                      </a:extLst>
                    </a:blip>
                    <a:stretch>
                      <a:fillRect/>
                    </a:stretch>
                  </pic:blipFill>
                  <pic:spPr>
                    <a:xfrm>
                      <a:off x="0" y="0"/>
                      <a:ext cx="4864933" cy="5494880"/>
                    </a:xfrm>
                    <a:prstGeom prst="rect">
                      <a:avLst/>
                    </a:prstGeom>
                  </pic:spPr>
                </pic:pic>
              </a:graphicData>
            </a:graphic>
          </wp:inline>
        </w:drawing>
      </w:r>
    </w:p>
    <w:p w14:paraId="1D870604" w14:textId="77777777" w:rsidR="00C74E5E" w:rsidRDefault="00C74E5E" w:rsidP="00C74E5E">
      <w:pPr>
        <w:spacing w:line="480" w:lineRule="auto"/>
        <w:rPr>
          <w:rFonts w:ascii="Times New Roman" w:hAnsi="Times New Roman" w:cs="Times New Roman"/>
        </w:rPr>
      </w:pPr>
      <w:r>
        <w:rPr>
          <w:rFonts w:ascii="Times New Roman" w:hAnsi="Times New Roman" w:cs="Times New Roman"/>
          <w:b/>
        </w:rPr>
        <w:t xml:space="preserve">Supplementary Figure S3. </w:t>
      </w:r>
      <w:r w:rsidRPr="00C802CC">
        <w:rPr>
          <w:rFonts w:ascii="Times New Roman" w:hAnsi="Times New Roman" w:cs="Times New Roman"/>
          <w:b/>
        </w:rPr>
        <w:t xml:space="preserve">Gel electrophoresis </w:t>
      </w:r>
      <w:r w:rsidRPr="0046051E">
        <w:rPr>
          <w:rFonts w:ascii="Times New Roman" w:hAnsi="Times New Roman" w:cs="Times New Roman"/>
          <w:b/>
          <w:i/>
          <w:iCs/>
        </w:rPr>
        <w:t>FRR1</w:t>
      </w:r>
      <w:r>
        <w:rPr>
          <w:rFonts w:ascii="Times New Roman" w:hAnsi="Times New Roman" w:cs="Times New Roman"/>
          <w:b/>
        </w:rPr>
        <w:t xml:space="preserve">, </w:t>
      </w:r>
      <w:r w:rsidRPr="0046051E">
        <w:rPr>
          <w:rFonts w:ascii="Times New Roman" w:hAnsi="Times New Roman" w:cs="Times New Roman"/>
          <w:b/>
          <w:i/>
          <w:iCs/>
        </w:rPr>
        <w:t>URA5</w:t>
      </w:r>
      <w:r>
        <w:rPr>
          <w:rFonts w:ascii="Times New Roman" w:hAnsi="Times New Roman" w:cs="Times New Roman"/>
          <w:b/>
        </w:rPr>
        <w:t xml:space="preserve">, and </w:t>
      </w:r>
      <w:r w:rsidRPr="0046051E">
        <w:rPr>
          <w:rFonts w:ascii="Times New Roman" w:hAnsi="Times New Roman" w:cs="Times New Roman"/>
          <w:b/>
          <w:i/>
          <w:iCs/>
        </w:rPr>
        <w:t>FUR1</w:t>
      </w:r>
      <w:r w:rsidRPr="00C802CC">
        <w:rPr>
          <w:rFonts w:ascii="Times New Roman" w:hAnsi="Times New Roman" w:cs="Times New Roman"/>
          <w:b/>
        </w:rPr>
        <w:t xml:space="preserve"> PCR products from resistant colonies. </w:t>
      </w:r>
      <w:r>
        <w:rPr>
          <w:rFonts w:ascii="Times New Roman" w:hAnsi="Times New Roman" w:cs="Times New Roman"/>
        </w:rPr>
        <w:t xml:space="preserve">Gel electrophoresis of </w:t>
      </w:r>
      <w:r w:rsidRPr="0046051E">
        <w:rPr>
          <w:rFonts w:ascii="Times New Roman" w:hAnsi="Times New Roman" w:cs="Times New Roman"/>
          <w:i/>
          <w:iCs/>
        </w:rPr>
        <w:t>FRR1</w:t>
      </w:r>
      <w:r>
        <w:rPr>
          <w:rFonts w:ascii="Times New Roman" w:hAnsi="Times New Roman" w:cs="Times New Roman"/>
        </w:rPr>
        <w:t xml:space="preserve"> PCR products from </w:t>
      </w:r>
      <w:r w:rsidRPr="0046051E">
        <w:rPr>
          <w:rFonts w:ascii="Times New Roman" w:hAnsi="Times New Roman" w:cs="Times New Roman"/>
          <w:b/>
          <w:bCs/>
        </w:rPr>
        <w:t xml:space="preserve">(A) </w:t>
      </w:r>
      <w:r>
        <w:rPr>
          <w:rFonts w:ascii="Times New Roman" w:hAnsi="Times New Roman" w:cs="Times New Roman"/>
        </w:rPr>
        <w:t xml:space="preserve">all H99 rapamycin + FK506-resistant colonies and a subset of </w:t>
      </w:r>
      <w:r w:rsidRPr="0046051E">
        <w:rPr>
          <w:rFonts w:ascii="Times New Roman" w:hAnsi="Times New Roman" w:cs="Times New Roman"/>
          <w:b/>
          <w:bCs/>
        </w:rPr>
        <w:t>(B)</w:t>
      </w:r>
      <w:r>
        <w:rPr>
          <w:rFonts w:ascii="Times New Roman" w:hAnsi="Times New Roman" w:cs="Times New Roman"/>
        </w:rPr>
        <w:t xml:space="preserve"> Bt65 and </w:t>
      </w:r>
      <w:r w:rsidRPr="0046051E">
        <w:rPr>
          <w:rFonts w:ascii="Times New Roman" w:hAnsi="Times New Roman" w:cs="Times New Roman"/>
          <w:b/>
          <w:bCs/>
        </w:rPr>
        <w:t>(C)</w:t>
      </w:r>
      <w:r>
        <w:rPr>
          <w:rFonts w:ascii="Times New Roman" w:hAnsi="Times New Roman" w:cs="Times New Roman"/>
        </w:rPr>
        <w:t xml:space="preserve"> Bt81 rapamycin + FK506-resistant colonies sequenced in Figure 1D. PCR amplification of wild-type </w:t>
      </w:r>
      <w:r w:rsidRPr="00537468">
        <w:rPr>
          <w:rFonts w:ascii="Times New Roman" w:hAnsi="Times New Roman" w:cs="Times New Roman"/>
          <w:i/>
        </w:rPr>
        <w:t>FRR1</w:t>
      </w:r>
      <w:r>
        <w:rPr>
          <w:rFonts w:ascii="Times New Roman" w:hAnsi="Times New Roman" w:cs="Times New Roman"/>
        </w:rPr>
        <w:t xml:space="preserve"> in </w:t>
      </w:r>
      <w:r w:rsidRPr="0046051E">
        <w:rPr>
          <w:rFonts w:ascii="Times New Roman" w:hAnsi="Times New Roman" w:cs="Times New Roman"/>
          <w:i/>
          <w:iCs/>
        </w:rPr>
        <w:t>C. neoformans</w:t>
      </w:r>
      <w:r>
        <w:rPr>
          <w:rFonts w:ascii="Times New Roman" w:hAnsi="Times New Roman" w:cs="Times New Roman"/>
        </w:rPr>
        <w:t xml:space="preserve"> produces a 1,165 bp electrophoretic species (primers ZC7/8). Gel electrophoresis of a subset of </w:t>
      </w:r>
      <w:r w:rsidRPr="0046051E">
        <w:rPr>
          <w:rFonts w:ascii="Times New Roman" w:hAnsi="Times New Roman" w:cs="Times New Roman"/>
          <w:b/>
          <w:bCs/>
        </w:rPr>
        <w:t>(D)</w:t>
      </w:r>
      <w:r>
        <w:rPr>
          <w:rFonts w:ascii="Times New Roman" w:hAnsi="Times New Roman" w:cs="Times New Roman"/>
        </w:rPr>
        <w:t xml:space="preserve"> </w:t>
      </w:r>
      <w:r>
        <w:rPr>
          <w:rFonts w:ascii="Times New Roman" w:hAnsi="Times New Roman" w:cs="Times New Roman"/>
          <w:i/>
        </w:rPr>
        <w:t xml:space="preserve">URA5 </w:t>
      </w:r>
      <w:r>
        <w:rPr>
          <w:rFonts w:ascii="Times New Roman" w:hAnsi="Times New Roman" w:cs="Times New Roman"/>
        </w:rPr>
        <w:t xml:space="preserve">PCR products from H99, Bt65, and Bt81 5-FOA-resistant colonies and </w:t>
      </w:r>
      <w:r w:rsidRPr="0046051E">
        <w:rPr>
          <w:rFonts w:ascii="Times New Roman" w:hAnsi="Times New Roman" w:cs="Times New Roman"/>
          <w:b/>
          <w:bCs/>
        </w:rPr>
        <w:t>(E)</w:t>
      </w:r>
      <w:r>
        <w:rPr>
          <w:rFonts w:ascii="Times New Roman" w:hAnsi="Times New Roman" w:cs="Times New Roman"/>
        </w:rPr>
        <w:t xml:space="preserve"> </w:t>
      </w:r>
      <w:r w:rsidRPr="0046051E">
        <w:rPr>
          <w:rFonts w:ascii="Times New Roman" w:hAnsi="Times New Roman" w:cs="Times New Roman"/>
          <w:i/>
          <w:iCs/>
        </w:rPr>
        <w:t>FUR1</w:t>
      </w:r>
      <w:r>
        <w:rPr>
          <w:rFonts w:ascii="Times New Roman" w:hAnsi="Times New Roman" w:cs="Times New Roman"/>
        </w:rPr>
        <w:t xml:space="preserve"> PCR products from 5-FC-resistanct colonies of Bt65 and Bt81.</w:t>
      </w:r>
    </w:p>
    <w:p w14:paraId="5FFE8F02" w14:textId="77777777" w:rsidR="00C74E5E" w:rsidRDefault="00C74E5E" w:rsidP="00C74E5E">
      <w:pPr>
        <w:spacing w:line="480" w:lineRule="auto"/>
        <w:rPr>
          <w:rFonts w:ascii="Times New Roman" w:hAnsi="Times New Roman" w:cs="Times New Roman"/>
        </w:rPr>
      </w:pPr>
    </w:p>
    <w:p w14:paraId="43C12B79" w14:textId="77777777" w:rsidR="00C74E5E" w:rsidRDefault="00C74E5E" w:rsidP="00C74E5E">
      <w:pPr>
        <w:spacing w:line="480" w:lineRule="auto"/>
        <w:rPr>
          <w:rFonts w:ascii="Times New Roman" w:hAnsi="Times New Roman" w:cs="Times New Roman"/>
        </w:rPr>
      </w:pPr>
    </w:p>
    <w:p w14:paraId="64ADA270"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38BAADD4" wp14:editId="6CAB7CA6">
            <wp:extent cx="5943600" cy="424434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7">
                      <a:extLst>
                        <a:ext uri="{28A0092B-C50C-407E-A947-70E740481C1C}">
                          <a14:useLocalDpi xmlns:a14="http://schemas.microsoft.com/office/drawing/2010/main" val="0"/>
                        </a:ext>
                      </a:extLst>
                    </a:blip>
                    <a:stretch>
                      <a:fillRect/>
                    </a:stretch>
                  </pic:blipFill>
                  <pic:spPr>
                    <a:xfrm>
                      <a:off x="0" y="0"/>
                      <a:ext cx="5943600" cy="4244340"/>
                    </a:xfrm>
                    <a:prstGeom prst="rect">
                      <a:avLst/>
                    </a:prstGeom>
                  </pic:spPr>
                </pic:pic>
              </a:graphicData>
            </a:graphic>
          </wp:inline>
        </w:drawing>
      </w:r>
    </w:p>
    <w:p w14:paraId="743D8896" w14:textId="77777777" w:rsidR="00C74E5E" w:rsidRDefault="00C74E5E" w:rsidP="00C74E5E">
      <w:pPr>
        <w:spacing w:line="480" w:lineRule="auto"/>
        <w:rPr>
          <w:rFonts w:ascii="Times New Roman" w:hAnsi="Times New Roman" w:cs="Times New Roman"/>
        </w:rPr>
      </w:pPr>
      <w:r>
        <w:rPr>
          <w:rFonts w:ascii="Times New Roman" w:hAnsi="Times New Roman" w:cs="Times New Roman"/>
          <w:b/>
        </w:rPr>
        <w:t xml:space="preserve">Supplementary Figure S4. Protein length differences of genes within QTL. </w:t>
      </w:r>
      <w:r>
        <w:rPr>
          <w:rFonts w:ascii="Times New Roman" w:hAnsi="Times New Roman" w:cs="Times New Roman"/>
          <w:bCs/>
        </w:rPr>
        <w:t>In the upper panels, points mark the strength of association (y-axis) between bi-allelic SNP sites and hypermutation for Chromosome 3 and Chromosome 11 (top left and right, respectively)</w:t>
      </w:r>
      <w:r>
        <w:rPr>
          <w:rFonts w:ascii="Times New Roman" w:hAnsi="Times New Roman" w:cs="Times New Roman"/>
        </w:rPr>
        <w:t>.</w:t>
      </w:r>
      <w:r w:rsidRPr="004747AB">
        <w:rPr>
          <w:rFonts w:ascii="Times New Roman" w:hAnsi="Times New Roman" w:cs="Times New Roman"/>
        </w:rPr>
        <w:t xml:space="preserve"> </w:t>
      </w:r>
      <w:r>
        <w:rPr>
          <w:rFonts w:ascii="Times New Roman" w:hAnsi="Times New Roman" w:cs="Times New Roman"/>
        </w:rPr>
        <w:t>Grey dashed lines</w:t>
      </w:r>
      <w:r w:rsidRPr="004747AB">
        <w:rPr>
          <w:rFonts w:ascii="Times New Roman" w:hAnsi="Times New Roman" w:cs="Times New Roman"/>
        </w:rPr>
        <w:t xml:space="preserve"> </w:t>
      </w:r>
      <w:r>
        <w:rPr>
          <w:rFonts w:ascii="Times New Roman" w:hAnsi="Times New Roman" w:cs="Times New Roman"/>
        </w:rPr>
        <w:t>depict the</w:t>
      </w:r>
      <w:r w:rsidRPr="004747AB">
        <w:rPr>
          <w:rFonts w:ascii="Times New Roman" w:hAnsi="Times New Roman" w:cs="Times New Roman"/>
        </w:rPr>
        <w:t xml:space="preserve"> 95% </w:t>
      </w:r>
      <w:r>
        <w:rPr>
          <w:rFonts w:ascii="Times New Roman" w:hAnsi="Times New Roman" w:cs="Times New Roman"/>
        </w:rPr>
        <w:t>confidence intervals (CI)</w:t>
      </w:r>
      <w:r w:rsidRPr="004747AB">
        <w:rPr>
          <w:rFonts w:ascii="Times New Roman" w:hAnsi="Times New Roman" w:cs="Times New Roman"/>
        </w:rPr>
        <w:t xml:space="preserve"> </w:t>
      </w:r>
      <w:r>
        <w:rPr>
          <w:rFonts w:ascii="Times New Roman" w:hAnsi="Times New Roman" w:cs="Times New Roman"/>
        </w:rPr>
        <w:t>of the two</w:t>
      </w:r>
      <w:r w:rsidRPr="004747AB">
        <w:rPr>
          <w:rFonts w:ascii="Times New Roman" w:hAnsi="Times New Roman" w:cs="Times New Roman"/>
        </w:rPr>
        <w:t xml:space="preserve"> QTL. </w:t>
      </w:r>
      <w:r>
        <w:rPr>
          <w:rFonts w:ascii="Times New Roman" w:hAnsi="Times New Roman" w:cs="Times New Roman"/>
        </w:rPr>
        <w:t>Lower panels show the predicted differences in lengths of proteins (y-axis) encoded by annotated genes in Bt65 compared to H99 within each 95% CI of the QTL (x-axis) on Chromosome 3 and Chromosome 11 (bottom left and right, respectively). The name of each gene with a predicted nonsense mutation is annotated. Blue and red colors denote the gene orientation.</w:t>
      </w:r>
    </w:p>
    <w:p w14:paraId="77ADE3E4" w14:textId="77777777" w:rsidR="00C74E5E" w:rsidRDefault="00C74E5E" w:rsidP="00C74E5E">
      <w:pPr>
        <w:rPr>
          <w:rFonts w:ascii="Times New Roman" w:hAnsi="Times New Roman" w:cs="Times New Roman"/>
        </w:rPr>
      </w:pPr>
      <w:r>
        <w:rPr>
          <w:rFonts w:ascii="Times New Roman" w:hAnsi="Times New Roman" w:cs="Times New Roman"/>
        </w:rPr>
        <w:br w:type="page"/>
      </w:r>
    </w:p>
    <w:p w14:paraId="650C9657" w14:textId="77777777" w:rsidR="00C74E5E" w:rsidRDefault="00C74E5E" w:rsidP="00C74E5E">
      <w:pPr>
        <w:spacing w:line="480" w:lineRule="auto"/>
        <w:rPr>
          <w:rFonts w:ascii="Times New Roman" w:hAnsi="Times New Roman" w:cs="Times New Roman"/>
          <w:b/>
        </w:rPr>
      </w:pPr>
    </w:p>
    <w:p w14:paraId="2EF072D4" w14:textId="77777777" w:rsidR="00C74E5E" w:rsidRDefault="00C74E5E" w:rsidP="00C74E5E">
      <w:pPr>
        <w:spacing w:line="480" w:lineRule="auto"/>
        <w:rPr>
          <w:rFonts w:ascii="Times New Roman" w:hAnsi="Times New Roman" w:cs="Times New Roman"/>
          <w:b/>
        </w:rPr>
      </w:pPr>
    </w:p>
    <w:p w14:paraId="59720615" w14:textId="77777777" w:rsidR="00C74E5E" w:rsidRDefault="00C74E5E" w:rsidP="00C74E5E">
      <w:pPr>
        <w:spacing w:line="480" w:lineRule="auto"/>
        <w:rPr>
          <w:rFonts w:ascii="Times New Roman" w:hAnsi="Times New Roman" w:cs="Times New Roman"/>
          <w:b/>
        </w:rPr>
      </w:pPr>
    </w:p>
    <w:p w14:paraId="06603005"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noProof/>
        </w:rPr>
        <w:drawing>
          <wp:inline distT="0" distB="0" distL="0" distR="0" wp14:anchorId="09D9D5F5" wp14:editId="04F1CFFB">
            <wp:extent cx="5943600" cy="290004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900045"/>
                    </a:xfrm>
                    <a:prstGeom prst="rect">
                      <a:avLst/>
                    </a:prstGeom>
                  </pic:spPr>
                </pic:pic>
              </a:graphicData>
            </a:graphic>
          </wp:inline>
        </w:drawing>
      </w:r>
    </w:p>
    <w:p w14:paraId="331EE1DF" w14:textId="77777777" w:rsidR="00C74E5E" w:rsidRDefault="00C74E5E" w:rsidP="00C74E5E">
      <w:pPr>
        <w:spacing w:line="480" w:lineRule="auto"/>
        <w:rPr>
          <w:rFonts w:ascii="Times New Roman" w:hAnsi="Times New Roman" w:cs="Times New Roman"/>
        </w:rPr>
      </w:pPr>
      <w:r w:rsidRPr="004747AB">
        <w:rPr>
          <w:rFonts w:ascii="Times New Roman" w:hAnsi="Times New Roman" w:cs="Times New Roman"/>
          <w:b/>
        </w:rPr>
        <w:t>Supplementary Figure S</w:t>
      </w:r>
      <w:r>
        <w:rPr>
          <w:rFonts w:ascii="Times New Roman" w:hAnsi="Times New Roman" w:cs="Times New Roman"/>
          <w:b/>
        </w:rPr>
        <w:t>5</w:t>
      </w:r>
      <w:r w:rsidRPr="004747AB">
        <w:rPr>
          <w:rFonts w:ascii="Times New Roman" w:hAnsi="Times New Roman" w:cs="Times New Roman"/>
        </w:rPr>
        <w:t xml:space="preserve">. </w:t>
      </w:r>
      <w:r w:rsidRPr="00B00709">
        <w:rPr>
          <w:rFonts w:ascii="Times New Roman" w:hAnsi="Times New Roman" w:cs="Times New Roman"/>
          <w:b/>
        </w:rPr>
        <w:t>Haplotype maps of Bt65 x H99 F</w:t>
      </w:r>
      <w:r w:rsidRPr="00B00709">
        <w:rPr>
          <w:rFonts w:ascii="Times New Roman" w:hAnsi="Times New Roman" w:cs="Times New Roman"/>
          <w:b/>
          <w:vertAlign w:val="subscript"/>
        </w:rPr>
        <w:t>1</w:t>
      </w:r>
      <w:r w:rsidRPr="00B00709">
        <w:rPr>
          <w:rFonts w:ascii="Times New Roman" w:hAnsi="Times New Roman" w:cs="Times New Roman"/>
          <w:b/>
        </w:rPr>
        <w:t xml:space="preserve"> progeny utilized for QTL mapping.</w:t>
      </w:r>
      <w:r>
        <w:rPr>
          <w:rFonts w:ascii="Times New Roman" w:hAnsi="Times New Roman" w:cs="Times New Roman"/>
        </w:rPr>
        <w:t xml:space="preserve"> For the QTLs on Chromosome 3 and C</w:t>
      </w:r>
      <w:r w:rsidRPr="004747AB">
        <w:rPr>
          <w:rFonts w:ascii="Times New Roman" w:hAnsi="Times New Roman" w:cs="Times New Roman"/>
        </w:rPr>
        <w:t xml:space="preserve">hromosome 11 (left and right, respectively) the haplotypes (x-axis) are inferred by SNP data per segregant (y-axis) and colored blue or orange if inherited from H99 </w:t>
      </w:r>
      <w:r w:rsidRPr="004747AB">
        <w:rPr>
          <w:rFonts w:ascii="Times New Roman" w:hAnsi="Times New Roman" w:cs="Times New Roman"/>
          <w:i/>
        </w:rPr>
        <w:t>crg1</w:t>
      </w:r>
      <w:r w:rsidRPr="00540A9E">
        <w:rPr>
          <w:rFonts w:ascii="Times New Roman" w:hAnsi="Times New Roman" w:cs="Times New Roman"/>
        </w:rPr>
        <w:t>Δ</w:t>
      </w:r>
      <w:r>
        <w:rPr>
          <w:rFonts w:ascii="Times New Roman" w:hAnsi="Times New Roman" w:cs="Times New Roman"/>
        </w:rPr>
        <w:t xml:space="preserve"> or Bt</w:t>
      </w:r>
      <w:r w:rsidRPr="004747AB">
        <w:rPr>
          <w:rFonts w:ascii="Times New Roman" w:hAnsi="Times New Roman" w:cs="Times New Roman"/>
        </w:rPr>
        <w:t>65, respectively. Segregants are sorted along the y-ax</w:t>
      </w:r>
      <w:r>
        <w:rPr>
          <w:rFonts w:ascii="Times New Roman" w:hAnsi="Times New Roman" w:cs="Times New Roman"/>
        </w:rPr>
        <w:t xml:space="preserve">is by the quantification of their mutation rate; largest to smallest, top to bottom. </w:t>
      </w:r>
      <w:r w:rsidRPr="004747AB">
        <w:rPr>
          <w:rFonts w:ascii="Times New Roman" w:hAnsi="Times New Roman" w:cs="Times New Roman"/>
        </w:rPr>
        <w:t xml:space="preserve">Vertical red lines display the boundaries of the QTL(s). Vertical black lines depict the approximate location of the </w:t>
      </w:r>
      <w:r>
        <w:rPr>
          <w:rFonts w:ascii="Times New Roman" w:hAnsi="Times New Roman" w:cs="Times New Roman"/>
        </w:rPr>
        <w:t>translocation between H99 and Bt</w:t>
      </w:r>
      <w:r w:rsidRPr="004747AB">
        <w:rPr>
          <w:rFonts w:ascii="Times New Roman" w:hAnsi="Times New Roman" w:cs="Times New Roman"/>
        </w:rPr>
        <w:t xml:space="preserve">65. The boundaries of the QTG, </w:t>
      </w:r>
      <w:r w:rsidRPr="004747AB">
        <w:rPr>
          <w:rFonts w:ascii="Times New Roman" w:hAnsi="Times New Roman" w:cs="Times New Roman"/>
          <w:i/>
        </w:rPr>
        <w:t>ZNF3</w:t>
      </w:r>
      <w:r>
        <w:rPr>
          <w:rFonts w:ascii="Times New Roman" w:hAnsi="Times New Roman" w:cs="Times New Roman"/>
        </w:rPr>
        <w:t>,</w:t>
      </w:r>
      <w:r w:rsidRPr="004747AB">
        <w:rPr>
          <w:rFonts w:ascii="Times New Roman" w:hAnsi="Times New Roman" w:cs="Times New Roman"/>
        </w:rPr>
        <w:t xml:space="preserve"> are depicted by vertical green lines. Vertical white spaces indicate the approximate locations of the centromeres. </w:t>
      </w:r>
    </w:p>
    <w:p w14:paraId="42CBE860" w14:textId="77777777" w:rsidR="00C74E5E" w:rsidRDefault="00C74E5E" w:rsidP="00C74E5E">
      <w:pPr>
        <w:rPr>
          <w:rFonts w:ascii="Times New Roman" w:hAnsi="Times New Roman" w:cs="Times New Roman"/>
        </w:rPr>
      </w:pPr>
      <w:r>
        <w:rPr>
          <w:rFonts w:ascii="Times New Roman" w:hAnsi="Times New Roman" w:cs="Times New Roman"/>
        </w:rPr>
        <w:br w:type="page"/>
      </w:r>
    </w:p>
    <w:p w14:paraId="239E85D7" w14:textId="77777777" w:rsidR="00C74E5E" w:rsidRDefault="00C74E5E" w:rsidP="00C74E5E">
      <w:pPr>
        <w:spacing w:line="480" w:lineRule="auto"/>
        <w:rPr>
          <w:rFonts w:ascii="Times New Roman" w:hAnsi="Times New Roman" w:cs="Times New Roman"/>
        </w:rPr>
      </w:pPr>
    </w:p>
    <w:p w14:paraId="13815037" w14:textId="77777777" w:rsidR="00C74E5E" w:rsidRDefault="00C74E5E" w:rsidP="00C74E5E">
      <w:pPr>
        <w:spacing w:line="480" w:lineRule="auto"/>
        <w:rPr>
          <w:rFonts w:ascii="Times New Roman" w:hAnsi="Times New Roman" w:cs="Times New Roman"/>
        </w:rPr>
      </w:pPr>
    </w:p>
    <w:p w14:paraId="62EF0FEA" w14:textId="77777777" w:rsidR="00C74E5E" w:rsidRDefault="00C74E5E" w:rsidP="00C74E5E">
      <w:pPr>
        <w:spacing w:line="480" w:lineRule="auto"/>
        <w:rPr>
          <w:rFonts w:ascii="Times New Roman" w:hAnsi="Times New Roman" w:cs="Times New Roman"/>
        </w:rPr>
      </w:pPr>
    </w:p>
    <w:p w14:paraId="08427E38" w14:textId="77777777" w:rsidR="00C74E5E" w:rsidRDefault="00C74E5E" w:rsidP="00C74E5E">
      <w:pPr>
        <w:spacing w:line="480" w:lineRule="auto"/>
        <w:rPr>
          <w:rFonts w:ascii="Times New Roman" w:hAnsi="Times New Roman" w:cs="Times New Roman"/>
        </w:rPr>
      </w:pPr>
    </w:p>
    <w:p w14:paraId="79F0E7A2"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4BC47798" wp14:editId="4B2CF0E3">
            <wp:extent cx="5943600" cy="25527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9">
                      <a:extLst>
                        <a:ext uri="{28A0092B-C50C-407E-A947-70E740481C1C}">
                          <a14:useLocalDpi xmlns:a14="http://schemas.microsoft.com/office/drawing/2010/main" val="0"/>
                        </a:ext>
                      </a:extLst>
                    </a:blip>
                    <a:stretch>
                      <a:fillRect/>
                    </a:stretch>
                  </pic:blipFill>
                  <pic:spPr>
                    <a:xfrm>
                      <a:off x="0" y="0"/>
                      <a:ext cx="5943600" cy="2552700"/>
                    </a:xfrm>
                    <a:prstGeom prst="rect">
                      <a:avLst/>
                    </a:prstGeom>
                  </pic:spPr>
                </pic:pic>
              </a:graphicData>
            </a:graphic>
          </wp:inline>
        </w:drawing>
      </w:r>
    </w:p>
    <w:p w14:paraId="29F32205" w14:textId="77777777" w:rsidR="00C74E5E" w:rsidRDefault="00C74E5E" w:rsidP="00C74E5E">
      <w:pPr>
        <w:spacing w:line="480" w:lineRule="auto"/>
        <w:rPr>
          <w:rFonts w:ascii="Times New Roman" w:hAnsi="Times New Roman" w:cs="Times New Roman"/>
        </w:rPr>
      </w:pPr>
      <w:r>
        <w:rPr>
          <w:rFonts w:ascii="Times New Roman" w:hAnsi="Times New Roman" w:cs="Times New Roman"/>
          <w:b/>
        </w:rPr>
        <w:t>Supplementary Figure S6</w:t>
      </w:r>
      <w:r w:rsidRPr="00C802CC">
        <w:rPr>
          <w:rFonts w:ascii="Times New Roman" w:hAnsi="Times New Roman" w:cs="Times New Roman"/>
        </w:rPr>
        <w:t xml:space="preserve">. </w:t>
      </w:r>
      <w:r w:rsidRPr="00D16A77">
        <w:rPr>
          <w:rFonts w:ascii="Times New Roman" w:hAnsi="Times New Roman" w:cs="Times New Roman"/>
          <w:b/>
        </w:rPr>
        <w:t>Large-scale genomic rearrangements between the H99, Bt65, Bt81, Bt89, and Bt133 genomes.</w:t>
      </w:r>
      <w:r>
        <w:rPr>
          <w:rFonts w:ascii="Times New Roman" w:hAnsi="Times New Roman" w:cs="Times New Roman"/>
        </w:rPr>
        <w:t xml:space="preserve"> Nanopore whole-genome sequencing followed by synteny analysis was used to identify all indicated genomic rearrangements with respect to the reference strain H99. There is a chromosomal translocation between Chromosomes 3 and 11 that is unique to H99, and a translocation between H99 Chromosomes 1 and 13 that is unique to Bt65 and Bt81. The phylogenetic relationships of these strains are depicted in the top schematic, telomeric repeat sequences accurately identified in the genomic assemblies are indicated by black half circles, and centromeres are indicated by white circles.</w:t>
      </w:r>
    </w:p>
    <w:p w14:paraId="6F6CF082" w14:textId="77777777" w:rsidR="00C74E5E" w:rsidRDefault="00C74E5E" w:rsidP="00C74E5E">
      <w:pPr>
        <w:rPr>
          <w:rFonts w:ascii="Times New Roman" w:hAnsi="Times New Roman" w:cs="Times New Roman"/>
        </w:rPr>
      </w:pPr>
      <w:r>
        <w:rPr>
          <w:rFonts w:ascii="Times New Roman" w:hAnsi="Times New Roman" w:cs="Times New Roman"/>
        </w:rPr>
        <w:br w:type="page"/>
      </w:r>
    </w:p>
    <w:p w14:paraId="41538B23" w14:textId="77777777" w:rsidR="00C74E5E" w:rsidRDefault="00C74E5E" w:rsidP="00C74E5E">
      <w:pPr>
        <w:spacing w:line="480" w:lineRule="auto"/>
        <w:rPr>
          <w:rFonts w:ascii="Times New Roman" w:hAnsi="Times New Roman" w:cs="Times New Roman"/>
        </w:rPr>
      </w:pPr>
    </w:p>
    <w:p w14:paraId="3D0D845F" w14:textId="77777777" w:rsidR="00C74E5E" w:rsidRDefault="00C74E5E" w:rsidP="00C74E5E">
      <w:pPr>
        <w:spacing w:line="480" w:lineRule="auto"/>
        <w:rPr>
          <w:rFonts w:ascii="Times New Roman" w:hAnsi="Times New Roman" w:cs="Times New Roman"/>
        </w:rPr>
      </w:pPr>
    </w:p>
    <w:p w14:paraId="4A9C155D"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1622192C" wp14:editId="352C6542">
            <wp:extent cx="5892800" cy="3390900"/>
            <wp:effectExtent l="0" t="0" r="0" b="0"/>
            <wp:docPr id="28" name="Picture 2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92800" cy="3390900"/>
                    </a:xfrm>
                    <a:prstGeom prst="rect">
                      <a:avLst/>
                    </a:prstGeom>
                  </pic:spPr>
                </pic:pic>
              </a:graphicData>
            </a:graphic>
          </wp:inline>
        </w:drawing>
      </w:r>
    </w:p>
    <w:p w14:paraId="60EC7D5B" w14:textId="77777777" w:rsidR="00C74E5E" w:rsidRDefault="00C74E5E" w:rsidP="00C74E5E">
      <w:pPr>
        <w:spacing w:line="480" w:lineRule="auto"/>
        <w:rPr>
          <w:rFonts w:ascii="Times New Roman" w:hAnsi="Times New Roman" w:cs="Times New Roman"/>
        </w:rPr>
      </w:pPr>
      <w:r w:rsidRPr="004747AB">
        <w:rPr>
          <w:rFonts w:ascii="Times New Roman" w:hAnsi="Times New Roman" w:cs="Times New Roman"/>
          <w:b/>
        </w:rPr>
        <w:t>Supplementary Figure S</w:t>
      </w:r>
      <w:r>
        <w:rPr>
          <w:rFonts w:ascii="Times New Roman" w:hAnsi="Times New Roman" w:cs="Times New Roman"/>
          <w:b/>
        </w:rPr>
        <w:t>7</w:t>
      </w:r>
      <w:r w:rsidRPr="004747AB">
        <w:rPr>
          <w:rFonts w:ascii="Times New Roman" w:hAnsi="Times New Roman" w:cs="Times New Roman"/>
        </w:rPr>
        <w:t xml:space="preserve">. </w:t>
      </w:r>
      <w:r w:rsidRPr="00646739">
        <w:rPr>
          <w:rFonts w:ascii="Times New Roman" w:hAnsi="Times New Roman" w:cs="Times New Roman"/>
          <w:b/>
        </w:rPr>
        <w:t>CNAG_01836</w:t>
      </w:r>
      <w:r>
        <w:rPr>
          <w:rFonts w:ascii="Times New Roman" w:hAnsi="Times New Roman" w:cs="Times New Roman"/>
          <w:b/>
        </w:rPr>
        <w:t xml:space="preserve"> gene model</w:t>
      </w:r>
      <w:r w:rsidRPr="00646739">
        <w:rPr>
          <w:rFonts w:ascii="Times New Roman" w:hAnsi="Times New Roman" w:cs="Times New Roman"/>
          <w:b/>
        </w:rPr>
        <w:t xml:space="preserve">. </w:t>
      </w:r>
      <w:r w:rsidRPr="004747AB">
        <w:rPr>
          <w:rFonts w:ascii="Times New Roman" w:hAnsi="Times New Roman" w:cs="Times New Roman"/>
        </w:rPr>
        <w:t xml:space="preserve">A </w:t>
      </w:r>
      <w:r>
        <w:rPr>
          <w:rFonts w:ascii="Times New Roman" w:hAnsi="Times New Roman" w:cs="Times New Roman"/>
        </w:rPr>
        <w:t>grey</w:t>
      </w:r>
      <w:r w:rsidRPr="004747AB">
        <w:rPr>
          <w:rFonts w:ascii="Times New Roman" w:hAnsi="Times New Roman" w:cs="Times New Roman"/>
        </w:rPr>
        <w:t xml:space="preserve"> horizontal bar depicts the entire gene body </w:t>
      </w:r>
      <w:r>
        <w:rPr>
          <w:rFonts w:ascii="Times New Roman" w:hAnsi="Times New Roman" w:cs="Times New Roman"/>
        </w:rPr>
        <w:t xml:space="preserve">in the upper panel, and larger grey rectangles show locations of exons. The gene is depicted 5’ to 3’, left to right, and is 1896 </w:t>
      </w:r>
      <w:proofErr w:type="spellStart"/>
      <w:r>
        <w:rPr>
          <w:rFonts w:ascii="Times New Roman" w:hAnsi="Times New Roman" w:cs="Times New Roman"/>
        </w:rPr>
        <w:t>nt</w:t>
      </w:r>
      <w:proofErr w:type="spellEnd"/>
      <w:r>
        <w:rPr>
          <w:rFonts w:ascii="Times New Roman" w:hAnsi="Times New Roman" w:cs="Times New Roman"/>
        </w:rPr>
        <w:t xml:space="preserve"> in length</w:t>
      </w:r>
      <w:r w:rsidRPr="004747AB">
        <w:rPr>
          <w:rFonts w:ascii="Times New Roman" w:hAnsi="Times New Roman" w:cs="Times New Roman"/>
        </w:rPr>
        <w:t xml:space="preserve">. The locations of SNPs </w:t>
      </w:r>
      <w:r>
        <w:rPr>
          <w:rFonts w:ascii="Times New Roman" w:hAnsi="Times New Roman" w:cs="Times New Roman"/>
        </w:rPr>
        <w:t xml:space="preserve">differing between Bt65 and H99 </w:t>
      </w:r>
      <w:r w:rsidRPr="004747AB">
        <w:rPr>
          <w:rFonts w:ascii="Times New Roman" w:hAnsi="Times New Roman" w:cs="Times New Roman"/>
        </w:rPr>
        <w:t xml:space="preserve">are shown by vertical black rungs along the gene model. </w:t>
      </w:r>
      <w:r>
        <w:rPr>
          <w:rFonts w:ascii="Times New Roman" w:hAnsi="Times New Roman" w:cs="Times New Roman"/>
        </w:rPr>
        <w:t>Amino acids specified by mRNA codons in the indicated region of CNAG_01836 Exon 7 (nucleotide 1831 to 1848) are shown to illustrate the</w:t>
      </w:r>
      <w:r w:rsidRPr="004747AB">
        <w:rPr>
          <w:rFonts w:ascii="Times New Roman" w:hAnsi="Times New Roman" w:cs="Times New Roman"/>
        </w:rPr>
        <w:t xml:space="preserve"> </w:t>
      </w:r>
      <w:r>
        <w:rPr>
          <w:rFonts w:ascii="Times New Roman" w:hAnsi="Times New Roman" w:cs="Times New Roman"/>
        </w:rPr>
        <w:t>G to A mutation (nucleotide 1842)</w:t>
      </w:r>
      <w:r w:rsidRPr="004747AB">
        <w:rPr>
          <w:rFonts w:ascii="Times New Roman" w:hAnsi="Times New Roman" w:cs="Times New Roman"/>
        </w:rPr>
        <w:t xml:space="preserve"> predicted to ca</w:t>
      </w:r>
      <w:r>
        <w:rPr>
          <w:rFonts w:ascii="Times New Roman" w:hAnsi="Times New Roman" w:cs="Times New Roman"/>
        </w:rPr>
        <w:t>use an early nonsense mutation in Bt65</w:t>
      </w:r>
      <w:r w:rsidRPr="004747AB">
        <w:rPr>
          <w:rFonts w:ascii="Times New Roman" w:hAnsi="Times New Roman" w:cs="Times New Roman"/>
        </w:rPr>
        <w:t xml:space="preserve">. </w:t>
      </w:r>
      <w:r>
        <w:rPr>
          <w:rFonts w:ascii="Times New Roman" w:hAnsi="Times New Roman" w:cs="Times New Roman"/>
        </w:rPr>
        <w:t>The bottom panel depicts the predicted outcome of the nonsense mutation on the protein encoded by CNAG_01836 in Bt65.</w:t>
      </w:r>
    </w:p>
    <w:p w14:paraId="6B91ED77" w14:textId="77777777" w:rsidR="00C74E5E" w:rsidRDefault="00C74E5E" w:rsidP="00C74E5E">
      <w:pPr>
        <w:rPr>
          <w:rFonts w:ascii="Times New Roman" w:hAnsi="Times New Roman" w:cs="Times New Roman"/>
        </w:rPr>
      </w:pPr>
      <w:r>
        <w:rPr>
          <w:rFonts w:ascii="Times New Roman" w:hAnsi="Times New Roman" w:cs="Times New Roman"/>
        </w:rPr>
        <w:br w:type="page"/>
      </w:r>
    </w:p>
    <w:p w14:paraId="584FCD2A" w14:textId="77777777" w:rsidR="00C74E5E" w:rsidRDefault="00C74E5E" w:rsidP="00C74E5E">
      <w:pPr>
        <w:spacing w:line="480" w:lineRule="auto"/>
        <w:rPr>
          <w:rFonts w:ascii="Times New Roman" w:hAnsi="Times New Roman" w:cs="Times New Roman"/>
        </w:rPr>
      </w:pPr>
      <w:r>
        <w:rPr>
          <w:rFonts w:ascii="Times New Roman" w:hAnsi="Times New Roman" w:cs="Times New Roman"/>
        </w:rPr>
        <w:lastRenderedPageBreak/>
        <w:t xml:space="preserve"> </w:t>
      </w:r>
    </w:p>
    <w:p w14:paraId="087EA37F" w14:textId="77777777" w:rsidR="00C74E5E" w:rsidRDefault="00C74E5E" w:rsidP="00C74E5E">
      <w:pPr>
        <w:spacing w:line="480" w:lineRule="auto"/>
        <w:rPr>
          <w:rFonts w:ascii="Times New Roman" w:hAnsi="Times New Roman" w:cs="Times New Roman"/>
        </w:rPr>
      </w:pPr>
    </w:p>
    <w:p w14:paraId="7D52ED70" w14:textId="77777777" w:rsidR="00C74E5E" w:rsidRDefault="00C74E5E" w:rsidP="00C74E5E">
      <w:pPr>
        <w:spacing w:line="480" w:lineRule="auto"/>
        <w:rPr>
          <w:rFonts w:ascii="Times New Roman" w:hAnsi="Times New Roman" w:cs="Times New Roman"/>
        </w:rPr>
      </w:pPr>
    </w:p>
    <w:p w14:paraId="716BEBA1" w14:textId="77777777" w:rsidR="00C74E5E" w:rsidRDefault="00C74E5E" w:rsidP="00C74E5E">
      <w:pPr>
        <w:spacing w:line="480" w:lineRule="auto"/>
        <w:rPr>
          <w:rFonts w:ascii="Times New Roman" w:hAnsi="Times New Roman" w:cs="Times New Roman"/>
        </w:rPr>
      </w:pPr>
    </w:p>
    <w:p w14:paraId="543B68C3"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03355844" wp14:editId="3087E087">
            <wp:extent cx="5943600" cy="2825750"/>
            <wp:effectExtent l="0" t="0" r="0" b="6350"/>
            <wp:docPr id="29" name="Picture 2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825750"/>
                    </a:xfrm>
                    <a:prstGeom prst="rect">
                      <a:avLst/>
                    </a:prstGeom>
                  </pic:spPr>
                </pic:pic>
              </a:graphicData>
            </a:graphic>
          </wp:inline>
        </w:drawing>
      </w:r>
    </w:p>
    <w:p w14:paraId="062EE2A0" w14:textId="77777777" w:rsidR="00C74E5E" w:rsidRDefault="00C74E5E" w:rsidP="00C74E5E">
      <w:pPr>
        <w:spacing w:line="480" w:lineRule="auto"/>
        <w:rPr>
          <w:rFonts w:ascii="Times New Roman" w:hAnsi="Times New Roman" w:cs="Times New Roman"/>
        </w:rPr>
      </w:pPr>
      <w:r>
        <w:rPr>
          <w:rFonts w:ascii="Times New Roman" w:hAnsi="Times New Roman" w:cs="Times New Roman"/>
          <w:b/>
        </w:rPr>
        <w:t>Supplementary Figure S8</w:t>
      </w:r>
      <w:r w:rsidRPr="00C415F2">
        <w:rPr>
          <w:rFonts w:ascii="Times New Roman" w:hAnsi="Times New Roman" w:cs="Times New Roman"/>
          <w:b/>
        </w:rPr>
        <w:t>.</w:t>
      </w:r>
      <w:r>
        <w:rPr>
          <w:rFonts w:ascii="Times New Roman" w:hAnsi="Times New Roman" w:cs="Times New Roman"/>
        </w:rPr>
        <w:t xml:space="preserve"> </w:t>
      </w:r>
      <w:r w:rsidRPr="00646739">
        <w:rPr>
          <w:rFonts w:ascii="Times New Roman" w:hAnsi="Times New Roman" w:cs="Times New Roman"/>
          <w:b/>
        </w:rPr>
        <w:t>Mutation rates of Bt81 x H99 F</w:t>
      </w:r>
      <w:r w:rsidRPr="00646739">
        <w:rPr>
          <w:rFonts w:ascii="Times New Roman" w:hAnsi="Times New Roman" w:cs="Times New Roman"/>
          <w:b/>
          <w:vertAlign w:val="subscript"/>
        </w:rPr>
        <w:t>1</w:t>
      </w:r>
      <w:r w:rsidRPr="00646739">
        <w:rPr>
          <w:rFonts w:ascii="Times New Roman" w:hAnsi="Times New Roman" w:cs="Times New Roman"/>
          <w:b/>
        </w:rPr>
        <w:t xml:space="preserve"> progeny.</w:t>
      </w:r>
      <w:r>
        <w:rPr>
          <w:rFonts w:ascii="Times New Roman" w:hAnsi="Times New Roman" w:cs="Times New Roman"/>
        </w:rPr>
        <w:t xml:space="preserve"> Fluctuation analysis was used to quantify the mutation rates of the indicated strains on YPD + rapamycin + FK506 medium (y-axis) – sorted smallest t</w:t>
      </w:r>
      <w:r w:rsidRPr="004747AB">
        <w:rPr>
          <w:rFonts w:ascii="Times New Roman" w:hAnsi="Times New Roman" w:cs="Times New Roman"/>
        </w:rPr>
        <w:t>o largest, left to right – for F</w:t>
      </w:r>
      <w:r w:rsidRPr="004747AB">
        <w:rPr>
          <w:rFonts w:ascii="Times New Roman" w:hAnsi="Times New Roman" w:cs="Times New Roman"/>
          <w:vertAlign w:val="subscript"/>
        </w:rPr>
        <w:t>1</w:t>
      </w:r>
      <w:r w:rsidRPr="004747AB">
        <w:rPr>
          <w:rFonts w:ascii="Times New Roman" w:hAnsi="Times New Roman" w:cs="Times New Roman"/>
        </w:rPr>
        <w:t xml:space="preserve"> progeny and </w:t>
      </w:r>
      <w:r>
        <w:rPr>
          <w:rFonts w:ascii="Times New Roman" w:hAnsi="Times New Roman" w:cs="Times New Roman"/>
        </w:rPr>
        <w:t xml:space="preserve">the parental strains, H99α </w:t>
      </w:r>
      <w:r w:rsidRPr="00585ECD">
        <w:rPr>
          <w:rFonts w:ascii="Times New Roman" w:hAnsi="Times New Roman" w:cs="Times New Roman"/>
          <w:i/>
        </w:rPr>
        <w:t>crg1</w:t>
      </w:r>
      <w:r>
        <w:rPr>
          <w:rFonts w:ascii="Times New Roman" w:hAnsi="Times New Roman" w:cs="Times New Roman"/>
        </w:rPr>
        <w:t>Δ and Bt81</w:t>
      </w:r>
      <w:r w:rsidRPr="004747AB">
        <w:rPr>
          <w:rFonts w:ascii="Times New Roman" w:hAnsi="Times New Roman" w:cs="Times New Roman"/>
        </w:rPr>
        <w:t xml:space="preserve"> (x-axis). </w:t>
      </w:r>
      <w:r>
        <w:rPr>
          <w:rFonts w:ascii="Times New Roman" w:hAnsi="Times New Roman" w:cs="Times New Roman"/>
        </w:rPr>
        <w:t xml:space="preserve">Bars indicate the mean mutation rate and error bars represent 95% confidence intervals. Mutation rates represent the number of mutations per cell per generation. Inheritance of the Bt81 </w:t>
      </w:r>
      <w:r w:rsidRPr="00585ECD">
        <w:rPr>
          <w:rFonts w:ascii="Times New Roman" w:hAnsi="Times New Roman" w:cs="Times New Roman"/>
          <w:i/>
        </w:rPr>
        <w:t>znf3</w:t>
      </w:r>
      <w:r>
        <w:rPr>
          <w:rFonts w:ascii="Times New Roman" w:hAnsi="Times New Roman" w:cs="Times New Roman"/>
        </w:rPr>
        <w:t xml:space="preserve"> allele or H99 </w:t>
      </w:r>
      <w:r w:rsidRPr="00585ECD">
        <w:rPr>
          <w:rFonts w:ascii="Times New Roman" w:hAnsi="Times New Roman" w:cs="Times New Roman"/>
          <w:i/>
        </w:rPr>
        <w:t>crg1</w:t>
      </w:r>
      <w:r>
        <w:rPr>
          <w:rFonts w:ascii="Times New Roman" w:hAnsi="Times New Roman" w:cs="Times New Roman"/>
        </w:rPr>
        <w:t xml:space="preserve">Δ </w:t>
      </w:r>
      <w:r w:rsidRPr="00585ECD">
        <w:rPr>
          <w:rFonts w:ascii="Times New Roman" w:hAnsi="Times New Roman" w:cs="Times New Roman"/>
          <w:i/>
        </w:rPr>
        <w:t>ZNF3</w:t>
      </w:r>
      <w:r>
        <w:rPr>
          <w:rFonts w:ascii="Times New Roman" w:hAnsi="Times New Roman" w:cs="Times New Roman"/>
        </w:rPr>
        <w:t xml:space="preserve"> allele in the F</w:t>
      </w:r>
      <w:r w:rsidRPr="00585ECD">
        <w:rPr>
          <w:rFonts w:ascii="Times New Roman" w:hAnsi="Times New Roman" w:cs="Times New Roman"/>
          <w:vertAlign w:val="subscript"/>
        </w:rPr>
        <w:t>1</w:t>
      </w:r>
      <w:r>
        <w:rPr>
          <w:rFonts w:ascii="Times New Roman" w:hAnsi="Times New Roman" w:cs="Times New Roman"/>
        </w:rPr>
        <w:t xml:space="preserve"> progeny is indicated above mutation rates.</w:t>
      </w:r>
    </w:p>
    <w:p w14:paraId="4FB8C92C" w14:textId="77777777" w:rsidR="00C74E5E" w:rsidRDefault="00C74E5E" w:rsidP="00C74E5E">
      <w:pPr>
        <w:rPr>
          <w:rFonts w:ascii="Times New Roman" w:hAnsi="Times New Roman" w:cs="Times New Roman"/>
        </w:rPr>
      </w:pPr>
      <w:r>
        <w:rPr>
          <w:rFonts w:ascii="Times New Roman" w:hAnsi="Times New Roman" w:cs="Times New Roman"/>
        </w:rPr>
        <w:br w:type="page"/>
      </w:r>
    </w:p>
    <w:p w14:paraId="7F0A8DE6" w14:textId="77777777" w:rsidR="00C74E5E" w:rsidRDefault="00C74E5E" w:rsidP="00C74E5E">
      <w:pPr>
        <w:spacing w:line="480" w:lineRule="auto"/>
        <w:rPr>
          <w:rFonts w:ascii="Times New Roman" w:hAnsi="Times New Roman" w:cs="Times New Roman"/>
        </w:rPr>
      </w:pPr>
    </w:p>
    <w:p w14:paraId="52F2A67E" w14:textId="77777777" w:rsidR="00C74E5E" w:rsidRDefault="00C74E5E" w:rsidP="00C74E5E">
      <w:pPr>
        <w:spacing w:line="480" w:lineRule="auto"/>
        <w:rPr>
          <w:rFonts w:ascii="Times New Roman" w:hAnsi="Times New Roman" w:cs="Times New Roman"/>
        </w:rPr>
      </w:pPr>
    </w:p>
    <w:p w14:paraId="41EA0604" w14:textId="77777777" w:rsidR="00C74E5E" w:rsidRDefault="00C74E5E" w:rsidP="00C74E5E">
      <w:pPr>
        <w:spacing w:line="480" w:lineRule="auto"/>
        <w:rPr>
          <w:rFonts w:ascii="Times New Roman" w:hAnsi="Times New Roman" w:cs="Times New Roman"/>
        </w:rPr>
      </w:pPr>
    </w:p>
    <w:p w14:paraId="49F5A3EA"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67BD5AE2" wp14:editId="665477A7">
            <wp:extent cx="5943600" cy="387921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12">
                      <a:extLst>
                        <a:ext uri="{28A0092B-C50C-407E-A947-70E740481C1C}">
                          <a14:useLocalDpi xmlns:a14="http://schemas.microsoft.com/office/drawing/2010/main" val="0"/>
                        </a:ext>
                      </a:extLst>
                    </a:blip>
                    <a:stretch>
                      <a:fillRect/>
                    </a:stretch>
                  </pic:blipFill>
                  <pic:spPr>
                    <a:xfrm>
                      <a:off x="0" y="0"/>
                      <a:ext cx="5943600" cy="3879215"/>
                    </a:xfrm>
                    <a:prstGeom prst="rect">
                      <a:avLst/>
                    </a:prstGeom>
                  </pic:spPr>
                </pic:pic>
              </a:graphicData>
            </a:graphic>
          </wp:inline>
        </w:drawing>
      </w:r>
    </w:p>
    <w:p w14:paraId="6F9E2764" w14:textId="77777777" w:rsidR="00C74E5E" w:rsidRDefault="00C74E5E" w:rsidP="00C74E5E">
      <w:pPr>
        <w:spacing w:line="480" w:lineRule="auto"/>
        <w:rPr>
          <w:rFonts w:ascii="Times New Roman" w:hAnsi="Times New Roman" w:cs="Times New Roman"/>
        </w:rPr>
      </w:pPr>
      <w:r>
        <w:rPr>
          <w:rFonts w:ascii="Times New Roman" w:hAnsi="Times New Roman" w:cs="Times New Roman"/>
          <w:b/>
        </w:rPr>
        <w:t>Supplementary Figure S9</w:t>
      </w:r>
      <w:r w:rsidRPr="00C41488">
        <w:rPr>
          <w:rFonts w:ascii="Times New Roman" w:hAnsi="Times New Roman" w:cs="Times New Roman"/>
          <w:b/>
        </w:rPr>
        <w:t xml:space="preserve">. </w:t>
      </w:r>
      <w:proofErr w:type="spellStart"/>
      <w:r w:rsidRPr="00C802CC">
        <w:rPr>
          <w:rFonts w:ascii="Times New Roman" w:hAnsi="Times New Roman" w:cs="Times New Roman"/>
          <w:b/>
        </w:rPr>
        <w:t>Subtelomeric</w:t>
      </w:r>
      <w:proofErr w:type="spellEnd"/>
      <w:r w:rsidRPr="00C802CC">
        <w:rPr>
          <w:rFonts w:ascii="Times New Roman" w:hAnsi="Times New Roman" w:cs="Times New Roman"/>
          <w:b/>
        </w:rPr>
        <w:t xml:space="preserve"> and centromeric retrotransposons in Bt89 and Bt133.</w:t>
      </w:r>
      <w:r>
        <w:rPr>
          <w:rFonts w:ascii="Times New Roman" w:hAnsi="Times New Roman" w:cs="Times New Roman"/>
        </w:rPr>
        <w:t xml:space="preserve"> Distributions of the Tcn1-Tcn6 LTR-retrotransposons and the Cnl1 non-LTR retrotransposon in the genomes of (A) Bt89 and (B) Bt133. 50 kb of </w:t>
      </w:r>
      <w:proofErr w:type="spellStart"/>
      <w:r>
        <w:rPr>
          <w:rFonts w:ascii="Times New Roman" w:hAnsi="Times New Roman" w:cs="Times New Roman"/>
        </w:rPr>
        <w:t>subtelomeric</w:t>
      </w:r>
      <w:proofErr w:type="spellEnd"/>
      <w:r>
        <w:rPr>
          <w:rFonts w:ascii="Times New Roman" w:hAnsi="Times New Roman" w:cs="Times New Roman"/>
        </w:rPr>
        <w:t xml:space="preserve"> regions as well as centromeric regions are displayed for both strains. Shading corresponds to the lengths of the Cnl1 elements, and gene arrowheads indicate the direction of transcription for all retrotransposons. </w:t>
      </w:r>
    </w:p>
    <w:p w14:paraId="215A09F0" w14:textId="77777777" w:rsidR="00C74E5E" w:rsidRDefault="00C74E5E" w:rsidP="00C74E5E">
      <w:pPr>
        <w:rPr>
          <w:rFonts w:ascii="Times New Roman" w:hAnsi="Times New Roman" w:cs="Times New Roman"/>
        </w:rPr>
      </w:pPr>
      <w:r>
        <w:rPr>
          <w:rFonts w:ascii="Times New Roman" w:hAnsi="Times New Roman" w:cs="Times New Roman"/>
        </w:rPr>
        <w:br w:type="page"/>
      </w:r>
    </w:p>
    <w:p w14:paraId="163BF12A" w14:textId="77777777" w:rsidR="00C74E5E" w:rsidRDefault="00C74E5E" w:rsidP="00C74E5E">
      <w:pPr>
        <w:spacing w:line="480" w:lineRule="auto"/>
        <w:rPr>
          <w:rFonts w:ascii="Times New Roman" w:hAnsi="Times New Roman" w:cs="Times New Roman"/>
        </w:rPr>
      </w:pPr>
    </w:p>
    <w:p w14:paraId="149F9BD9" w14:textId="77777777" w:rsidR="00C74E5E" w:rsidRDefault="00C74E5E" w:rsidP="00C74E5E">
      <w:pPr>
        <w:spacing w:line="480" w:lineRule="auto"/>
        <w:rPr>
          <w:rFonts w:ascii="Times New Roman" w:hAnsi="Times New Roman" w:cs="Times New Roman"/>
        </w:rPr>
      </w:pPr>
    </w:p>
    <w:p w14:paraId="4A2A812A" w14:textId="77777777" w:rsidR="00C74E5E" w:rsidRDefault="00C74E5E" w:rsidP="00C74E5E">
      <w:pPr>
        <w:spacing w:line="480" w:lineRule="auto"/>
        <w:rPr>
          <w:rFonts w:ascii="Times New Roman" w:hAnsi="Times New Roman" w:cs="Times New Roman"/>
        </w:rPr>
      </w:pPr>
    </w:p>
    <w:p w14:paraId="5BA9FDF9"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517F1C8E" wp14:editId="14775A17">
            <wp:extent cx="5334000" cy="3810000"/>
            <wp:effectExtent l="0" t="0" r="0" b="0"/>
            <wp:docPr id="31" name="Picture 3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scatte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34000" cy="3810000"/>
                    </a:xfrm>
                    <a:prstGeom prst="rect">
                      <a:avLst/>
                    </a:prstGeom>
                  </pic:spPr>
                </pic:pic>
              </a:graphicData>
            </a:graphic>
          </wp:inline>
        </w:drawing>
      </w:r>
    </w:p>
    <w:p w14:paraId="238131DE" w14:textId="77777777" w:rsidR="00C74E5E" w:rsidRDefault="00C74E5E" w:rsidP="00C74E5E">
      <w:pPr>
        <w:spacing w:line="480" w:lineRule="auto"/>
        <w:rPr>
          <w:rFonts w:ascii="Times New Roman" w:hAnsi="Times New Roman" w:cs="Times New Roman"/>
        </w:rPr>
      </w:pPr>
      <w:r>
        <w:rPr>
          <w:rFonts w:ascii="Times New Roman" w:hAnsi="Times New Roman" w:cs="Times New Roman"/>
          <w:b/>
        </w:rPr>
        <w:t xml:space="preserve">Supplementary Figure S10. </w:t>
      </w:r>
      <w:r w:rsidRPr="00C802CC">
        <w:rPr>
          <w:rFonts w:ascii="Times New Roman" w:hAnsi="Times New Roman" w:cs="Times New Roman"/>
          <w:b/>
        </w:rPr>
        <w:t>Centromere lengths do not significantly differ among H99, Bt65, Bt81, Bt89, and Bt133.</w:t>
      </w:r>
      <w:r>
        <w:rPr>
          <w:rFonts w:ascii="Times New Roman" w:hAnsi="Times New Roman" w:cs="Times New Roman"/>
        </w:rPr>
        <w:t xml:space="preserve"> The length of each centromere (y-axis) is plotted for each strain (x-axis). The thin horizontal black line indicates average centromere length and the thicker black error bars indicate the standard error of the mean. No significant difference was found between the average centromere length of each strain (ANOVA, </w:t>
      </w:r>
      <w:r>
        <w:rPr>
          <w:rFonts w:ascii="Times New Roman" w:hAnsi="Times New Roman" w:cs="Times New Roman"/>
          <w:i/>
        </w:rPr>
        <w:t>p</w:t>
      </w:r>
      <w:r>
        <w:rPr>
          <w:rFonts w:ascii="Times New Roman" w:hAnsi="Times New Roman" w:cs="Times New Roman"/>
        </w:rPr>
        <w:t>-value = 0.153).</w:t>
      </w:r>
    </w:p>
    <w:p w14:paraId="2E62E785" w14:textId="77777777" w:rsidR="00C74E5E" w:rsidRDefault="00C74E5E" w:rsidP="00C74E5E">
      <w:pPr>
        <w:rPr>
          <w:rFonts w:ascii="Times New Roman" w:hAnsi="Times New Roman" w:cs="Times New Roman"/>
        </w:rPr>
      </w:pPr>
      <w:r>
        <w:rPr>
          <w:rFonts w:ascii="Times New Roman" w:hAnsi="Times New Roman" w:cs="Times New Roman"/>
        </w:rPr>
        <w:br w:type="page"/>
      </w:r>
    </w:p>
    <w:p w14:paraId="235892F0" w14:textId="77777777" w:rsidR="00C74E5E" w:rsidRDefault="00C74E5E" w:rsidP="00C74E5E">
      <w:pPr>
        <w:spacing w:line="480" w:lineRule="auto"/>
        <w:rPr>
          <w:rFonts w:ascii="Times New Roman" w:hAnsi="Times New Roman" w:cs="Times New Roman"/>
        </w:rPr>
      </w:pPr>
    </w:p>
    <w:p w14:paraId="1809CED1" w14:textId="77777777" w:rsidR="00C74E5E" w:rsidRDefault="00C74E5E" w:rsidP="00C74E5E">
      <w:pPr>
        <w:spacing w:line="480" w:lineRule="auto"/>
        <w:rPr>
          <w:rFonts w:ascii="Times New Roman" w:hAnsi="Times New Roman" w:cs="Times New Roman"/>
        </w:rPr>
      </w:pPr>
    </w:p>
    <w:p w14:paraId="4B4FE24B"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41C7EA6A" wp14:editId="2D78B7FB">
            <wp:extent cx="5943600" cy="462407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14">
                      <a:extLst>
                        <a:ext uri="{28A0092B-C50C-407E-A947-70E740481C1C}">
                          <a14:useLocalDpi xmlns:a14="http://schemas.microsoft.com/office/drawing/2010/main" val="0"/>
                        </a:ext>
                      </a:extLst>
                    </a:blip>
                    <a:stretch>
                      <a:fillRect/>
                    </a:stretch>
                  </pic:blipFill>
                  <pic:spPr>
                    <a:xfrm>
                      <a:off x="0" y="0"/>
                      <a:ext cx="5943600" cy="4624070"/>
                    </a:xfrm>
                    <a:prstGeom prst="rect">
                      <a:avLst/>
                    </a:prstGeom>
                  </pic:spPr>
                </pic:pic>
              </a:graphicData>
            </a:graphic>
          </wp:inline>
        </w:drawing>
      </w:r>
    </w:p>
    <w:p w14:paraId="52A94431" w14:textId="77777777" w:rsidR="00C74E5E" w:rsidRDefault="00C74E5E" w:rsidP="00C74E5E">
      <w:pPr>
        <w:spacing w:line="480" w:lineRule="auto"/>
        <w:rPr>
          <w:rFonts w:ascii="Times New Roman" w:hAnsi="Times New Roman" w:cs="Times New Roman"/>
        </w:rPr>
      </w:pPr>
      <w:r w:rsidRPr="009E0505">
        <w:rPr>
          <w:rFonts w:ascii="Times New Roman" w:hAnsi="Times New Roman" w:cs="Times New Roman"/>
          <w:b/>
        </w:rPr>
        <w:t>Supplementary Figure S</w:t>
      </w:r>
      <w:r>
        <w:rPr>
          <w:rFonts w:ascii="Times New Roman" w:hAnsi="Times New Roman" w:cs="Times New Roman"/>
          <w:b/>
        </w:rPr>
        <w:t>11</w:t>
      </w:r>
      <w:r>
        <w:rPr>
          <w:rFonts w:ascii="Times New Roman" w:hAnsi="Times New Roman" w:cs="Times New Roman"/>
        </w:rPr>
        <w:t xml:space="preserve">. </w:t>
      </w:r>
      <w:r w:rsidRPr="00C802CC">
        <w:rPr>
          <w:rFonts w:ascii="Times New Roman" w:hAnsi="Times New Roman" w:cs="Times New Roman"/>
          <w:b/>
        </w:rPr>
        <w:t xml:space="preserve">Centromeric rearrangements among hypermutators and two closely related strains. </w:t>
      </w:r>
      <w:r>
        <w:rPr>
          <w:rFonts w:ascii="Times New Roman" w:hAnsi="Times New Roman" w:cs="Times New Roman"/>
        </w:rPr>
        <w:t xml:space="preserve">Shared homology, genomic rearrangements, inversions, </w:t>
      </w:r>
      <w:proofErr w:type="gramStart"/>
      <w:r>
        <w:rPr>
          <w:rFonts w:ascii="Times New Roman" w:hAnsi="Times New Roman" w:cs="Times New Roman"/>
        </w:rPr>
        <w:t>insertions</w:t>
      </w:r>
      <w:proofErr w:type="gramEnd"/>
      <w:r>
        <w:rPr>
          <w:rFonts w:ascii="Times New Roman" w:hAnsi="Times New Roman" w:cs="Times New Roman"/>
        </w:rPr>
        <w:t xml:space="preserve"> and deletions among the centromeres of each of the 14 chromosomes are depicted for Bt65, Bt81, Bt89, and Bt133. The organization of LTR-retrotransposons Tcn1 through Tcn6 are also indicated for each centromere of each strain.</w:t>
      </w:r>
    </w:p>
    <w:p w14:paraId="42A9E9B0" w14:textId="77777777" w:rsidR="00C74E5E" w:rsidRDefault="00C74E5E" w:rsidP="00C74E5E">
      <w:pPr>
        <w:rPr>
          <w:rFonts w:ascii="Times New Roman" w:hAnsi="Times New Roman" w:cs="Times New Roman"/>
        </w:rPr>
      </w:pPr>
      <w:r>
        <w:rPr>
          <w:rFonts w:ascii="Times New Roman" w:hAnsi="Times New Roman" w:cs="Times New Roman"/>
        </w:rPr>
        <w:br w:type="page"/>
      </w:r>
    </w:p>
    <w:p w14:paraId="0B76CF45"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0B36D900" wp14:editId="522F8D0C">
            <wp:extent cx="5441795" cy="6401666"/>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5">
                      <a:extLst>
                        <a:ext uri="{28A0092B-C50C-407E-A947-70E740481C1C}">
                          <a14:useLocalDpi xmlns:a14="http://schemas.microsoft.com/office/drawing/2010/main" val="0"/>
                        </a:ext>
                      </a:extLst>
                    </a:blip>
                    <a:stretch>
                      <a:fillRect/>
                    </a:stretch>
                  </pic:blipFill>
                  <pic:spPr>
                    <a:xfrm>
                      <a:off x="0" y="0"/>
                      <a:ext cx="5467263" cy="6431627"/>
                    </a:xfrm>
                    <a:prstGeom prst="rect">
                      <a:avLst/>
                    </a:prstGeom>
                  </pic:spPr>
                </pic:pic>
              </a:graphicData>
            </a:graphic>
          </wp:inline>
        </w:drawing>
      </w:r>
    </w:p>
    <w:p w14:paraId="67FA44BC" w14:textId="77777777" w:rsidR="00C74E5E" w:rsidRDefault="00C74E5E" w:rsidP="00C74E5E">
      <w:pPr>
        <w:rPr>
          <w:rFonts w:ascii="Times New Roman" w:hAnsi="Times New Roman" w:cs="Times New Roman"/>
          <w:b/>
        </w:rPr>
      </w:pPr>
      <w:r w:rsidRPr="009E0505">
        <w:rPr>
          <w:rFonts w:ascii="Times New Roman" w:hAnsi="Times New Roman" w:cs="Times New Roman"/>
          <w:b/>
        </w:rPr>
        <w:t>Supplementary Figure S</w:t>
      </w:r>
      <w:r>
        <w:rPr>
          <w:rFonts w:ascii="Times New Roman" w:hAnsi="Times New Roman" w:cs="Times New Roman"/>
          <w:b/>
        </w:rPr>
        <w:t>12</w:t>
      </w:r>
      <w:r>
        <w:rPr>
          <w:rFonts w:ascii="Times New Roman" w:hAnsi="Times New Roman" w:cs="Times New Roman"/>
        </w:rPr>
        <w:t xml:space="preserve">. </w:t>
      </w:r>
      <w:r w:rsidRPr="00DF6AA1">
        <w:rPr>
          <w:rFonts w:ascii="Times New Roman" w:hAnsi="Times New Roman" w:cs="Times New Roman"/>
          <w:b/>
        </w:rPr>
        <w:t>Distribution of Cnl1 among Bt65 x H99 F</w:t>
      </w:r>
      <w:r w:rsidRPr="00103461">
        <w:rPr>
          <w:rFonts w:ascii="Times New Roman" w:hAnsi="Times New Roman" w:cs="Times New Roman"/>
          <w:b/>
          <w:vertAlign w:val="subscript"/>
        </w:rPr>
        <w:t>1</w:t>
      </w:r>
      <w:r w:rsidRPr="00DF6AA1">
        <w:rPr>
          <w:rFonts w:ascii="Times New Roman" w:hAnsi="Times New Roman" w:cs="Times New Roman"/>
          <w:b/>
        </w:rPr>
        <w:t xml:space="preserve"> progeny and parental strains. </w:t>
      </w:r>
      <w:r>
        <w:rPr>
          <w:rFonts w:ascii="Times New Roman" w:hAnsi="Times New Roman" w:cs="Times New Roman"/>
        </w:rPr>
        <w:t>The Cnl1 non-LTR elements identified in the nanopore-based whole-genome assemblies are depicted for H99, Bt65, three hypermutator F</w:t>
      </w:r>
      <w:r w:rsidRPr="00C802CC">
        <w:rPr>
          <w:rFonts w:ascii="Times New Roman" w:hAnsi="Times New Roman" w:cs="Times New Roman"/>
          <w:vertAlign w:val="subscript"/>
        </w:rPr>
        <w:t>1</w:t>
      </w:r>
      <w:r>
        <w:rPr>
          <w:rFonts w:ascii="Times New Roman" w:hAnsi="Times New Roman" w:cs="Times New Roman"/>
        </w:rPr>
        <w:t xml:space="preserve"> progeny (P02, P08, and P34, all on the left), and three non-hypermutator F</w:t>
      </w:r>
      <w:r w:rsidRPr="00C802CC">
        <w:rPr>
          <w:rFonts w:ascii="Times New Roman" w:hAnsi="Times New Roman" w:cs="Times New Roman"/>
          <w:vertAlign w:val="subscript"/>
        </w:rPr>
        <w:t>1</w:t>
      </w:r>
      <w:r>
        <w:rPr>
          <w:rFonts w:ascii="Times New Roman" w:hAnsi="Times New Roman" w:cs="Times New Roman"/>
        </w:rPr>
        <w:t xml:space="preserve"> progeny (P14, P18, and P20, all on the right). Blue and orange bars under the </w:t>
      </w:r>
      <w:proofErr w:type="spellStart"/>
      <w:r>
        <w:rPr>
          <w:rFonts w:ascii="Times New Roman" w:hAnsi="Times New Roman" w:cs="Times New Roman"/>
        </w:rPr>
        <w:t>subtelomeric</w:t>
      </w:r>
      <w:proofErr w:type="spellEnd"/>
      <w:r>
        <w:rPr>
          <w:rFonts w:ascii="Times New Roman" w:hAnsi="Times New Roman" w:cs="Times New Roman"/>
        </w:rPr>
        <w:t xml:space="preserve"> region of each chromosome indicate which parental strain the region was inherited from (orange for Bt65, blue for H99). Red asterisks indicate invasion of Cnl1 into an H99 </w:t>
      </w:r>
      <w:proofErr w:type="spellStart"/>
      <w:r>
        <w:rPr>
          <w:rFonts w:ascii="Times New Roman" w:hAnsi="Times New Roman" w:cs="Times New Roman"/>
        </w:rPr>
        <w:t>subtelomeric</w:t>
      </w:r>
      <w:proofErr w:type="spellEnd"/>
      <w:r>
        <w:rPr>
          <w:rFonts w:ascii="Times New Roman" w:hAnsi="Times New Roman" w:cs="Times New Roman"/>
        </w:rPr>
        <w:t xml:space="preserve"> region that previously had zero Cnl1 copies/fragments. Accurate assembly of telomeric repeat sequences at the end of each chromosome is indicated by a black half circle. Cnl1 length is also indicated by the shade of black for each element.</w:t>
      </w:r>
    </w:p>
    <w:p w14:paraId="072BC2C2" w14:textId="77777777" w:rsidR="00C74E5E" w:rsidRDefault="00C74E5E" w:rsidP="00C74E5E">
      <w:pPr>
        <w:spacing w:line="480" w:lineRule="auto"/>
        <w:rPr>
          <w:rFonts w:ascii="Times New Roman" w:hAnsi="Times New Roman" w:cs="Times New Roman"/>
        </w:rPr>
      </w:pPr>
    </w:p>
    <w:p w14:paraId="34DB3384" w14:textId="77777777" w:rsidR="00C74E5E" w:rsidRDefault="00C74E5E" w:rsidP="00C74E5E">
      <w:pPr>
        <w:spacing w:line="480" w:lineRule="auto"/>
        <w:rPr>
          <w:rFonts w:ascii="Times New Roman" w:hAnsi="Times New Roman" w:cs="Times New Roman"/>
        </w:rPr>
      </w:pPr>
    </w:p>
    <w:p w14:paraId="58541AC8" w14:textId="77777777" w:rsidR="00C74E5E" w:rsidRDefault="00C74E5E" w:rsidP="00C74E5E">
      <w:pPr>
        <w:spacing w:line="480" w:lineRule="auto"/>
        <w:rPr>
          <w:rFonts w:ascii="Times New Roman" w:hAnsi="Times New Roman" w:cs="Times New Roman"/>
        </w:rPr>
      </w:pPr>
    </w:p>
    <w:p w14:paraId="2D943D9A" w14:textId="77777777" w:rsidR="00C74E5E" w:rsidRDefault="00C74E5E" w:rsidP="00C74E5E">
      <w:pPr>
        <w:spacing w:line="480" w:lineRule="auto"/>
        <w:rPr>
          <w:rFonts w:ascii="Times New Roman" w:hAnsi="Times New Roman" w:cs="Times New Roman"/>
        </w:rPr>
      </w:pPr>
    </w:p>
    <w:p w14:paraId="2B0C19B5"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0542DA1B" wp14:editId="70B601FE">
            <wp:extent cx="5943600" cy="1981200"/>
            <wp:effectExtent l="0" t="0" r="0" b="0"/>
            <wp:docPr id="34" name="Picture 3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Diagram&#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1981200"/>
                    </a:xfrm>
                    <a:prstGeom prst="rect">
                      <a:avLst/>
                    </a:prstGeom>
                  </pic:spPr>
                </pic:pic>
              </a:graphicData>
            </a:graphic>
          </wp:inline>
        </w:drawing>
      </w:r>
    </w:p>
    <w:p w14:paraId="0A4309A7" w14:textId="77777777" w:rsidR="00C74E5E" w:rsidRDefault="00C74E5E" w:rsidP="00C74E5E">
      <w:pPr>
        <w:spacing w:line="480" w:lineRule="auto"/>
        <w:rPr>
          <w:rFonts w:ascii="Times New Roman" w:hAnsi="Times New Roman" w:cs="Times New Roman"/>
        </w:rPr>
      </w:pPr>
      <w:r w:rsidRPr="004747AB">
        <w:rPr>
          <w:rFonts w:ascii="Times New Roman" w:hAnsi="Times New Roman" w:cs="Times New Roman"/>
          <w:b/>
        </w:rPr>
        <w:t>Supplementary Figure S</w:t>
      </w:r>
      <w:r>
        <w:rPr>
          <w:rFonts w:ascii="Times New Roman" w:hAnsi="Times New Roman" w:cs="Times New Roman"/>
          <w:b/>
        </w:rPr>
        <w:t>13</w:t>
      </w:r>
      <w:r w:rsidRPr="004747AB">
        <w:rPr>
          <w:rFonts w:ascii="Times New Roman" w:hAnsi="Times New Roman" w:cs="Times New Roman"/>
        </w:rPr>
        <w:t xml:space="preserve">. </w:t>
      </w:r>
      <w:r w:rsidRPr="00646739">
        <w:rPr>
          <w:rFonts w:ascii="Times New Roman" w:hAnsi="Times New Roman" w:cs="Times New Roman"/>
          <w:b/>
        </w:rPr>
        <w:t>Genomic diagnostic plot of Bt65 x H99 F</w:t>
      </w:r>
      <w:r w:rsidRPr="00646739">
        <w:rPr>
          <w:rFonts w:ascii="Times New Roman" w:hAnsi="Times New Roman" w:cs="Times New Roman"/>
          <w:b/>
          <w:vertAlign w:val="subscript"/>
        </w:rPr>
        <w:t>1</w:t>
      </w:r>
      <w:r w:rsidRPr="00646739">
        <w:rPr>
          <w:rFonts w:ascii="Times New Roman" w:hAnsi="Times New Roman" w:cs="Times New Roman"/>
          <w:b/>
        </w:rPr>
        <w:t xml:space="preserve"> progeny 25.</w:t>
      </w:r>
      <w:r w:rsidRPr="004747AB">
        <w:rPr>
          <w:rFonts w:ascii="Times New Roman" w:hAnsi="Times New Roman" w:cs="Times New Roman"/>
        </w:rPr>
        <w:t xml:space="preserve"> For the 14 chromosomes (columns), the log</w:t>
      </w:r>
      <w:r w:rsidRPr="0077684A">
        <w:rPr>
          <w:rFonts w:ascii="Times New Roman" w:hAnsi="Times New Roman" w:cs="Times New Roman"/>
          <w:vertAlign w:val="subscript"/>
        </w:rPr>
        <w:t>2</w:t>
      </w:r>
      <w:r>
        <w:rPr>
          <w:rFonts w:ascii="Times New Roman" w:hAnsi="Times New Roman" w:cs="Times New Roman"/>
          <w:vertAlign w:val="subscript"/>
        </w:rPr>
        <w:t xml:space="preserve"> </w:t>
      </w:r>
      <w:r w:rsidRPr="004747AB">
        <w:rPr>
          <w:rFonts w:ascii="Times New Roman" w:hAnsi="Times New Roman" w:cs="Times New Roman"/>
        </w:rPr>
        <w:t>(read depth) (</w:t>
      </w:r>
      <w:r>
        <w:rPr>
          <w:rFonts w:ascii="Times New Roman" w:hAnsi="Times New Roman" w:cs="Times New Roman"/>
        </w:rPr>
        <w:t>top</w:t>
      </w:r>
      <w:r w:rsidRPr="004747AB">
        <w:rPr>
          <w:rFonts w:ascii="Times New Roman" w:hAnsi="Times New Roman" w:cs="Times New Roman"/>
        </w:rPr>
        <w:t xml:space="preserve"> row) and allelic read depth ratio (</w:t>
      </w:r>
      <w:r>
        <w:rPr>
          <w:rFonts w:ascii="Times New Roman" w:hAnsi="Times New Roman" w:cs="Times New Roman"/>
        </w:rPr>
        <w:t>bottom</w:t>
      </w:r>
      <w:r w:rsidRPr="004747AB">
        <w:rPr>
          <w:rFonts w:ascii="Times New Roman" w:hAnsi="Times New Roman" w:cs="Times New Roman"/>
        </w:rPr>
        <w:t xml:space="preserve"> row) per genetic variant are shown for the </w:t>
      </w:r>
      <w:r>
        <w:rPr>
          <w:rFonts w:ascii="Times New Roman" w:hAnsi="Times New Roman" w:cs="Times New Roman"/>
        </w:rPr>
        <w:t>progeny 25</w:t>
      </w:r>
      <w:r w:rsidRPr="004747AB">
        <w:rPr>
          <w:rFonts w:ascii="Times New Roman" w:hAnsi="Times New Roman" w:cs="Times New Roman"/>
        </w:rPr>
        <w:t>. Red and blue colors indicate the predic</w:t>
      </w:r>
      <w:r>
        <w:rPr>
          <w:rFonts w:ascii="Times New Roman" w:hAnsi="Times New Roman" w:cs="Times New Roman"/>
        </w:rPr>
        <w:t>tion of the allele inherited (Bt</w:t>
      </w:r>
      <w:r w:rsidRPr="004747AB">
        <w:rPr>
          <w:rFonts w:ascii="Times New Roman" w:hAnsi="Times New Roman" w:cs="Times New Roman"/>
        </w:rPr>
        <w:t xml:space="preserve">65 vs. H99, respectively) at each genetic variant. Allelic read depth ratios nearing 0.5 suggest both alleles are present for a given genetic variant. </w:t>
      </w:r>
      <w:r>
        <w:rPr>
          <w:rFonts w:ascii="Times New Roman" w:hAnsi="Times New Roman" w:cs="Times New Roman"/>
        </w:rPr>
        <w:t>Marked ranges on Chromosomes 3 and 11 log</w:t>
      </w:r>
      <w:r w:rsidRPr="0077684A">
        <w:rPr>
          <w:rFonts w:ascii="Times New Roman" w:hAnsi="Times New Roman" w:cs="Times New Roman"/>
          <w:vertAlign w:val="subscript"/>
        </w:rPr>
        <w:t>2</w:t>
      </w:r>
      <w:r>
        <w:rPr>
          <w:rFonts w:ascii="Times New Roman" w:hAnsi="Times New Roman" w:cs="Times New Roman"/>
          <w:vertAlign w:val="subscript"/>
        </w:rPr>
        <w:t xml:space="preserve"> </w:t>
      </w:r>
      <w:r>
        <w:rPr>
          <w:rFonts w:ascii="Times New Roman" w:hAnsi="Times New Roman" w:cs="Times New Roman"/>
        </w:rPr>
        <w:t xml:space="preserve">(read depth) plots indicate the significant hypermutator QTL. </w:t>
      </w:r>
      <w:r w:rsidRPr="004747AB">
        <w:rPr>
          <w:rFonts w:ascii="Times New Roman" w:hAnsi="Times New Roman" w:cs="Times New Roman"/>
        </w:rPr>
        <w:t xml:space="preserve">Black vertical lines depict the boundaries of the centromeres. The boundaries of the </w:t>
      </w:r>
      <w:r w:rsidRPr="004747AB">
        <w:rPr>
          <w:rFonts w:ascii="Times New Roman" w:hAnsi="Times New Roman" w:cs="Times New Roman"/>
          <w:i/>
        </w:rPr>
        <w:t>MAT</w:t>
      </w:r>
      <w:r>
        <w:rPr>
          <w:rFonts w:ascii="Times New Roman" w:hAnsi="Times New Roman" w:cs="Times New Roman"/>
        </w:rPr>
        <w:t xml:space="preserve"> locus on C</w:t>
      </w:r>
      <w:r w:rsidRPr="004747AB">
        <w:rPr>
          <w:rFonts w:ascii="Times New Roman" w:hAnsi="Times New Roman" w:cs="Times New Roman"/>
        </w:rPr>
        <w:t xml:space="preserve">hromosome 5 are shown by vertical green lines. </w:t>
      </w:r>
    </w:p>
    <w:p w14:paraId="48D5F76D" w14:textId="77777777" w:rsidR="00C74E5E" w:rsidRDefault="00C74E5E" w:rsidP="00C74E5E">
      <w:pPr>
        <w:rPr>
          <w:rFonts w:ascii="Times New Roman" w:hAnsi="Times New Roman" w:cs="Times New Roman"/>
        </w:rPr>
      </w:pPr>
      <w:r>
        <w:rPr>
          <w:rFonts w:ascii="Times New Roman" w:hAnsi="Times New Roman" w:cs="Times New Roman"/>
        </w:rPr>
        <w:br w:type="page"/>
      </w:r>
    </w:p>
    <w:p w14:paraId="5381ED6F" w14:textId="77777777" w:rsidR="00C74E5E" w:rsidRDefault="00C74E5E" w:rsidP="00C74E5E">
      <w:pPr>
        <w:spacing w:line="480" w:lineRule="auto"/>
        <w:rPr>
          <w:rFonts w:ascii="Times New Roman" w:hAnsi="Times New Roman" w:cs="Times New Roman"/>
        </w:rPr>
      </w:pPr>
    </w:p>
    <w:p w14:paraId="3A7E9730" w14:textId="77777777" w:rsidR="00C74E5E" w:rsidRDefault="00C74E5E" w:rsidP="00C74E5E">
      <w:pPr>
        <w:spacing w:line="480" w:lineRule="auto"/>
        <w:rPr>
          <w:rFonts w:ascii="Times New Roman" w:hAnsi="Times New Roman" w:cs="Times New Roman"/>
        </w:rPr>
      </w:pPr>
    </w:p>
    <w:p w14:paraId="257ADA71" w14:textId="77777777" w:rsidR="00C74E5E" w:rsidRDefault="00C74E5E" w:rsidP="00C74E5E">
      <w:pPr>
        <w:spacing w:line="480" w:lineRule="auto"/>
        <w:rPr>
          <w:rFonts w:ascii="Times New Roman" w:hAnsi="Times New Roman" w:cs="Times New Roman"/>
        </w:rPr>
      </w:pPr>
    </w:p>
    <w:p w14:paraId="751AD7E5" w14:textId="77777777" w:rsidR="00C74E5E" w:rsidRDefault="00C74E5E" w:rsidP="00C74E5E">
      <w:pPr>
        <w:spacing w:line="480" w:lineRule="auto"/>
        <w:rPr>
          <w:rFonts w:ascii="Times New Roman" w:hAnsi="Times New Roman" w:cs="Times New Roman"/>
        </w:rPr>
      </w:pPr>
    </w:p>
    <w:p w14:paraId="21D96AE6"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1177525B" wp14:editId="299F21E2">
            <wp:extent cx="5943600" cy="2502535"/>
            <wp:effectExtent l="0" t="0" r="0" b="0"/>
            <wp:docPr id="35" name="Picture 3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picture containing tex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502535"/>
                    </a:xfrm>
                    <a:prstGeom prst="rect">
                      <a:avLst/>
                    </a:prstGeom>
                  </pic:spPr>
                </pic:pic>
              </a:graphicData>
            </a:graphic>
          </wp:inline>
        </w:drawing>
      </w:r>
    </w:p>
    <w:p w14:paraId="2CE6B307" w14:textId="77777777" w:rsidR="00C74E5E" w:rsidRDefault="00C74E5E" w:rsidP="00C74E5E">
      <w:pPr>
        <w:spacing w:line="480" w:lineRule="auto"/>
        <w:rPr>
          <w:rFonts w:ascii="Times New Roman" w:hAnsi="Times New Roman" w:cs="Times New Roman"/>
        </w:rPr>
      </w:pPr>
      <w:r w:rsidRPr="004747AB">
        <w:rPr>
          <w:rFonts w:ascii="Times New Roman" w:hAnsi="Times New Roman" w:cs="Times New Roman"/>
          <w:b/>
        </w:rPr>
        <w:t>Supplementary Figure S</w:t>
      </w:r>
      <w:r>
        <w:rPr>
          <w:rFonts w:ascii="Times New Roman" w:hAnsi="Times New Roman" w:cs="Times New Roman"/>
          <w:b/>
        </w:rPr>
        <w:t>14</w:t>
      </w:r>
      <w:r w:rsidRPr="004747AB">
        <w:rPr>
          <w:rFonts w:ascii="Times New Roman" w:hAnsi="Times New Roman" w:cs="Times New Roman"/>
        </w:rPr>
        <w:t xml:space="preserve">. </w:t>
      </w:r>
      <w:r w:rsidRPr="00646739">
        <w:rPr>
          <w:rFonts w:ascii="Times New Roman" w:hAnsi="Times New Roman" w:cs="Times New Roman"/>
          <w:b/>
        </w:rPr>
        <w:t>Visualization of genetic variant filtering criteria.</w:t>
      </w:r>
      <w:r w:rsidRPr="004747AB">
        <w:rPr>
          <w:rFonts w:ascii="Times New Roman" w:hAnsi="Times New Roman" w:cs="Times New Roman"/>
        </w:rPr>
        <w:t xml:space="preserve"> </w:t>
      </w:r>
      <w:r>
        <w:rPr>
          <w:rFonts w:ascii="Times New Roman" w:hAnsi="Times New Roman" w:cs="Times New Roman"/>
        </w:rPr>
        <w:t>(</w:t>
      </w:r>
      <w:r w:rsidRPr="004747AB">
        <w:rPr>
          <w:rFonts w:ascii="Times New Roman" w:hAnsi="Times New Roman" w:cs="Times New Roman"/>
          <w:b/>
        </w:rPr>
        <w:t>A</w:t>
      </w:r>
      <w:r w:rsidRPr="004747AB">
        <w:rPr>
          <w:rFonts w:ascii="Times New Roman" w:hAnsi="Times New Roman" w:cs="Times New Roman"/>
        </w:rPr>
        <w:t>) For the 14 chromosomes (columns), the quality scores of the genetic variants (x-axis) vs. the minimum read depth across the 28</w:t>
      </w:r>
      <w:r>
        <w:rPr>
          <w:rFonts w:ascii="Times New Roman" w:hAnsi="Times New Roman" w:cs="Times New Roman"/>
        </w:rPr>
        <w:t xml:space="preserve"> Bt65 x H99</w:t>
      </w:r>
      <w:r w:rsidRPr="004747AB">
        <w:rPr>
          <w:rFonts w:ascii="Times New Roman" w:hAnsi="Times New Roman" w:cs="Times New Roman"/>
        </w:rPr>
        <w:t xml:space="preserve"> F</w:t>
      </w:r>
      <w:r w:rsidRPr="004747AB">
        <w:rPr>
          <w:rFonts w:ascii="Times New Roman" w:hAnsi="Times New Roman" w:cs="Times New Roman"/>
          <w:vertAlign w:val="subscript"/>
        </w:rPr>
        <w:t>1</w:t>
      </w:r>
      <w:r w:rsidRPr="004747AB">
        <w:rPr>
          <w:rFonts w:ascii="Times New Roman" w:hAnsi="Times New Roman" w:cs="Times New Roman"/>
        </w:rPr>
        <w:t xml:space="preserve"> segregants (y-axis). </w:t>
      </w:r>
      <w:r>
        <w:rPr>
          <w:rFonts w:ascii="Times New Roman" w:hAnsi="Times New Roman" w:cs="Times New Roman"/>
        </w:rPr>
        <w:t>(</w:t>
      </w:r>
      <w:r w:rsidRPr="004747AB">
        <w:rPr>
          <w:rFonts w:ascii="Times New Roman" w:hAnsi="Times New Roman" w:cs="Times New Roman"/>
          <w:b/>
        </w:rPr>
        <w:t>B</w:t>
      </w:r>
      <w:r w:rsidRPr="004747AB">
        <w:rPr>
          <w:rFonts w:ascii="Times New Roman" w:hAnsi="Times New Roman" w:cs="Times New Roman"/>
        </w:rPr>
        <w:t>) the quality scores of genetic variants (x-axis) vs. th</w:t>
      </w:r>
      <w:r>
        <w:rPr>
          <w:rFonts w:ascii="Times New Roman" w:hAnsi="Times New Roman" w:cs="Times New Roman"/>
        </w:rPr>
        <w:t>e portion of progeny with the Bt</w:t>
      </w:r>
      <w:r w:rsidRPr="004747AB">
        <w:rPr>
          <w:rFonts w:ascii="Times New Roman" w:hAnsi="Times New Roman" w:cs="Times New Roman"/>
        </w:rPr>
        <w:t xml:space="preserve">65 allele per genetic variant (y-axis) per chromosome (columns). </w:t>
      </w:r>
      <w:r>
        <w:rPr>
          <w:rFonts w:ascii="Times New Roman" w:hAnsi="Times New Roman" w:cs="Times New Roman"/>
        </w:rPr>
        <w:t>(</w:t>
      </w:r>
      <w:r w:rsidRPr="004747AB">
        <w:rPr>
          <w:rFonts w:ascii="Times New Roman" w:hAnsi="Times New Roman" w:cs="Times New Roman"/>
          <w:b/>
        </w:rPr>
        <w:t>C</w:t>
      </w:r>
      <w:r w:rsidRPr="004747AB">
        <w:rPr>
          <w:rFonts w:ascii="Times New Roman" w:hAnsi="Times New Roman" w:cs="Times New Roman"/>
        </w:rPr>
        <w:t>) Th</w:t>
      </w:r>
      <w:r>
        <w:rPr>
          <w:rFonts w:ascii="Times New Roman" w:hAnsi="Times New Roman" w:cs="Times New Roman"/>
        </w:rPr>
        <w:t>e portion of progeny with the Bt</w:t>
      </w:r>
      <w:r w:rsidRPr="004747AB">
        <w:rPr>
          <w:rFonts w:ascii="Times New Roman" w:hAnsi="Times New Roman" w:cs="Times New Roman"/>
        </w:rPr>
        <w:t xml:space="preserve">65 allele per genetic variant (y-axis) across each chromosome (x-axis). The raw genetic variants are shown in black and the filtered SNPs, used in analysis, are shown in red. </w:t>
      </w:r>
    </w:p>
    <w:p w14:paraId="296ED33C" w14:textId="77777777" w:rsidR="00C74E5E" w:rsidRDefault="00C74E5E" w:rsidP="00C74E5E">
      <w:pPr>
        <w:rPr>
          <w:rFonts w:ascii="Times New Roman" w:hAnsi="Times New Roman" w:cs="Times New Roman"/>
        </w:rPr>
      </w:pPr>
      <w:r>
        <w:rPr>
          <w:rFonts w:ascii="Times New Roman" w:hAnsi="Times New Roman" w:cs="Times New Roman"/>
        </w:rPr>
        <w:br w:type="page"/>
      </w:r>
    </w:p>
    <w:p w14:paraId="1BAA6769" w14:textId="77777777" w:rsidR="00C74E5E" w:rsidRDefault="00C74E5E" w:rsidP="00C74E5E">
      <w:pPr>
        <w:spacing w:line="480" w:lineRule="auto"/>
        <w:rPr>
          <w:rFonts w:ascii="Times New Roman" w:hAnsi="Times New Roman" w:cs="Times New Roman"/>
        </w:rPr>
      </w:pPr>
    </w:p>
    <w:p w14:paraId="734DECFA" w14:textId="77777777" w:rsidR="00C74E5E" w:rsidRDefault="00C74E5E" w:rsidP="00C74E5E">
      <w:pPr>
        <w:spacing w:line="480" w:lineRule="auto"/>
        <w:rPr>
          <w:rFonts w:ascii="Times New Roman" w:hAnsi="Times New Roman" w:cs="Times New Roman"/>
        </w:rPr>
      </w:pPr>
    </w:p>
    <w:p w14:paraId="0F8917C1"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58E3B71D" wp14:editId="32F4AF79">
            <wp:extent cx="5943600" cy="326517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18">
                      <a:extLst>
                        <a:ext uri="{28A0092B-C50C-407E-A947-70E740481C1C}">
                          <a14:useLocalDpi xmlns:a14="http://schemas.microsoft.com/office/drawing/2010/main" val="0"/>
                        </a:ext>
                      </a:extLst>
                    </a:blip>
                    <a:stretch>
                      <a:fillRect/>
                    </a:stretch>
                  </pic:blipFill>
                  <pic:spPr>
                    <a:xfrm>
                      <a:off x="0" y="0"/>
                      <a:ext cx="5943600" cy="3265170"/>
                    </a:xfrm>
                    <a:prstGeom prst="rect">
                      <a:avLst/>
                    </a:prstGeom>
                  </pic:spPr>
                </pic:pic>
              </a:graphicData>
            </a:graphic>
          </wp:inline>
        </w:drawing>
      </w:r>
    </w:p>
    <w:p w14:paraId="1960EE01" w14:textId="77777777" w:rsidR="00C74E5E" w:rsidRDefault="00C74E5E" w:rsidP="00C74E5E">
      <w:pPr>
        <w:spacing w:line="480" w:lineRule="auto"/>
        <w:rPr>
          <w:rFonts w:ascii="Times New Roman" w:hAnsi="Times New Roman" w:cs="Times New Roman"/>
        </w:rPr>
      </w:pPr>
      <w:r w:rsidRPr="00FF42C1">
        <w:rPr>
          <w:rFonts w:ascii="Times New Roman" w:hAnsi="Times New Roman" w:cs="Times New Roman"/>
          <w:b/>
          <w:bCs/>
        </w:rPr>
        <w:t>Supplementary Figure S1</w:t>
      </w:r>
      <w:r>
        <w:rPr>
          <w:rFonts w:ascii="Times New Roman" w:hAnsi="Times New Roman" w:cs="Times New Roman"/>
          <w:b/>
          <w:bCs/>
        </w:rPr>
        <w:t>5</w:t>
      </w:r>
      <w:r w:rsidRPr="00FF42C1">
        <w:rPr>
          <w:rFonts w:ascii="Times New Roman" w:hAnsi="Times New Roman" w:cs="Times New Roman"/>
          <w:b/>
          <w:bCs/>
        </w:rPr>
        <w:t>. Identification and confirmation of correct Bt65+</w:t>
      </w:r>
      <w:r w:rsidRPr="00FF42C1">
        <w:rPr>
          <w:rFonts w:ascii="Times New Roman" w:hAnsi="Times New Roman" w:cs="Times New Roman"/>
          <w:b/>
          <w:bCs/>
          <w:i/>
          <w:iCs/>
        </w:rPr>
        <w:t>ZNF3</w:t>
      </w:r>
      <w:r w:rsidRPr="00FF42C1">
        <w:rPr>
          <w:rFonts w:ascii="Times New Roman" w:hAnsi="Times New Roman" w:cs="Times New Roman"/>
          <w:b/>
          <w:bCs/>
        </w:rPr>
        <w:t xml:space="preserve"> transformants.</w:t>
      </w:r>
      <w:r>
        <w:rPr>
          <w:rFonts w:ascii="Times New Roman" w:hAnsi="Times New Roman" w:cs="Times New Roman"/>
        </w:rPr>
        <w:t xml:space="preserve"> </w:t>
      </w:r>
      <w:r w:rsidRPr="00FF42C1">
        <w:rPr>
          <w:rFonts w:ascii="Times New Roman" w:hAnsi="Times New Roman" w:cs="Times New Roman"/>
          <w:b/>
          <w:bCs/>
        </w:rPr>
        <w:t>(A)</w:t>
      </w:r>
      <w:r>
        <w:rPr>
          <w:rFonts w:ascii="Times New Roman" w:hAnsi="Times New Roman" w:cs="Times New Roman"/>
        </w:rPr>
        <w:t xml:space="preserve"> </w:t>
      </w:r>
      <w:proofErr w:type="spellStart"/>
      <w:r>
        <w:rPr>
          <w:rFonts w:ascii="Times New Roman" w:hAnsi="Times New Roman" w:cs="Times New Roman"/>
        </w:rPr>
        <w:t>BtsI</w:t>
      </w:r>
      <w:proofErr w:type="spellEnd"/>
      <w:r>
        <w:rPr>
          <w:rFonts w:ascii="Times New Roman" w:hAnsi="Times New Roman" w:cs="Times New Roman"/>
        </w:rPr>
        <w:t xml:space="preserve"> restriction enzyme digestion of </w:t>
      </w:r>
      <w:r w:rsidRPr="00FF42C1">
        <w:rPr>
          <w:rFonts w:ascii="Times New Roman" w:hAnsi="Times New Roman" w:cs="Times New Roman"/>
          <w:i/>
          <w:iCs/>
        </w:rPr>
        <w:t>ZNF3</w:t>
      </w:r>
      <w:r>
        <w:rPr>
          <w:rFonts w:ascii="Times New Roman" w:hAnsi="Times New Roman" w:cs="Times New Roman"/>
        </w:rPr>
        <w:t xml:space="preserve"> PCR products from nourseothricin-resistant transformants and controls (primers SJP186/187). </w:t>
      </w:r>
      <w:r w:rsidRPr="00FF42C1">
        <w:rPr>
          <w:rFonts w:ascii="Times New Roman" w:hAnsi="Times New Roman" w:cs="Times New Roman"/>
          <w:b/>
          <w:bCs/>
        </w:rPr>
        <w:t>(B)</w:t>
      </w:r>
      <w:r>
        <w:rPr>
          <w:rFonts w:ascii="Times New Roman" w:hAnsi="Times New Roman" w:cs="Times New Roman"/>
        </w:rPr>
        <w:t xml:space="preserve"> PCR amplification of the ZNF3 allele using primers outside of the Bt133 </w:t>
      </w:r>
      <w:r w:rsidRPr="00FF42C1">
        <w:rPr>
          <w:rFonts w:ascii="Times New Roman" w:hAnsi="Times New Roman" w:cs="Times New Roman"/>
          <w:i/>
          <w:iCs/>
        </w:rPr>
        <w:t>ZNF3</w:t>
      </w:r>
      <w:r>
        <w:rPr>
          <w:rFonts w:ascii="Times New Roman" w:hAnsi="Times New Roman" w:cs="Times New Roman"/>
        </w:rPr>
        <w:t xml:space="preserve"> allele used for homologous recombination (primers SJP208/209). PCR amplification to ensure correct integration of the </w:t>
      </w:r>
      <w:r w:rsidRPr="00FF42C1">
        <w:rPr>
          <w:rFonts w:ascii="Times New Roman" w:hAnsi="Times New Roman" w:cs="Times New Roman"/>
          <w:b/>
          <w:bCs/>
        </w:rPr>
        <w:t>(C)</w:t>
      </w:r>
      <w:r>
        <w:rPr>
          <w:rFonts w:ascii="Times New Roman" w:hAnsi="Times New Roman" w:cs="Times New Roman"/>
        </w:rPr>
        <w:t xml:space="preserve"> 5’ and </w:t>
      </w:r>
      <w:r w:rsidRPr="00FF42C1">
        <w:rPr>
          <w:rFonts w:ascii="Times New Roman" w:hAnsi="Times New Roman" w:cs="Times New Roman"/>
          <w:b/>
          <w:bCs/>
        </w:rPr>
        <w:t xml:space="preserve">(D) </w:t>
      </w:r>
      <w:r>
        <w:rPr>
          <w:rFonts w:ascii="Times New Roman" w:hAnsi="Times New Roman" w:cs="Times New Roman"/>
        </w:rPr>
        <w:t xml:space="preserve">3’ ends of the Bt133 </w:t>
      </w:r>
      <w:r w:rsidRPr="00FF42C1">
        <w:rPr>
          <w:rFonts w:ascii="Times New Roman" w:hAnsi="Times New Roman" w:cs="Times New Roman"/>
          <w:i/>
          <w:iCs/>
        </w:rPr>
        <w:t>ZNF3</w:t>
      </w:r>
      <w:r>
        <w:rPr>
          <w:rFonts w:ascii="Times New Roman" w:hAnsi="Times New Roman" w:cs="Times New Roman"/>
        </w:rPr>
        <w:t xml:space="preserve"> allele at the endogenous </w:t>
      </w:r>
      <w:r w:rsidRPr="00FF42C1">
        <w:rPr>
          <w:rFonts w:ascii="Times New Roman" w:hAnsi="Times New Roman" w:cs="Times New Roman"/>
          <w:i/>
          <w:iCs/>
        </w:rPr>
        <w:t>ZNF3</w:t>
      </w:r>
      <w:r>
        <w:rPr>
          <w:rFonts w:ascii="Times New Roman" w:hAnsi="Times New Roman" w:cs="Times New Roman"/>
        </w:rPr>
        <w:t xml:space="preserve"> locus (primers SJP208/187, and SJP186/209, respectively). PCR to ensure neither </w:t>
      </w:r>
      <w:r w:rsidRPr="00FF42C1">
        <w:rPr>
          <w:rFonts w:ascii="Times New Roman" w:hAnsi="Times New Roman" w:cs="Times New Roman"/>
          <w:b/>
          <w:bCs/>
        </w:rPr>
        <w:t>(E)</w:t>
      </w:r>
      <w:r>
        <w:rPr>
          <w:rFonts w:ascii="Times New Roman" w:hAnsi="Times New Roman" w:cs="Times New Roman"/>
        </w:rPr>
        <w:t xml:space="preserve"> </w:t>
      </w:r>
      <w:r w:rsidRPr="00FF42C1">
        <w:rPr>
          <w:rFonts w:ascii="Times New Roman" w:hAnsi="Times New Roman" w:cs="Times New Roman"/>
          <w:i/>
          <w:iCs/>
        </w:rPr>
        <w:t>CAS9</w:t>
      </w:r>
      <w:r>
        <w:rPr>
          <w:rFonts w:ascii="Times New Roman" w:hAnsi="Times New Roman" w:cs="Times New Roman"/>
        </w:rPr>
        <w:t xml:space="preserve"> nor </w:t>
      </w:r>
      <w:r w:rsidRPr="00FF42C1">
        <w:rPr>
          <w:rFonts w:ascii="Times New Roman" w:hAnsi="Times New Roman" w:cs="Times New Roman"/>
          <w:b/>
          <w:bCs/>
        </w:rPr>
        <w:t>(F)</w:t>
      </w:r>
      <w:r>
        <w:rPr>
          <w:rFonts w:ascii="Times New Roman" w:hAnsi="Times New Roman" w:cs="Times New Roman"/>
        </w:rPr>
        <w:t xml:space="preserve"> the gRNA constructs were integrated into the transformants (primers JOHE41657/45812 and JOHE50451/50452, respectively).</w:t>
      </w:r>
    </w:p>
    <w:p w14:paraId="36975A41" w14:textId="77777777" w:rsidR="00C74E5E" w:rsidRDefault="00C74E5E" w:rsidP="00C74E5E">
      <w:pPr>
        <w:rPr>
          <w:rFonts w:ascii="Times New Roman" w:hAnsi="Times New Roman" w:cs="Times New Roman"/>
        </w:rPr>
      </w:pPr>
      <w:r>
        <w:rPr>
          <w:rFonts w:ascii="Times New Roman" w:hAnsi="Times New Roman" w:cs="Times New Roman"/>
        </w:rPr>
        <w:br w:type="page"/>
      </w:r>
    </w:p>
    <w:p w14:paraId="676E4ACD" w14:textId="77777777" w:rsidR="00C74E5E" w:rsidRDefault="00C74E5E" w:rsidP="00C74E5E">
      <w:pPr>
        <w:spacing w:line="480" w:lineRule="auto"/>
        <w:rPr>
          <w:rFonts w:ascii="Times New Roman" w:hAnsi="Times New Roman" w:cs="Times New Roman"/>
        </w:rPr>
      </w:pPr>
    </w:p>
    <w:p w14:paraId="0D38767D" w14:textId="77777777" w:rsidR="00C74E5E" w:rsidRDefault="00C74E5E" w:rsidP="00C74E5E">
      <w:pPr>
        <w:spacing w:line="480" w:lineRule="auto"/>
        <w:rPr>
          <w:rFonts w:ascii="Times New Roman" w:hAnsi="Times New Roman" w:cs="Times New Roman"/>
        </w:rPr>
      </w:pPr>
    </w:p>
    <w:p w14:paraId="4A264EFC" w14:textId="77777777" w:rsidR="00C74E5E" w:rsidRDefault="00C74E5E" w:rsidP="00C74E5E">
      <w:pPr>
        <w:spacing w:line="480" w:lineRule="auto"/>
        <w:rPr>
          <w:rFonts w:ascii="Times New Roman" w:hAnsi="Times New Roman" w:cs="Times New Roman"/>
        </w:rPr>
      </w:pPr>
    </w:p>
    <w:p w14:paraId="3AB0EE84" w14:textId="77777777" w:rsidR="00C74E5E" w:rsidRDefault="00C74E5E" w:rsidP="00C74E5E">
      <w:pPr>
        <w:spacing w:line="480" w:lineRule="auto"/>
        <w:rPr>
          <w:rFonts w:ascii="Times New Roman" w:hAnsi="Times New Roman" w:cs="Times New Roman"/>
        </w:rPr>
      </w:pPr>
    </w:p>
    <w:p w14:paraId="30BB170B" w14:textId="77777777" w:rsidR="00C74E5E" w:rsidRDefault="00C74E5E" w:rsidP="00C74E5E">
      <w:pPr>
        <w:spacing w:line="480" w:lineRule="auto"/>
        <w:rPr>
          <w:rFonts w:ascii="Times New Roman" w:hAnsi="Times New Roman" w:cs="Times New Roman"/>
        </w:rPr>
      </w:pPr>
      <w:r>
        <w:rPr>
          <w:rFonts w:ascii="Times New Roman" w:hAnsi="Times New Roman" w:cs="Times New Roman"/>
          <w:noProof/>
        </w:rPr>
        <w:drawing>
          <wp:inline distT="0" distB="0" distL="0" distR="0" wp14:anchorId="6FFC89EC" wp14:editId="46442230">
            <wp:extent cx="5697577" cy="2430966"/>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19">
                      <a:extLst>
                        <a:ext uri="{28A0092B-C50C-407E-A947-70E740481C1C}">
                          <a14:useLocalDpi xmlns:a14="http://schemas.microsoft.com/office/drawing/2010/main" val="0"/>
                        </a:ext>
                      </a:extLst>
                    </a:blip>
                    <a:stretch>
                      <a:fillRect/>
                    </a:stretch>
                  </pic:blipFill>
                  <pic:spPr>
                    <a:xfrm>
                      <a:off x="0" y="0"/>
                      <a:ext cx="5710021" cy="2436275"/>
                    </a:xfrm>
                    <a:prstGeom prst="rect">
                      <a:avLst/>
                    </a:prstGeom>
                  </pic:spPr>
                </pic:pic>
              </a:graphicData>
            </a:graphic>
          </wp:inline>
        </w:drawing>
      </w:r>
    </w:p>
    <w:p w14:paraId="146FD9B7" w14:textId="77777777" w:rsidR="00C74E5E" w:rsidRPr="004747AB" w:rsidRDefault="00C74E5E" w:rsidP="00C74E5E">
      <w:pPr>
        <w:spacing w:line="480" w:lineRule="auto"/>
        <w:rPr>
          <w:rFonts w:ascii="Times New Roman" w:hAnsi="Times New Roman" w:cs="Times New Roman"/>
        </w:rPr>
      </w:pPr>
      <w:r>
        <w:rPr>
          <w:rFonts w:ascii="Times New Roman" w:hAnsi="Times New Roman" w:cs="Times New Roman"/>
          <w:b/>
        </w:rPr>
        <w:t xml:space="preserve">Supplementary </w:t>
      </w:r>
      <w:r w:rsidRPr="006C5B56">
        <w:rPr>
          <w:rFonts w:ascii="Times New Roman" w:hAnsi="Times New Roman" w:cs="Times New Roman"/>
          <w:b/>
        </w:rPr>
        <w:t>Figure S</w:t>
      </w:r>
      <w:r>
        <w:rPr>
          <w:rFonts w:ascii="Times New Roman" w:hAnsi="Times New Roman" w:cs="Times New Roman"/>
          <w:b/>
        </w:rPr>
        <w:t>16</w:t>
      </w:r>
      <w:r>
        <w:rPr>
          <w:rFonts w:ascii="Times New Roman" w:hAnsi="Times New Roman" w:cs="Times New Roman"/>
        </w:rPr>
        <w:t xml:space="preserve">. </w:t>
      </w:r>
      <w:r w:rsidRPr="00286BE0">
        <w:rPr>
          <w:rFonts w:ascii="Times New Roman" w:hAnsi="Times New Roman" w:cs="Times New Roman"/>
          <w:b/>
        </w:rPr>
        <w:t xml:space="preserve">Enrichment for dsRNA does not identify any fragments likely to be dsRNA mycoviruses. </w:t>
      </w:r>
      <w:r>
        <w:rPr>
          <w:rFonts w:ascii="Times New Roman" w:hAnsi="Times New Roman" w:cs="Times New Roman"/>
        </w:rPr>
        <w:t xml:space="preserve">Pictured on the left are RNA samples following LiCl enrichment for dsRNA run on a 1% agarose gel. Total RNA prior to dsRNA enrichment is pictured on the right on a </w:t>
      </w:r>
      <w:r w:rsidRPr="00A713C4">
        <w:rPr>
          <w:rFonts w:ascii="Times New Roman" w:hAnsi="Times New Roman" w:cs="Times New Roman"/>
        </w:rPr>
        <w:t>1</w:t>
      </w:r>
      <w:r>
        <w:rPr>
          <w:rFonts w:ascii="Times New Roman" w:hAnsi="Times New Roman" w:cs="Times New Roman"/>
        </w:rPr>
        <w:t xml:space="preserve">% agarose gel. </w:t>
      </w:r>
      <w:proofErr w:type="spellStart"/>
      <w:r w:rsidRPr="00286BE0">
        <w:rPr>
          <w:rFonts w:ascii="Times New Roman" w:hAnsi="Times New Roman" w:cs="Times New Roman"/>
          <w:i/>
        </w:rPr>
        <w:t>Ms</w:t>
      </w:r>
      <w:proofErr w:type="spellEnd"/>
      <w:r>
        <w:rPr>
          <w:rFonts w:ascii="Times New Roman" w:hAnsi="Times New Roman" w:cs="Times New Roman"/>
        </w:rPr>
        <w:t xml:space="preserve">+ is a </w:t>
      </w:r>
      <w:r w:rsidRPr="00286BE0">
        <w:rPr>
          <w:rFonts w:ascii="Times New Roman" w:hAnsi="Times New Roman" w:cs="Times New Roman"/>
          <w:i/>
        </w:rPr>
        <w:t xml:space="preserve">Malassezia </w:t>
      </w:r>
      <w:proofErr w:type="spellStart"/>
      <w:r w:rsidRPr="00286BE0">
        <w:rPr>
          <w:rFonts w:ascii="Times New Roman" w:hAnsi="Times New Roman" w:cs="Times New Roman"/>
          <w:i/>
        </w:rPr>
        <w:t>sympodialis</w:t>
      </w:r>
      <w:proofErr w:type="spellEnd"/>
      <w:r>
        <w:rPr>
          <w:rFonts w:ascii="Times New Roman" w:hAnsi="Times New Roman" w:cs="Times New Roman"/>
        </w:rPr>
        <w:t xml:space="preserve"> strain that harbors a dsRNA virus, and </w:t>
      </w:r>
      <w:proofErr w:type="spellStart"/>
      <w:r w:rsidRPr="00286BE0">
        <w:rPr>
          <w:rFonts w:ascii="Times New Roman" w:hAnsi="Times New Roman" w:cs="Times New Roman"/>
          <w:i/>
        </w:rPr>
        <w:t>Ms</w:t>
      </w:r>
      <w:proofErr w:type="spellEnd"/>
      <w:r>
        <w:rPr>
          <w:rFonts w:ascii="Times New Roman" w:hAnsi="Times New Roman" w:cs="Times New Roman"/>
        </w:rPr>
        <w:t>- is a congenic virus-cleared strain</w:t>
      </w:r>
      <w:r>
        <w:rPr>
          <w:rFonts w:ascii="Times New Roman" w:hAnsi="Times New Roman" w:cs="Times New Roman"/>
        </w:rPr>
        <w:fldChar w:fldCharType="begin" w:fldLock="1"/>
      </w:r>
      <w:r>
        <w:rPr>
          <w:rFonts w:ascii="Times New Roman" w:hAnsi="Times New Roman" w:cs="Times New Roman"/>
        </w:rPr>
        <w:instrText>ADDIN CSL_CITATION {"citationItems":[{"id":"ITEM-1","itemData":{"DOI":"10.1128/mBio.01534-20","ISSN":"21507511","PMID":"32873760","abstract":"Mycoviruses infect fungi, and while most persist asymptomatically, there are examples of mycoviruses having both beneficial and detrimental effects on their host. Virus-infected Saccharomyces and Ustilago strains exhibit a killer pheno-type conferring a growth advantage over uninfected strains and other competing yeast species, whereas hypovirus-infected Cryphonectria parasitica displays defects in growth, sporulation, and virulence. In this study, we identify a double-stranded RNA (dsRNA) mycovirus in five Malassezia species. Sequence analysis reveals it to be a to-tivirus with two dsRNA segments: a larger 4.5-kb segment with genes encoding components for viral replication and maintenance, and a smaller 1.4-kb segment encoding a novel protein. Furthermore, transcriptome sequencing (RNA-seq) of virus-infected versus virus-cured Malassezia sympodialis revealed an upregulation of dozens of ribosomal components in the cell, suggesting the virus modifies the transcriptional and translational landscapes of the cell. Given that Malassezia is the most abundant fungus on human skin, we assessed the impact of the mycovirus in a murine epicutaneous infection model. Although infection with virus-infected strains was not associated with an increased inflammatory response, we did observe enhanced skin colonization in one of two virus-infected M. sympodialis strains. Note-worthy, beta interferon expression was significantly upregulated in bone marrow-derived macrophages when challenged with virus-infected, compared to virus-cured, M. sympodialis, suggesting that the presence of the virus can induce an immunological response. Although many recent studies have illuminated how widespread myco-viruses are, there are relatively few in-depth studies about their impact on disease caused by the host fungus. We describe here a novel mycovirus in Malassezia and its possible implications in pathogenicity. IMPORTANCE Malassezia species represent the most common fungal inhabitant of the mammalian skin microbiome and are natural skin commensal flora. However, these fungi are also associated with a variety of clinical skin disorders. Recent studies have reported associations of Malassezia with Crohn’s disease and pancreatic cancer, further implicating this fungal genus in inflammatory and neoplastic disease states. Because M. sympodialis has lost genes involved in RNA interference (RNAi), we hypothesized Malassezia could harbor dsRNA mycoviruses. Indeed, we identified a novel mycov…","author":[{"dropping-particle":"","family":"Clancey","given":"Shelly Applen","non-dropping-particle":"","parse-names":false,"suffix":""},{"dropping-particle":"","family":"Ruchti","given":"Fiorella","non-dropping-particle":"","parse-names":false,"suffix":""},{"dropping-particle":"","family":"Leibundgut-Landmann","given":"Salomé","non-dropping-particle":"","parse-names":false,"suffix":""},{"dropping-particle":"","family":"Heitman","given":"Joseph","non-dropping-particle":"","parse-names":false,"suffix":""},{"dropping-particle":"","family":"Ianiri","given":"Giuseppe","non-dropping-particle":"","parse-names":false,"suffix":""}],"container-title":"mBio","id":"ITEM-1","issue":"5","issued":{"date-parts":[["2020"]]},"page":"1-18","title":"A novel mycovirus evokes transcriptional rewiring in the fungus Malassezia and stimulates beta interferon production in macrophages","type":"article-journal","volume":"11"},"uris":["http://www.mendeley.com/documents/?uuid=854455ad-f60c-437a-99f0-db0b5b63cf5b"]}],"mendeley":{"formattedCitation":"&lt;sup&gt;55&lt;/sup&gt;","plainTextFormattedCitation":"55","previouslyFormattedCitation":"&lt;sup&gt;55&lt;/sup&gt;"},"properties":{"noteIndex":0},"schema":"https://github.com/citation-style-language/schema/raw/master/csl-citation.json"}</w:instrText>
      </w:r>
      <w:r>
        <w:rPr>
          <w:rFonts w:ascii="Times New Roman" w:hAnsi="Times New Roman" w:cs="Times New Roman"/>
        </w:rPr>
        <w:fldChar w:fldCharType="separate"/>
      </w:r>
      <w:r w:rsidRPr="00EA7249">
        <w:rPr>
          <w:rFonts w:ascii="Times New Roman" w:hAnsi="Times New Roman" w:cs="Times New Roman"/>
          <w:noProof/>
          <w:vertAlign w:val="superscript"/>
        </w:rPr>
        <w:t>55</w:t>
      </w:r>
      <w:r>
        <w:rPr>
          <w:rFonts w:ascii="Times New Roman" w:hAnsi="Times New Roman" w:cs="Times New Roman"/>
        </w:rPr>
        <w:fldChar w:fldCharType="end"/>
      </w:r>
      <w:r>
        <w:rPr>
          <w:rFonts w:ascii="Times New Roman" w:hAnsi="Times New Roman" w:cs="Times New Roman"/>
          <w:color w:val="000000"/>
        </w:rPr>
        <w:t xml:space="preserve">. </w:t>
      </w:r>
      <w:r>
        <w:rPr>
          <w:rFonts w:ascii="Times New Roman" w:hAnsi="Times New Roman" w:cs="Times New Roman"/>
        </w:rPr>
        <w:t xml:space="preserve">Two biological replicates for all samples are shown and labeled (1) and (2). The </w:t>
      </w:r>
      <w:proofErr w:type="spellStart"/>
      <w:r>
        <w:rPr>
          <w:rFonts w:ascii="Times New Roman" w:hAnsi="Times New Roman" w:cs="Times New Roman"/>
        </w:rPr>
        <w:t>TriDye</w:t>
      </w:r>
      <w:proofErr w:type="spellEnd"/>
      <w:r>
        <w:rPr>
          <w:rFonts w:ascii="Times New Roman" w:hAnsi="Times New Roman" w:cs="Times New Roman"/>
        </w:rPr>
        <w:t xml:space="preserve"> 1 kb DNA ladder (NEB) was used to estimate RNA fragment sizes.</w:t>
      </w:r>
    </w:p>
    <w:p w14:paraId="21FFF75B" w14:textId="77777777" w:rsidR="00C74E5E" w:rsidRPr="006D52A2" w:rsidRDefault="00C74E5E" w:rsidP="00C74E5E">
      <w:pPr>
        <w:spacing w:line="480" w:lineRule="auto"/>
        <w:rPr>
          <w:rFonts w:ascii="Times New Roman" w:hAnsi="Times New Roman" w:cs="Times New Roman"/>
        </w:rPr>
      </w:pPr>
      <w:r>
        <w:rPr>
          <w:rFonts w:ascii="Times New Roman" w:hAnsi="Times New Roman" w:cs="Times New Roman"/>
          <w:b/>
        </w:rPr>
        <w:br w:type="page"/>
      </w:r>
    </w:p>
    <w:p w14:paraId="73C12889" w14:textId="77777777" w:rsidR="00C74E5E" w:rsidRPr="004747AB" w:rsidRDefault="00C74E5E" w:rsidP="00C74E5E">
      <w:pPr>
        <w:spacing w:line="480" w:lineRule="auto"/>
        <w:rPr>
          <w:rFonts w:ascii="Times New Roman" w:hAnsi="Times New Roman" w:cs="Times New Roman"/>
          <w:b/>
        </w:rPr>
      </w:pPr>
      <w:r w:rsidRPr="004747AB">
        <w:rPr>
          <w:rFonts w:ascii="Times New Roman" w:hAnsi="Times New Roman" w:cs="Times New Roman"/>
          <w:b/>
        </w:rPr>
        <w:lastRenderedPageBreak/>
        <w:t xml:space="preserve">Supplementary Table </w:t>
      </w:r>
      <w:r>
        <w:rPr>
          <w:rFonts w:ascii="Times New Roman" w:hAnsi="Times New Roman" w:cs="Times New Roman"/>
          <w:b/>
        </w:rPr>
        <w:t>Legends</w:t>
      </w:r>
    </w:p>
    <w:p w14:paraId="543CFEBD"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rPr>
        <w:t>Supplementary Table S1. Strains included in preliminary screen of SDC isolates for hypermutation phenotype.</w:t>
      </w:r>
    </w:p>
    <w:p w14:paraId="430572F3" w14:textId="77777777" w:rsidR="00C74E5E" w:rsidRDefault="00C74E5E" w:rsidP="00C74E5E">
      <w:pPr>
        <w:spacing w:line="480" w:lineRule="auto"/>
        <w:rPr>
          <w:rFonts w:ascii="Times New Roman" w:hAnsi="Times New Roman" w:cs="Times New Roman"/>
          <w:b/>
        </w:rPr>
      </w:pPr>
    </w:p>
    <w:p w14:paraId="4317A965"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rPr>
        <w:t>Supplementary Table S2</w:t>
      </w:r>
      <w:r w:rsidRPr="002B7DFD">
        <w:rPr>
          <w:rFonts w:ascii="Times New Roman" w:hAnsi="Times New Roman" w:cs="Times New Roman"/>
          <w:b/>
        </w:rPr>
        <w:t xml:space="preserve">. Genetic variants and predicted changes in genes within QTL between H99 and Bt65. </w:t>
      </w:r>
    </w:p>
    <w:p w14:paraId="7DCA6EB7" w14:textId="77777777" w:rsidR="00C74E5E" w:rsidRDefault="00C74E5E" w:rsidP="00C74E5E">
      <w:pPr>
        <w:spacing w:line="480" w:lineRule="auto"/>
        <w:rPr>
          <w:rFonts w:ascii="Times New Roman" w:hAnsi="Times New Roman" w:cs="Times New Roman"/>
          <w:b/>
        </w:rPr>
      </w:pPr>
    </w:p>
    <w:p w14:paraId="5A065951" w14:textId="77777777" w:rsidR="00C74E5E" w:rsidRPr="004D5CD4" w:rsidRDefault="00C74E5E" w:rsidP="00C74E5E">
      <w:pPr>
        <w:spacing w:line="480" w:lineRule="auto"/>
        <w:rPr>
          <w:rFonts w:ascii="Times New Roman" w:hAnsi="Times New Roman" w:cs="Times New Roman"/>
        </w:rPr>
      </w:pPr>
      <w:r>
        <w:rPr>
          <w:rFonts w:ascii="Times New Roman" w:hAnsi="Times New Roman" w:cs="Times New Roman"/>
          <w:b/>
        </w:rPr>
        <w:t>Supplementary Table S3. (A) Centromere lengths in H99, Bt65, Bt81, Bt89, and Bt133, and (B) one-way ANOVA and Tukey’s HSD post hoc statistical tests for differences in mean centromere length.</w:t>
      </w:r>
    </w:p>
    <w:p w14:paraId="409D5590" w14:textId="77777777" w:rsidR="00C74E5E" w:rsidRDefault="00C74E5E" w:rsidP="00C74E5E">
      <w:pPr>
        <w:spacing w:line="480" w:lineRule="auto"/>
        <w:rPr>
          <w:rFonts w:ascii="Times New Roman" w:hAnsi="Times New Roman" w:cs="Times New Roman"/>
          <w:b/>
        </w:rPr>
      </w:pPr>
    </w:p>
    <w:p w14:paraId="6EE846AF"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rPr>
        <w:t>Supplementary Table S4. sRNA analysis</w:t>
      </w:r>
    </w:p>
    <w:p w14:paraId="5FEC8B74" w14:textId="77777777" w:rsidR="00C74E5E" w:rsidRDefault="00C74E5E" w:rsidP="00C74E5E">
      <w:pPr>
        <w:spacing w:line="480" w:lineRule="auto"/>
        <w:rPr>
          <w:rFonts w:ascii="Times New Roman" w:hAnsi="Times New Roman" w:cs="Times New Roman"/>
          <w:b/>
        </w:rPr>
      </w:pPr>
    </w:p>
    <w:p w14:paraId="10AEBFEE"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rPr>
        <w:t>Supplementary Table S5. Strains used in this study.</w:t>
      </w:r>
    </w:p>
    <w:p w14:paraId="1B05B853" w14:textId="77777777" w:rsidR="00C74E5E" w:rsidRDefault="00C74E5E" w:rsidP="00C74E5E">
      <w:pPr>
        <w:spacing w:line="480" w:lineRule="auto"/>
        <w:rPr>
          <w:rFonts w:ascii="Times New Roman" w:hAnsi="Times New Roman" w:cs="Times New Roman"/>
          <w:b/>
        </w:rPr>
      </w:pPr>
    </w:p>
    <w:p w14:paraId="457CF7BB"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rPr>
        <w:t>Supplementary Table S6. Mutation rates and 95% confidence intervals for all fluctuation assays.</w:t>
      </w:r>
    </w:p>
    <w:p w14:paraId="6638A7E2" w14:textId="77777777" w:rsidR="00C74E5E" w:rsidRDefault="00C74E5E" w:rsidP="00C74E5E">
      <w:pPr>
        <w:spacing w:line="480" w:lineRule="auto"/>
        <w:rPr>
          <w:rFonts w:ascii="Times New Roman" w:hAnsi="Times New Roman" w:cs="Times New Roman"/>
          <w:b/>
        </w:rPr>
      </w:pPr>
    </w:p>
    <w:p w14:paraId="268D78F9"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rPr>
        <w:t>Supplementary Table S7. Oligonucleotides used in this study.</w:t>
      </w:r>
    </w:p>
    <w:p w14:paraId="1C66A334" w14:textId="77777777" w:rsidR="00C74E5E" w:rsidRDefault="00C74E5E" w:rsidP="00C74E5E">
      <w:pPr>
        <w:spacing w:line="480" w:lineRule="auto"/>
        <w:rPr>
          <w:rFonts w:ascii="Times New Roman" w:hAnsi="Times New Roman" w:cs="Times New Roman"/>
          <w:b/>
        </w:rPr>
      </w:pPr>
    </w:p>
    <w:p w14:paraId="288FC4F4" w14:textId="77777777" w:rsidR="00C74E5E" w:rsidRDefault="00C74E5E" w:rsidP="00C74E5E">
      <w:pPr>
        <w:spacing w:line="480" w:lineRule="auto"/>
        <w:rPr>
          <w:rFonts w:ascii="Times New Roman" w:hAnsi="Times New Roman" w:cs="Times New Roman"/>
          <w:b/>
        </w:rPr>
      </w:pPr>
      <w:r>
        <w:rPr>
          <w:rFonts w:ascii="Times New Roman" w:hAnsi="Times New Roman" w:cs="Times New Roman"/>
          <w:b/>
        </w:rPr>
        <w:t>Supplementary Table S8. Cnl1 insertion sequences in PCR products.</w:t>
      </w:r>
    </w:p>
    <w:p w14:paraId="2E838DEC" w14:textId="77777777" w:rsidR="00C74E5E" w:rsidRDefault="00C74E5E" w:rsidP="00C74E5E">
      <w:pPr>
        <w:spacing w:line="480" w:lineRule="auto"/>
        <w:rPr>
          <w:rFonts w:ascii="Times New Roman" w:hAnsi="Times New Roman" w:cs="Times New Roman"/>
          <w:b/>
        </w:rPr>
      </w:pPr>
    </w:p>
    <w:p w14:paraId="07E862F1" w14:textId="77777777" w:rsidR="00C74E5E" w:rsidRPr="006D52A2" w:rsidRDefault="00C74E5E" w:rsidP="00C74E5E">
      <w:pPr>
        <w:spacing w:line="480" w:lineRule="auto"/>
        <w:rPr>
          <w:rFonts w:ascii="Times New Roman" w:hAnsi="Times New Roman" w:cs="Times New Roman"/>
          <w:b/>
        </w:rPr>
      </w:pPr>
      <w:r w:rsidRPr="004747AB">
        <w:rPr>
          <w:rFonts w:ascii="Times New Roman" w:hAnsi="Times New Roman" w:cs="Times New Roman"/>
          <w:b/>
        </w:rPr>
        <w:t xml:space="preserve">Supplementary </w:t>
      </w:r>
      <w:r>
        <w:rPr>
          <w:rFonts w:ascii="Times New Roman" w:hAnsi="Times New Roman" w:cs="Times New Roman"/>
          <w:b/>
        </w:rPr>
        <w:t>Table S9</w:t>
      </w:r>
      <w:r w:rsidRPr="002B7DFD">
        <w:rPr>
          <w:rFonts w:ascii="Times New Roman" w:hAnsi="Times New Roman" w:cs="Times New Roman"/>
          <w:b/>
        </w:rPr>
        <w:t xml:space="preserve">. Aneuploid, diploid, </w:t>
      </w:r>
      <w:r>
        <w:rPr>
          <w:rFonts w:ascii="Times New Roman" w:hAnsi="Times New Roman" w:cs="Times New Roman"/>
          <w:b/>
        </w:rPr>
        <w:t>and</w:t>
      </w:r>
      <w:r w:rsidRPr="002B7DFD">
        <w:rPr>
          <w:rFonts w:ascii="Times New Roman" w:hAnsi="Times New Roman" w:cs="Times New Roman"/>
          <w:b/>
        </w:rPr>
        <w:t xml:space="preserve"> clonal Bt65 x H99 F</w:t>
      </w:r>
      <w:r w:rsidRPr="002B7DFD">
        <w:rPr>
          <w:rFonts w:ascii="Times New Roman" w:hAnsi="Times New Roman" w:cs="Times New Roman"/>
          <w:b/>
          <w:vertAlign w:val="subscript"/>
        </w:rPr>
        <w:t>1</w:t>
      </w:r>
      <w:r w:rsidRPr="002B7DFD">
        <w:rPr>
          <w:rFonts w:ascii="Times New Roman" w:hAnsi="Times New Roman" w:cs="Times New Roman"/>
          <w:b/>
        </w:rPr>
        <w:t xml:space="preserve"> progeny.</w:t>
      </w:r>
    </w:p>
    <w:p w14:paraId="0D3BF16C" w14:textId="77777777" w:rsidR="00C74E5E" w:rsidRDefault="00C74E5E"/>
    <w:sectPr w:rsidR="00C74E5E" w:rsidSect="00FF02C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E5E"/>
    <w:rsid w:val="00C7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72673"/>
  <w15:chartTrackingRefBased/>
  <w15:docId w15:val="{F14F7423-0078-4596-818E-73063373C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E5E"/>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C74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tiff"/><Relationship Id="rId18" Type="http://schemas.openxmlformats.org/officeDocument/2006/relationships/image" Target="media/image15.e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emf"/><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image" Target="media/image12.emf"/><Relationship Id="rId10" Type="http://schemas.openxmlformats.org/officeDocument/2006/relationships/image" Target="media/image7.tiff"/><Relationship Id="rId19" Type="http://schemas.openxmlformats.org/officeDocument/2006/relationships/image" Target="media/image16.emf"/><Relationship Id="rId4" Type="http://schemas.openxmlformats.org/officeDocument/2006/relationships/image" Target="media/image1.emf"/><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2791</Words>
  <Characters>15913</Characters>
  <Application>Microsoft Office Word</Application>
  <DocSecurity>0</DocSecurity>
  <Lines>132</Lines>
  <Paragraphs>37</Paragraphs>
  <ScaleCrop>false</ScaleCrop>
  <Company/>
  <LinksUpToDate>false</LinksUpToDate>
  <CharactersWithSpaces>18667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2021-08-20T17:51:00Z</dcterms:created>
  <dcterms:modified xsi:type="dcterms:W3CDTF">2021-08-20T17:52:00Z</dcterms:modified>
</cp:coreProperties>
</file>