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D2B4F">
      <w:pPr>
        <w:widowControl w:val="0"/>
        <w:suppressAutoHyphens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等线"/>
          <w:kern w:val="2"/>
          <w:lang w:eastAsia="zh-CN"/>
        </w:rPr>
      </w:pPr>
      <w:r>
        <w:rPr>
          <w:rFonts w:eastAsia="等线"/>
          <w:kern w:val="2"/>
          <w:lang w:eastAsia="zh-CN"/>
        </w:rPr>
        <w:t xml:space="preserve">Supplementary Material </w:t>
      </w:r>
      <w:r>
        <w:rPr>
          <w:rFonts w:hint="default" w:eastAsia="等线"/>
          <w:kern w:val="2"/>
          <w:lang w:val="en-US" w:eastAsia="zh-CN"/>
        </w:rPr>
        <w:t>S</w:t>
      </w:r>
      <w:r>
        <w:rPr>
          <w:rFonts w:eastAsia="等线"/>
          <w:kern w:val="2"/>
          <w:lang w:eastAsia="zh-CN"/>
        </w:rPr>
        <w:t>1. Comparison of Family Presence Risk-Benefit scores among emergency nurses based on demographic characteristics (n = 315)</w:t>
      </w:r>
    </w:p>
    <w:tbl>
      <w:tblPr>
        <w:tblStyle w:val="15"/>
        <w:tblW w:w="1407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12"/>
        <w:gridCol w:w="2855"/>
        <w:gridCol w:w="1714"/>
        <w:gridCol w:w="1463"/>
        <w:gridCol w:w="876"/>
        <w:gridCol w:w="950"/>
      </w:tblGrid>
      <w:tr w14:paraId="2626D295">
        <w:trPr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bottom w:val="single" w:color="auto" w:sz="6" w:space="0"/>
            </w:tcBorders>
            <w:shd w:val="clear" w:color="auto" w:fill="FFFFFF"/>
          </w:tcPr>
          <w:p w14:paraId="11B3521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Variable</w:t>
            </w:r>
          </w:p>
        </w:tc>
        <w:tc>
          <w:tcPr>
            <w:tcW w:w="1714" w:type="dxa"/>
            <w:tcBorders>
              <w:top w:val="single" w:color="auto" w:sz="4" w:space="0"/>
              <w:bottom w:val="single" w:color="auto" w:sz="6" w:space="0"/>
            </w:tcBorders>
            <w:shd w:val="clear" w:color="auto" w:fill="FFFFFF"/>
          </w:tcPr>
          <w:p w14:paraId="2760EE6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Frequency (percentage)</w:t>
            </w:r>
          </w:p>
        </w:tc>
        <w:tc>
          <w:tcPr>
            <w:tcW w:w="1463" w:type="dxa"/>
            <w:tcBorders>
              <w:top w:val="single" w:color="auto" w:sz="4" w:space="0"/>
              <w:bottom w:val="single" w:color="auto" w:sz="6" w:space="0"/>
            </w:tcBorders>
            <w:shd w:val="clear" w:color="auto" w:fill="FFFFFF"/>
          </w:tcPr>
          <w:p w14:paraId="4CA6F28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kern w:val="2"/>
                <w:sz w:val="22"/>
                <w:szCs w:val="22"/>
                <w:lang w:eastAsia="zh-CN"/>
              </w:rPr>
              <w:t>FPR-BS</w:t>
            </w:r>
          </w:p>
        </w:tc>
        <w:tc>
          <w:tcPr>
            <w:tcW w:w="876" w:type="dxa"/>
            <w:tcBorders>
              <w:top w:val="single" w:color="auto" w:sz="4" w:space="0"/>
              <w:bottom w:val="single" w:color="auto" w:sz="6" w:space="0"/>
            </w:tcBorders>
            <w:shd w:val="clear" w:color="auto" w:fill="FFFFFF"/>
          </w:tcPr>
          <w:p w14:paraId="3BB2403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i/>
                <w:color w:val="000000"/>
                <w:sz w:val="22"/>
                <w:szCs w:val="22"/>
                <w:lang w:eastAsia="zh-CN"/>
              </w:rPr>
              <w:t>t/F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6" w:space="0"/>
            </w:tcBorders>
            <w:shd w:val="clear" w:color="auto" w:fill="FFFFFF"/>
          </w:tcPr>
          <w:p w14:paraId="40555EE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i/>
                <w:color w:val="000000"/>
                <w:sz w:val="22"/>
                <w:szCs w:val="22"/>
                <w:lang w:eastAsia="zh-CN"/>
              </w:rPr>
              <w:t>p</w:t>
            </w:r>
          </w:p>
        </w:tc>
      </w:tr>
      <w:tr w14:paraId="0087ED35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A6971F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46411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Women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3CBF5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268 (85.079)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85434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2.642 ± 0.685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8739A9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-0.842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5FE86D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0.400</w:t>
            </w:r>
          </w:p>
        </w:tc>
      </w:tr>
      <w:tr w14:paraId="20AFDDE1">
        <w:trPr>
          <w:jc w:val="center"/>
        </w:trPr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79A3AA7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16CFC1D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Men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3B4C516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47 (14.921)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79DC101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2.735 ± 0.774</w:t>
            </w:r>
          </w:p>
        </w:tc>
        <w:tc>
          <w:tcPr>
            <w:tcW w:w="876" w:type="dxa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0A62589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79ED53A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7CCC7611">
        <w:trPr>
          <w:jc w:val="center"/>
        </w:trPr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15DFC5E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Age (years)</w:t>
            </w:r>
          </w:p>
        </w:tc>
        <w:tc>
          <w:tcPr>
            <w:tcW w:w="0" w:type="auto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44B7D52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18–25</w:t>
            </w:r>
          </w:p>
        </w:tc>
        <w:tc>
          <w:tcPr>
            <w:tcW w:w="1714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5B78454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33 (10.476)</w:t>
            </w:r>
          </w:p>
        </w:tc>
        <w:tc>
          <w:tcPr>
            <w:tcW w:w="1463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3005A88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2.447 ± 0.563</w:t>
            </w:r>
          </w:p>
        </w:tc>
        <w:tc>
          <w:tcPr>
            <w:tcW w:w="876" w:type="dxa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641F1BA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1.951</w:t>
            </w:r>
          </w:p>
        </w:tc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1875DDD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0.102</w:t>
            </w:r>
          </w:p>
        </w:tc>
      </w:tr>
      <w:tr w14:paraId="05EED76D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4ADA58C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8C5B4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26–30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977BB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90 (28.571)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7277D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2.715 ± 0.670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1C6C7B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08BE41C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0BE23BF4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36CB196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9B90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31–40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142A5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152 (48.254)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A84B2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2.669 ± 0.702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3E58F0F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7520F19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4E28B6E1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0122B55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9493B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41–50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F2BE2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36 (11.429)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759CC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2.567 ± 0.772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0F0C157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5D9F951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264AAE3D">
        <w:trPr>
          <w:jc w:val="center"/>
        </w:trPr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0AFCAFC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1AF132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&gt; 50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3219E9C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4 (1.270)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27293A1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3.309 ± 1.174</w:t>
            </w:r>
          </w:p>
        </w:tc>
        <w:tc>
          <w:tcPr>
            <w:tcW w:w="876" w:type="dxa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73A6B8A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5E05F9B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1E4EC1E9">
        <w:trPr>
          <w:jc w:val="center"/>
        </w:trPr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1A0B273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Educational level</w:t>
            </w:r>
          </w:p>
        </w:tc>
        <w:tc>
          <w:tcPr>
            <w:tcW w:w="0" w:type="auto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38EB2BC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Junior college</w:t>
            </w:r>
          </w:p>
        </w:tc>
        <w:tc>
          <w:tcPr>
            <w:tcW w:w="1714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30FBA59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57 (18.095)</w:t>
            </w:r>
          </w:p>
        </w:tc>
        <w:tc>
          <w:tcPr>
            <w:tcW w:w="1463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410BACE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2.589 ± 0.775</w:t>
            </w:r>
          </w:p>
        </w:tc>
        <w:tc>
          <w:tcPr>
            <w:tcW w:w="876" w:type="dxa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77F5E69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0.617</w:t>
            </w:r>
          </w:p>
        </w:tc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2F9C680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0.540</w:t>
            </w:r>
          </w:p>
        </w:tc>
      </w:tr>
      <w:tr w14:paraId="7309E821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4E71CF6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2F62E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Undergraduate course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F1739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254 (80.635)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EC022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2.666 ± 0.679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4D1B890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3463C85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31E5A09E">
        <w:trPr>
          <w:jc w:val="center"/>
        </w:trPr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5E1B261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5291DE3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Master’s degree or above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41066F8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4 (1.270)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2EF11A1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2.941 ± 0.882</w:t>
            </w:r>
          </w:p>
        </w:tc>
        <w:tc>
          <w:tcPr>
            <w:tcW w:w="876" w:type="dxa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7283610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352D9CD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4695B5F9">
        <w:trPr>
          <w:jc w:val="center"/>
        </w:trPr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514FAB0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Marital status</w:t>
            </w:r>
          </w:p>
        </w:tc>
        <w:tc>
          <w:tcPr>
            <w:tcW w:w="0" w:type="auto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78623A3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Married</w:t>
            </w:r>
          </w:p>
        </w:tc>
        <w:tc>
          <w:tcPr>
            <w:tcW w:w="1714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6B60FD3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219 (69.524)</w:t>
            </w:r>
          </w:p>
        </w:tc>
        <w:tc>
          <w:tcPr>
            <w:tcW w:w="1463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02DE222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2.675 ± 0.692</w:t>
            </w:r>
          </w:p>
        </w:tc>
        <w:tc>
          <w:tcPr>
            <w:tcW w:w="876" w:type="dxa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1ED04A6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0.305</w:t>
            </w:r>
          </w:p>
        </w:tc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37C2C89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0.737</w:t>
            </w:r>
          </w:p>
        </w:tc>
      </w:tr>
      <w:tr w14:paraId="72B09344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7872F3F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07054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Unmarried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62630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82 (26.032)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7D4B6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2.605 ± 0.662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3FC3463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4168F5F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27EB0C38">
        <w:trPr>
          <w:jc w:val="center"/>
        </w:trPr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7B0E7AA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7585637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Divorced or otherwise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1945A89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14 (4.444)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20628DE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2.643 ± 1.000</w:t>
            </w:r>
          </w:p>
        </w:tc>
        <w:tc>
          <w:tcPr>
            <w:tcW w:w="876" w:type="dxa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7FEA2B2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55869AB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6A533409">
        <w:trPr>
          <w:jc w:val="center"/>
        </w:trPr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7F4085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 xml:space="preserve">Presence of children </w:t>
            </w:r>
          </w:p>
        </w:tc>
        <w:tc>
          <w:tcPr>
            <w:tcW w:w="0" w:type="auto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695712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1714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4C5C62B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110 (34.921)</w:t>
            </w:r>
          </w:p>
        </w:tc>
        <w:tc>
          <w:tcPr>
            <w:tcW w:w="1463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0F434F0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2.644 ± 0.646</w:t>
            </w:r>
          </w:p>
        </w:tc>
        <w:tc>
          <w:tcPr>
            <w:tcW w:w="876" w:type="dxa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243BD63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-0.206</w:t>
            </w:r>
          </w:p>
        </w:tc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26962D4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0.837</w:t>
            </w:r>
          </w:p>
        </w:tc>
      </w:tr>
      <w:tr w14:paraId="60736573">
        <w:trPr>
          <w:jc w:val="center"/>
        </w:trPr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15002F2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431E155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742524C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205 (65.079)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5000203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2.661 ± 0.727</w:t>
            </w:r>
          </w:p>
        </w:tc>
        <w:tc>
          <w:tcPr>
            <w:tcW w:w="876" w:type="dxa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2FE17E1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78AEAEC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1E6DD82E">
        <w:trPr>
          <w:jc w:val="center"/>
        </w:trPr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4607DB4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Job title</w:t>
            </w:r>
          </w:p>
        </w:tc>
        <w:tc>
          <w:tcPr>
            <w:tcW w:w="0" w:type="auto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3674C96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Nurse</w:t>
            </w:r>
          </w:p>
        </w:tc>
        <w:tc>
          <w:tcPr>
            <w:tcW w:w="1714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395E4EC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31 (9.841)</w:t>
            </w:r>
          </w:p>
        </w:tc>
        <w:tc>
          <w:tcPr>
            <w:tcW w:w="1463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720004A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2.433 ± 0.613</w:t>
            </w:r>
          </w:p>
        </w:tc>
        <w:tc>
          <w:tcPr>
            <w:tcW w:w="876" w:type="dxa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05BF398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1.365</w:t>
            </w:r>
          </w:p>
        </w:tc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140EFF8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0.246</w:t>
            </w:r>
          </w:p>
        </w:tc>
      </w:tr>
      <w:tr w14:paraId="3A5F7302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770B130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E60E3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Nurse practitioner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BB6A6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133 (42.222)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EDF45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2.659 ± 0.722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5DC2ADC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109189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7FC3D549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7ACBD3C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88D1D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Supervisor nurse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E6D67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121 (38.413)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BF217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2.682 ± 0.666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7474E5C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43A082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74030101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16DA48C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27E74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Deputy chief nurse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E0132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20 (6.349)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4B141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2.656 ± 0.745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764E58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36B25F6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70B3FCE7">
        <w:trPr>
          <w:jc w:val="center"/>
        </w:trPr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324A769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6DB4D9D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Chief nurse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4E17176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10 (3.175)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66E8B64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2.976 ± 0.869</w:t>
            </w:r>
          </w:p>
        </w:tc>
        <w:tc>
          <w:tcPr>
            <w:tcW w:w="876" w:type="dxa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08A5E46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5F3789F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0562CF9C">
        <w:trPr>
          <w:jc w:val="center"/>
        </w:trPr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43FA0AA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Position</w:t>
            </w:r>
          </w:p>
        </w:tc>
        <w:tc>
          <w:tcPr>
            <w:tcW w:w="0" w:type="auto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6A776F5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Head nurse or department nurse</w:t>
            </w:r>
          </w:p>
        </w:tc>
        <w:tc>
          <w:tcPr>
            <w:tcW w:w="1714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02F6A80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46 (14.603)</w:t>
            </w:r>
          </w:p>
        </w:tc>
        <w:tc>
          <w:tcPr>
            <w:tcW w:w="1463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4B981AE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2.751 ± 0.683</w:t>
            </w:r>
          </w:p>
        </w:tc>
        <w:tc>
          <w:tcPr>
            <w:tcW w:w="876" w:type="dxa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254E243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1.781</w:t>
            </w:r>
          </w:p>
        </w:tc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41D0E15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0.165</w:t>
            </w:r>
          </w:p>
        </w:tc>
      </w:tr>
      <w:tr w14:paraId="2D138DEE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3AC33BD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DB420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None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80023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253 (80.317)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E200E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2.666 ± 0.680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4A4865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5676F7F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20EED44E">
        <w:trPr>
          <w:jc w:val="center"/>
        </w:trPr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6238BD1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35BA650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Other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4AC2C9A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16 (5.079)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2DBF257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2.710 ± 0.898</w:t>
            </w:r>
          </w:p>
        </w:tc>
        <w:tc>
          <w:tcPr>
            <w:tcW w:w="876" w:type="dxa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190E4F7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550AF89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4F96CE58">
        <w:trPr>
          <w:jc w:val="center"/>
        </w:trPr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055370F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 xml:space="preserve">Years of nursing work (including </w:t>
            </w:r>
            <w:r>
              <w:rPr>
                <w:rFonts w:eastAsia="等线" w:cs="Arial"/>
                <w:kern w:val="2"/>
                <w:sz w:val="22"/>
                <w:szCs w:val="22"/>
                <w:lang w:eastAsia="zh-CN"/>
              </w:rPr>
              <w:t>standardized training time</w:t>
            </w: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6D21187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≤ 5</w:t>
            </w:r>
          </w:p>
        </w:tc>
        <w:tc>
          <w:tcPr>
            <w:tcW w:w="1714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29B415D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77 (24.444)</w:t>
            </w:r>
          </w:p>
        </w:tc>
        <w:tc>
          <w:tcPr>
            <w:tcW w:w="1463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7CB6FB7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2.614 ± 0.664</w:t>
            </w:r>
          </w:p>
        </w:tc>
        <w:tc>
          <w:tcPr>
            <w:tcW w:w="876" w:type="dxa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12DA426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2.296</w:t>
            </w:r>
          </w:p>
        </w:tc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5A321D3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0.059*</w:t>
            </w:r>
          </w:p>
        </w:tc>
      </w:tr>
      <w:tr w14:paraId="1800BFA3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6776F53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AAF4E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6–10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81662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73 (23.175)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37ECA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2.750 ± 0.740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1D7DEB3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02B5EAE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14B73365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6FC49A6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63FEC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11–15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326D0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94 (29.841)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8CFFE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2.700 ± 0.632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2443206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3E3F128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1C962B6E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533B557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49F99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16–20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F9D7E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34 (10.794)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DC608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2.346 ± 0.676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0E7104E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20D4BE5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2C127CC5">
        <w:trPr>
          <w:jc w:val="center"/>
        </w:trPr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480CD40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2F3006A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&gt; 20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607C589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37 (11.746)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1D6042F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2.727 ± 0.813</w:t>
            </w:r>
          </w:p>
        </w:tc>
        <w:tc>
          <w:tcPr>
            <w:tcW w:w="876" w:type="dxa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10F700D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6EE6ECA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0BF2D912">
        <w:trPr>
          <w:jc w:val="center"/>
        </w:trPr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5C4955D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 xml:space="preserve">Years of working in emergency nursing </w:t>
            </w:r>
          </w:p>
        </w:tc>
        <w:tc>
          <w:tcPr>
            <w:tcW w:w="0" w:type="auto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046E6BB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≤ 5</w:t>
            </w:r>
          </w:p>
        </w:tc>
        <w:tc>
          <w:tcPr>
            <w:tcW w:w="1714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1B26890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122 (38.730)</w:t>
            </w:r>
          </w:p>
        </w:tc>
        <w:tc>
          <w:tcPr>
            <w:tcW w:w="1463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30635A3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2.313 ± 0.587</w:t>
            </w:r>
          </w:p>
        </w:tc>
        <w:tc>
          <w:tcPr>
            <w:tcW w:w="876" w:type="dxa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6E898C5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18.755</w:t>
            </w:r>
          </w:p>
        </w:tc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2DD97F3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0.000***</w:t>
            </w:r>
          </w:p>
        </w:tc>
      </w:tr>
      <w:tr w14:paraId="67EC2377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7E7E4A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095ED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6–10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881E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42 (13.333)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F47D5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2.699 ± 0.784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567905B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7BDCFD3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4126BDA9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6919747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95796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11–15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5E660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68 (21.587)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7C70E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2.733 ± 0.611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1A03683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0FC2D9B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7A52A903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0646CC1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117EE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16–20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3F36B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42 (13.333)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23FF6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2.986 ± 0.550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4709C6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5D21F22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5A09AEBE">
        <w:trPr>
          <w:jc w:val="center"/>
        </w:trPr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502ACDC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1526191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&gt; 20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719DB5F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41 (13.016)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4A599A9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3.162 ± 0.691</w:t>
            </w:r>
          </w:p>
        </w:tc>
        <w:tc>
          <w:tcPr>
            <w:tcW w:w="876" w:type="dxa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6A8B998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088E66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2EDE43E2">
        <w:trPr>
          <w:jc w:val="center"/>
        </w:trPr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40818FA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Personal monthly income (Renminbi)</w:t>
            </w:r>
          </w:p>
        </w:tc>
        <w:tc>
          <w:tcPr>
            <w:tcW w:w="0" w:type="auto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4571EC3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≤ 5,000</w:t>
            </w:r>
          </w:p>
        </w:tc>
        <w:tc>
          <w:tcPr>
            <w:tcW w:w="1714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3E7ECF7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50 (15.873)</w:t>
            </w:r>
          </w:p>
        </w:tc>
        <w:tc>
          <w:tcPr>
            <w:tcW w:w="1463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21E9125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2.431 ± 0.693</w:t>
            </w:r>
          </w:p>
        </w:tc>
        <w:tc>
          <w:tcPr>
            <w:tcW w:w="876" w:type="dxa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057284B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0.546</w:t>
            </w:r>
          </w:p>
        </w:tc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1559BE1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0.651</w:t>
            </w:r>
          </w:p>
        </w:tc>
      </w:tr>
      <w:tr w14:paraId="67DB3510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1FDF128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D6FF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5,001–10,000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020FD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205 (65.079)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26D80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2.410 ± 0.583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113ADA2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19D051B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44AEB55B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5F8F9C6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6EE87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10,001–15,000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D9E68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53 (16.825)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6E21E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2.357 ± 0.508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0616CEB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340526C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0E794F91">
        <w:trPr>
          <w:jc w:val="center"/>
        </w:trPr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7D703BF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55B8B59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&gt; 15,000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2A1B334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7 (2.222)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708BFB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2.654 ± 0.909</w:t>
            </w:r>
          </w:p>
        </w:tc>
        <w:tc>
          <w:tcPr>
            <w:tcW w:w="876" w:type="dxa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454881E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09AB5F7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4F9B2C8B">
        <w:trPr>
          <w:jc w:val="center"/>
        </w:trPr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5EEE152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Labor relations</w:t>
            </w:r>
          </w:p>
        </w:tc>
        <w:tc>
          <w:tcPr>
            <w:tcW w:w="0" w:type="auto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6EAEBB8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Officially on the list</w:t>
            </w:r>
          </w:p>
        </w:tc>
        <w:tc>
          <w:tcPr>
            <w:tcW w:w="1714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405D30F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45 (14.286)</w:t>
            </w:r>
          </w:p>
        </w:tc>
        <w:tc>
          <w:tcPr>
            <w:tcW w:w="1463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522D38F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2.736 ± 0.733</w:t>
            </w:r>
          </w:p>
        </w:tc>
        <w:tc>
          <w:tcPr>
            <w:tcW w:w="876" w:type="dxa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2BF0555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0.838</w:t>
            </w:r>
          </w:p>
        </w:tc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3E07E2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0.433</w:t>
            </w:r>
          </w:p>
        </w:tc>
      </w:tr>
      <w:tr w14:paraId="07E3EECD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0F08B24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AC293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Contract system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B5A0C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264 (83.810)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E6F4C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2.636 ± 0.699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2749262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3C4A427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173DFB75">
        <w:trPr>
          <w:jc w:val="center"/>
        </w:trPr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4E4CEAB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77D549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Other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4C7DC0E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6 (1.905)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0F5D253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2.922 ± 0.262</w:t>
            </w:r>
          </w:p>
        </w:tc>
        <w:tc>
          <w:tcPr>
            <w:tcW w:w="876" w:type="dxa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0369B90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09EAFEC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537B68E7">
        <w:trPr>
          <w:jc w:val="center"/>
        </w:trPr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3FE46A1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Hospital level</w:t>
            </w:r>
          </w:p>
        </w:tc>
        <w:tc>
          <w:tcPr>
            <w:tcW w:w="0" w:type="auto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38C6726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Third class B</w:t>
            </w:r>
          </w:p>
        </w:tc>
        <w:tc>
          <w:tcPr>
            <w:tcW w:w="1714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301FE44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31 (9.841)</w:t>
            </w:r>
          </w:p>
        </w:tc>
        <w:tc>
          <w:tcPr>
            <w:tcW w:w="1463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5284A81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2.746 ± 0.418</w:t>
            </w:r>
          </w:p>
        </w:tc>
        <w:tc>
          <w:tcPr>
            <w:tcW w:w="876" w:type="dxa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46308A3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1.602</w:t>
            </w:r>
          </w:p>
        </w:tc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4F32307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0.174</w:t>
            </w:r>
          </w:p>
        </w:tc>
      </w:tr>
      <w:tr w14:paraId="0116BF76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40744DE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DE0EB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 xml:space="preserve">Third class </w:t>
            </w:r>
            <w:r>
              <w:rPr>
                <w:rFonts w:hint="eastAsia" w:eastAsia="等线" w:cs="Arial"/>
                <w:color w:val="000000"/>
                <w:sz w:val="22"/>
                <w:szCs w:val="22"/>
                <w:lang w:eastAsia="zh-CN"/>
              </w:rPr>
              <w:t>A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E7038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269 (85.397)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7F40B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2.642 ± 0.729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72E26A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7328D8E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5FAB9CC6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60BBD0B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437EF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Second class B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6B61D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 (0.317)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94415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2.824 ± null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149BFCE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3F41F04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7B1FBE32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55AA2E9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CB69A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Second class A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A1B22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13 (4.127)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3BF40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2.833 ± 0.452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070CBDE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0EDE243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2C3105EE">
        <w:trPr>
          <w:jc w:val="center"/>
        </w:trPr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0BD0862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59B7D8C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Other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7D04ADE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 (0.317)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37913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1.118 ± null</w:t>
            </w:r>
          </w:p>
        </w:tc>
        <w:tc>
          <w:tcPr>
            <w:tcW w:w="876" w:type="dxa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57F2B29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14B9850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0F47FC92">
        <w:trPr>
          <w:jc w:val="center"/>
        </w:trPr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6FBD51A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Type of hospital</w:t>
            </w:r>
          </w:p>
        </w:tc>
        <w:tc>
          <w:tcPr>
            <w:tcW w:w="0" w:type="auto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4CF162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Specialized hospital</w:t>
            </w:r>
          </w:p>
        </w:tc>
        <w:tc>
          <w:tcPr>
            <w:tcW w:w="1714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636F1AC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20 (6.349)</w:t>
            </w:r>
          </w:p>
        </w:tc>
        <w:tc>
          <w:tcPr>
            <w:tcW w:w="1463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3862940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2.553 ± 0.423</w:t>
            </w:r>
          </w:p>
        </w:tc>
        <w:tc>
          <w:tcPr>
            <w:tcW w:w="876" w:type="dxa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38D61E5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-0.677</w:t>
            </w:r>
          </w:p>
        </w:tc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0957FB1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0.499</w:t>
            </w:r>
          </w:p>
        </w:tc>
      </w:tr>
      <w:tr w14:paraId="0E6B2677">
        <w:trPr>
          <w:jc w:val="center"/>
        </w:trPr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57B1196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402825E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General hospital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5F433CE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295 (93.651)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31843AE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2.662 ± 0.714</w:t>
            </w:r>
          </w:p>
        </w:tc>
        <w:tc>
          <w:tcPr>
            <w:tcW w:w="876" w:type="dxa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38D50A6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5FFD2B1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0FB934AF">
        <w:trPr>
          <w:jc w:val="center"/>
        </w:trPr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3FAF688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Nature of hospital management</w:t>
            </w:r>
          </w:p>
        </w:tc>
        <w:tc>
          <w:tcPr>
            <w:tcW w:w="0" w:type="auto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474A50A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Public hospital</w:t>
            </w:r>
          </w:p>
        </w:tc>
        <w:tc>
          <w:tcPr>
            <w:tcW w:w="1714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0904B3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307 (97.460)</w:t>
            </w:r>
          </w:p>
        </w:tc>
        <w:tc>
          <w:tcPr>
            <w:tcW w:w="1463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1478E56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2.667 ± 0.698</w:t>
            </w:r>
          </w:p>
        </w:tc>
        <w:tc>
          <w:tcPr>
            <w:tcW w:w="876" w:type="dxa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7D05254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1.789</w:t>
            </w:r>
          </w:p>
        </w:tc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49745A4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0.075*</w:t>
            </w:r>
          </w:p>
        </w:tc>
      </w:tr>
      <w:tr w14:paraId="471473DD">
        <w:trPr>
          <w:jc w:val="center"/>
        </w:trPr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4F26E8F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22C3A82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Private hospital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47163C3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8 (2.540)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3B10698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2.221 ± 0.636</w:t>
            </w:r>
          </w:p>
        </w:tc>
        <w:tc>
          <w:tcPr>
            <w:tcW w:w="876" w:type="dxa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7FAD94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411469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20AC771E">
        <w:trPr>
          <w:jc w:val="center"/>
        </w:trPr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76ADB0C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Nature of hospital teaching</w:t>
            </w:r>
          </w:p>
        </w:tc>
        <w:tc>
          <w:tcPr>
            <w:tcW w:w="0" w:type="auto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0064F90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Teaching hospital</w:t>
            </w:r>
          </w:p>
        </w:tc>
        <w:tc>
          <w:tcPr>
            <w:tcW w:w="1714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3CB13BF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268 (85.079)</w:t>
            </w:r>
          </w:p>
        </w:tc>
        <w:tc>
          <w:tcPr>
            <w:tcW w:w="1463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7656005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2.640 ± 0.712</w:t>
            </w:r>
          </w:p>
        </w:tc>
        <w:tc>
          <w:tcPr>
            <w:tcW w:w="876" w:type="dxa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5C59009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-0.935</w:t>
            </w:r>
          </w:p>
        </w:tc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5D79B1F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0.350</w:t>
            </w:r>
          </w:p>
        </w:tc>
      </w:tr>
      <w:tr w14:paraId="67A0F2B3">
        <w:trPr>
          <w:jc w:val="center"/>
        </w:trPr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13628A7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46661B5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Non-teaching hospital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5634CAD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47 (14.921)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4255ED2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2.743 ± 0.620</w:t>
            </w:r>
          </w:p>
        </w:tc>
        <w:tc>
          <w:tcPr>
            <w:tcW w:w="876" w:type="dxa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7577A53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0A0B1E9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14206EE5">
        <w:trPr>
          <w:jc w:val="center"/>
        </w:trPr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248B9C3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 xml:space="preserve">Number of available hospital beds </w:t>
            </w:r>
          </w:p>
        </w:tc>
        <w:tc>
          <w:tcPr>
            <w:tcW w:w="0" w:type="auto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1AF3AB2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&lt; 100</w:t>
            </w:r>
          </w:p>
        </w:tc>
        <w:tc>
          <w:tcPr>
            <w:tcW w:w="1714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10F9456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4 (1.270)</w:t>
            </w:r>
          </w:p>
        </w:tc>
        <w:tc>
          <w:tcPr>
            <w:tcW w:w="1463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45E8DC5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2.382 ± 0.948</w:t>
            </w:r>
          </w:p>
        </w:tc>
        <w:tc>
          <w:tcPr>
            <w:tcW w:w="876" w:type="dxa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1159872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0.695</w:t>
            </w:r>
          </w:p>
        </w:tc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32A236E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0.596</w:t>
            </w:r>
          </w:p>
        </w:tc>
      </w:tr>
      <w:tr w14:paraId="30036871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3B4B052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11B1B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100–499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DA84D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32 (10.159)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26955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2.676 ± 0.711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063B88F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3502304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05DEC6AA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0DCA7D9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3FADD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500–999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FDEC1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91 (28.889)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575BB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2.569 ± 0.652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236747A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4C341A3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2271C732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4E7825F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54ABF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1,000–1,999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56615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122 (38.730)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E170C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2.700 ± 0.740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5CAFFC7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66749B2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5CFECB6E">
        <w:trPr>
          <w:jc w:val="center"/>
        </w:trPr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01F3855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764EE23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≥ 2,000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4B4A78F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66 (20.952)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030F395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2.700 ± 0.668</w:t>
            </w:r>
          </w:p>
        </w:tc>
        <w:tc>
          <w:tcPr>
            <w:tcW w:w="876" w:type="dxa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7A171BB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638E166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5DCCF02C">
        <w:trPr>
          <w:jc w:val="center"/>
        </w:trPr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35CF1C8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 xml:space="preserve">Daily admissions to the hospital’s emergency department </w:t>
            </w:r>
          </w:p>
        </w:tc>
        <w:tc>
          <w:tcPr>
            <w:tcW w:w="0" w:type="auto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6585E0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&lt; 100</w:t>
            </w:r>
          </w:p>
        </w:tc>
        <w:tc>
          <w:tcPr>
            <w:tcW w:w="1714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5C0ED59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37 (11.746)</w:t>
            </w:r>
          </w:p>
        </w:tc>
        <w:tc>
          <w:tcPr>
            <w:tcW w:w="1463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4024107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2.696 ± 0.667</w:t>
            </w:r>
          </w:p>
        </w:tc>
        <w:tc>
          <w:tcPr>
            <w:tcW w:w="876" w:type="dxa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42996C1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0.292</w:t>
            </w:r>
          </w:p>
        </w:tc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12D3AE2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0.831</w:t>
            </w:r>
          </w:p>
        </w:tc>
      </w:tr>
      <w:tr w14:paraId="10047431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1A26B84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7946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100–299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9379B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161 (51.111)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B2398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2.661 ± 0.752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3556B3A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5A37214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17E22350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15EA35A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18DD7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300–499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F53F5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59 (18.730)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8B413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2.583 ± 0.565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2551FB0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551814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51B7C89E">
        <w:trPr>
          <w:jc w:val="center"/>
        </w:trPr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597161B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6DBDB4E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≥ 500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21D176C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58 (18.413)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7BC5A18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2.687 ± 0.698</w:t>
            </w:r>
          </w:p>
        </w:tc>
        <w:tc>
          <w:tcPr>
            <w:tcW w:w="876" w:type="dxa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67D39D7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3C4C2F1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4DCF2197">
        <w:trPr>
          <w:jc w:val="center"/>
        </w:trPr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12983CE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 xml:space="preserve">Total number of nursing staff in the hospital’s emergency department </w:t>
            </w:r>
          </w:p>
        </w:tc>
        <w:tc>
          <w:tcPr>
            <w:tcW w:w="0" w:type="auto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7564314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&lt; 10</w:t>
            </w:r>
          </w:p>
        </w:tc>
        <w:tc>
          <w:tcPr>
            <w:tcW w:w="1714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1FC3F4D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5 (1.587)</w:t>
            </w:r>
          </w:p>
        </w:tc>
        <w:tc>
          <w:tcPr>
            <w:tcW w:w="1463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3B95D4C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2.424 ± 0.813</w:t>
            </w:r>
          </w:p>
        </w:tc>
        <w:tc>
          <w:tcPr>
            <w:tcW w:w="876" w:type="dxa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7E10678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1.464</w:t>
            </w:r>
          </w:p>
        </w:tc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5660775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0.201</w:t>
            </w:r>
          </w:p>
        </w:tc>
      </w:tr>
      <w:tr w14:paraId="71E53986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1E4887A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88FDC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10–19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7D0C5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54 (17.143)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4F5D4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2.712 ± 0.473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04B9D69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686B27D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7FCF3810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01DCCD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C96E6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20–49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9C77B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144 (45.714)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A9E80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2.649 ± 0.752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2A37E72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3DABB86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745AFF97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4BA6B16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F186E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50–99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D2144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67 (21.270)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5FD98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2.523 ± 0.693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4628062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0881BDC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1D52A22A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620C44C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B883E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100–199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A9126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7 (2.222)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34D3D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2.571 ± 0.292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52AEA1D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10836F5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28630BF0">
        <w:trPr>
          <w:jc w:val="center"/>
        </w:trPr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0623E50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2A15E0C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≥ 200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245C5A8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38 (12.063)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060AB88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2.878 ± 0.775</w:t>
            </w:r>
          </w:p>
        </w:tc>
        <w:tc>
          <w:tcPr>
            <w:tcW w:w="876" w:type="dxa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6455DCB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4D0087B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1F1B7FB6">
        <w:trPr>
          <w:jc w:val="center"/>
        </w:trPr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7ACDC03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kern w:val="2"/>
                <w:sz w:val="22"/>
                <w:szCs w:val="22"/>
                <w:lang w:eastAsia="zh-CN"/>
              </w:rPr>
              <w:t>Holding an emergency specialist nurse certificate</w:t>
            </w:r>
          </w:p>
        </w:tc>
        <w:tc>
          <w:tcPr>
            <w:tcW w:w="0" w:type="auto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4253E98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1714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2831C68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190 (60.317)</w:t>
            </w:r>
          </w:p>
        </w:tc>
        <w:tc>
          <w:tcPr>
            <w:tcW w:w="1463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189988D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2.366 ± 0.621</w:t>
            </w:r>
          </w:p>
        </w:tc>
        <w:tc>
          <w:tcPr>
            <w:tcW w:w="876" w:type="dxa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5522DC7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-10.520</w:t>
            </w:r>
          </w:p>
        </w:tc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356FDA6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0.000****</w:t>
            </w:r>
          </w:p>
        </w:tc>
      </w:tr>
      <w:tr w14:paraId="7D9E77E5">
        <w:trPr>
          <w:jc w:val="center"/>
        </w:trPr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7CFF231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62F2D9A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199434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125 (39.683)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65B9AC1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3.095 ± 0.571</w:t>
            </w:r>
          </w:p>
        </w:tc>
        <w:tc>
          <w:tcPr>
            <w:tcW w:w="876" w:type="dxa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1F0B69C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13E61AC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39905E13">
        <w:trPr>
          <w:jc w:val="center"/>
        </w:trPr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436A751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kern w:val="2"/>
                <w:sz w:val="22"/>
                <w:szCs w:val="22"/>
                <w:lang w:eastAsia="zh-CN"/>
              </w:rPr>
              <w:t>Experience resuscitating patients</w:t>
            </w:r>
          </w:p>
        </w:tc>
        <w:tc>
          <w:tcPr>
            <w:tcW w:w="0" w:type="auto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661AD89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1714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2EF3B52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10 (3.175)</w:t>
            </w:r>
          </w:p>
        </w:tc>
        <w:tc>
          <w:tcPr>
            <w:tcW w:w="1463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567A728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2.576 ± 0.515</w:t>
            </w:r>
          </w:p>
        </w:tc>
        <w:tc>
          <w:tcPr>
            <w:tcW w:w="876" w:type="dxa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3287EC6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-0.363</w:t>
            </w:r>
          </w:p>
        </w:tc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2384D29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0.717</w:t>
            </w:r>
          </w:p>
        </w:tc>
      </w:tr>
      <w:tr w14:paraId="7DC5F399">
        <w:trPr>
          <w:jc w:val="center"/>
        </w:trPr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7275C99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2BC41C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1D92722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305 (96.825)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16319E5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2.658 ± 0.704</w:t>
            </w:r>
          </w:p>
        </w:tc>
        <w:tc>
          <w:tcPr>
            <w:tcW w:w="876" w:type="dxa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0894C34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4E1459C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51442E77">
        <w:trPr>
          <w:jc w:val="center"/>
        </w:trPr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2E1F248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kern w:val="2"/>
                <w:sz w:val="22"/>
                <w:szCs w:val="22"/>
                <w:lang w:eastAsia="zh-CN"/>
              </w:rPr>
              <w:t>Number of cardiopulmonary resuscitations performed</w:t>
            </w:r>
          </w:p>
        </w:tc>
        <w:tc>
          <w:tcPr>
            <w:tcW w:w="0" w:type="auto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7BC910E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Never have</w:t>
            </w:r>
          </w:p>
        </w:tc>
        <w:tc>
          <w:tcPr>
            <w:tcW w:w="1714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6B9A612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8 (2.540)</w:t>
            </w:r>
          </w:p>
        </w:tc>
        <w:tc>
          <w:tcPr>
            <w:tcW w:w="1463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1C8E237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2.662 ± 0.539</w:t>
            </w:r>
          </w:p>
        </w:tc>
        <w:tc>
          <w:tcPr>
            <w:tcW w:w="876" w:type="dxa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13F316F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1.408</w:t>
            </w:r>
          </w:p>
        </w:tc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6FC41AC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0.240</w:t>
            </w:r>
          </w:p>
        </w:tc>
      </w:tr>
      <w:tr w14:paraId="768D75C9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3FB773E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E65B9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1–4 times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55185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42 (13.333)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944D2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2.531 ± 0.650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6A61835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39F7E80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3D963812">
        <w:trPr>
          <w:jc w:val="center"/>
        </w:trPr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2BEC9C0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2A83B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5–10 times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0B24A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36 (11.429)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88C33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2.498 ± 0.657</w:t>
            </w:r>
          </w:p>
        </w:tc>
        <w:tc>
          <w:tcPr>
            <w:tcW w:w="876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3CB73FC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5D165A6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635C6701">
        <w:trPr>
          <w:jc w:val="center"/>
        </w:trPr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46F1D58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469A088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&gt; 10 times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1E4593A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229 (72.698)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6E3F715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2.703 ± 0.716</w:t>
            </w:r>
          </w:p>
        </w:tc>
        <w:tc>
          <w:tcPr>
            <w:tcW w:w="876" w:type="dxa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12EC35D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0AD9DF6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5ABE3B12">
        <w:trPr>
          <w:jc w:val="center"/>
        </w:trPr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6AE8837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kern w:val="2"/>
                <w:sz w:val="22"/>
                <w:szCs w:val="22"/>
                <w:lang w:eastAsia="zh-CN"/>
              </w:rPr>
              <w:t>Family members having experienced cardiopulmonary resuscitations</w:t>
            </w:r>
          </w:p>
        </w:tc>
        <w:tc>
          <w:tcPr>
            <w:tcW w:w="0" w:type="auto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7508D1A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1714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6E60216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294 (93.333)</w:t>
            </w:r>
          </w:p>
        </w:tc>
        <w:tc>
          <w:tcPr>
            <w:tcW w:w="1463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78EF352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2.657 ± 0.703</w:t>
            </w:r>
          </w:p>
        </w:tc>
        <w:tc>
          <w:tcPr>
            <w:tcW w:w="876" w:type="dxa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0BD6077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0.133</w:t>
            </w:r>
          </w:p>
        </w:tc>
        <w:tc>
          <w:tcPr>
            <w:tcW w:w="0" w:type="auto"/>
            <w:vMerge w:val="restart"/>
            <w:tcBorders>
              <w:top w:val="single" w:color="F2F2F2" w:sz="4" w:space="0"/>
              <w:left w:val="nil"/>
              <w:right w:val="nil"/>
            </w:tcBorders>
            <w:shd w:val="clear" w:color="auto" w:fill="FFFFFF"/>
          </w:tcPr>
          <w:p w14:paraId="2CE7FC1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0.894</w:t>
            </w:r>
          </w:p>
        </w:tc>
      </w:tr>
      <w:tr w14:paraId="733442F6">
        <w:trPr>
          <w:jc w:val="center"/>
        </w:trPr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4EECF70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73CDD16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39E78B6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21 (6.667)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02DAC0D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2.636 ± 0.644</w:t>
            </w:r>
          </w:p>
        </w:tc>
        <w:tc>
          <w:tcPr>
            <w:tcW w:w="876" w:type="dxa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1D23A45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F2F2F2" w:sz="4" w:space="0"/>
              <w:right w:val="nil"/>
            </w:tcBorders>
            <w:shd w:val="clear" w:color="auto" w:fill="FFFFFF"/>
          </w:tcPr>
          <w:p w14:paraId="7B652B1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1F1C04C5">
        <w:trPr>
          <w:jc w:val="center"/>
        </w:trPr>
        <w:tc>
          <w:tcPr>
            <w:tcW w:w="0" w:type="auto"/>
            <w:vMerge w:val="restart"/>
            <w:tcBorders>
              <w:top w:val="single" w:color="F2F2F2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6F9DD9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kern w:val="2"/>
                <w:sz w:val="22"/>
                <w:szCs w:val="22"/>
                <w:lang w:eastAsia="zh-CN"/>
              </w:rPr>
              <w:t>Number of times family members were invited during resuscitation</w:t>
            </w:r>
          </w:p>
        </w:tc>
        <w:tc>
          <w:tcPr>
            <w:tcW w:w="0" w:type="auto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2AB5C37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Never have</w:t>
            </w:r>
          </w:p>
        </w:tc>
        <w:tc>
          <w:tcPr>
            <w:tcW w:w="1714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1A178FA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191 (60.635)</w:t>
            </w:r>
          </w:p>
        </w:tc>
        <w:tc>
          <w:tcPr>
            <w:tcW w:w="1463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auto" w:fill="FFFFFF"/>
          </w:tcPr>
          <w:p w14:paraId="14EDFB9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2.434 ± 0.684</w:t>
            </w:r>
          </w:p>
        </w:tc>
        <w:tc>
          <w:tcPr>
            <w:tcW w:w="876" w:type="dxa"/>
            <w:vMerge w:val="restart"/>
            <w:tcBorders>
              <w:top w:val="single" w:color="F2F2F2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08D8A89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20.597</w:t>
            </w:r>
          </w:p>
        </w:tc>
        <w:tc>
          <w:tcPr>
            <w:tcW w:w="0" w:type="auto"/>
            <w:vMerge w:val="restart"/>
            <w:tcBorders>
              <w:top w:val="single" w:color="F2F2F2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AC97F0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0.000****</w:t>
            </w:r>
          </w:p>
        </w:tc>
      </w:tr>
      <w:tr w14:paraId="4EA5EDC4">
        <w:trPr>
          <w:jc w:val="center"/>
        </w:trPr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0EFB48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EDC3B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1–4 times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7AE69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73 (23.175)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EC891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2.975 ± 0.651</w:t>
            </w:r>
          </w:p>
        </w:tc>
        <w:tc>
          <w:tcPr>
            <w:tcW w:w="876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854229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EBF5ED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7B7E2246">
        <w:trPr>
          <w:jc w:val="center"/>
        </w:trPr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E9F509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</w:tcPr>
          <w:p w14:paraId="50E4A42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5–10 times</w:t>
            </w:r>
          </w:p>
        </w:tc>
        <w:tc>
          <w:tcPr>
            <w:tcW w:w="1714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6E793A9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28 (8.889)</w:t>
            </w:r>
          </w:p>
        </w:tc>
        <w:tc>
          <w:tcPr>
            <w:tcW w:w="1463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3BC979F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2.876 ± 0.344</w:t>
            </w:r>
          </w:p>
        </w:tc>
        <w:tc>
          <w:tcPr>
            <w:tcW w:w="876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B58BAB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600E5D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14:paraId="670E5C98">
        <w:trPr>
          <w:jc w:val="center"/>
        </w:trPr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0F5C7F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0056EB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&gt; 10 times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4B74C1A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23 (7.302)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9365B2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3.215 ± 0.490</w:t>
            </w:r>
          </w:p>
        </w:tc>
        <w:tc>
          <w:tcPr>
            <w:tcW w:w="876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1554543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F309D4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2D032F14">
      <w:pPr>
        <w:widowControl w:val="0"/>
        <w:suppressAutoHyphens/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both"/>
        <w:rPr>
          <w:rFonts w:eastAsia="等线" w:cs="Arial"/>
          <w:color w:val="000000"/>
          <w:sz w:val="22"/>
          <w:szCs w:val="22"/>
          <w:lang w:eastAsia="zh-CN"/>
        </w:rPr>
      </w:pPr>
      <w:r>
        <w:rPr>
          <w:rFonts w:eastAsia="等线" w:cs="Arial"/>
          <w:color w:val="000000"/>
          <w:sz w:val="22"/>
          <w:szCs w:val="22"/>
          <w:lang w:eastAsia="zh-CN"/>
        </w:rPr>
        <w:t>* </w:t>
      </w:r>
      <w:r>
        <w:rPr>
          <w:rFonts w:eastAsia="等线" w:cs="Arial"/>
          <w:i/>
          <w:color w:val="000000"/>
          <w:sz w:val="22"/>
          <w:szCs w:val="22"/>
          <w:lang w:eastAsia="zh-CN"/>
        </w:rPr>
        <w:t>p</w:t>
      </w:r>
      <w:r>
        <w:rPr>
          <w:rFonts w:eastAsia="等线" w:cs="Arial"/>
          <w:color w:val="000000"/>
          <w:sz w:val="22"/>
          <w:szCs w:val="22"/>
          <w:lang w:eastAsia="zh-CN"/>
        </w:rPr>
        <w:t xml:space="preserve"> &lt; .1, ** </w:t>
      </w:r>
      <w:r>
        <w:rPr>
          <w:rFonts w:eastAsia="等线" w:cs="Arial"/>
          <w:i/>
          <w:color w:val="000000"/>
          <w:sz w:val="22"/>
          <w:szCs w:val="22"/>
          <w:lang w:eastAsia="zh-CN"/>
        </w:rPr>
        <w:t>p</w:t>
      </w:r>
      <w:r>
        <w:rPr>
          <w:rFonts w:eastAsia="等线" w:cs="Arial"/>
          <w:color w:val="000000"/>
          <w:sz w:val="22"/>
          <w:szCs w:val="22"/>
          <w:lang w:eastAsia="zh-CN"/>
        </w:rPr>
        <w:t xml:space="preserve"> &lt; .05, *** </w:t>
      </w:r>
      <w:r>
        <w:rPr>
          <w:rFonts w:eastAsia="等线" w:cs="Arial"/>
          <w:i/>
          <w:color w:val="000000"/>
          <w:sz w:val="22"/>
          <w:szCs w:val="22"/>
          <w:lang w:eastAsia="zh-CN"/>
        </w:rPr>
        <w:t>p</w:t>
      </w:r>
      <w:r>
        <w:rPr>
          <w:rFonts w:eastAsia="等线" w:cs="Arial"/>
          <w:color w:val="000000"/>
          <w:sz w:val="22"/>
          <w:szCs w:val="22"/>
          <w:lang w:eastAsia="zh-CN"/>
        </w:rPr>
        <w:t xml:space="preserve"> &lt; .01. </w:t>
      </w:r>
    </w:p>
    <w:p w14:paraId="6E31CF68">
      <w:pPr>
        <w:widowControl w:val="0"/>
        <w:suppressAutoHyphens/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both"/>
        <w:rPr>
          <w:rFonts w:eastAsia="等线" w:cs="Arial"/>
          <w:kern w:val="2"/>
          <w:sz w:val="22"/>
          <w:szCs w:val="22"/>
          <w:lang w:eastAsia="zh-CN"/>
        </w:rPr>
        <w:sectPr>
          <w:pgSz w:w="16838" w:h="11906" w:orient="landscape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  <w:r>
        <w:rPr>
          <w:rFonts w:eastAsia="等线" w:cs="Arial"/>
          <w:color w:val="000000"/>
          <w:sz w:val="22"/>
          <w:szCs w:val="22"/>
          <w:lang w:eastAsia="zh-CN"/>
        </w:rPr>
        <w:t>Note: FPR-BS: Family Presence Risk-Benefit Scale.</w:t>
      </w:r>
    </w:p>
    <w:p w14:paraId="07EEAB04">
      <w:pPr>
        <w:widowControl w:val="0"/>
        <w:suppressAutoHyphens/>
        <w:kinsoku w:val="0"/>
        <w:overflowPunct w:val="0"/>
        <w:autoSpaceDE w:val="0"/>
        <w:autoSpaceDN w:val="0"/>
        <w:adjustRightInd w:val="0"/>
        <w:snapToGrid w:val="0"/>
        <w:rPr>
          <w:rFonts w:eastAsia="等线"/>
          <w:kern w:val="2"/>
          <w:lang w:eastAsia="zh-CN"/>
        </w:rPr>
      </w:pPr>
      <w:r>
        <w:rPr>
          <w:rFonts w:eastAsia="等线"/>
          <w:kern w:val="2"/>
          <w:lang w:eastAsia="zh-CN"/>
        </w:rPr>
        <w:t xml:space="preserve">Supplementary Material </w:t>
      </w:r>
      <w:r>
        <w:rPr>
          <w:rFonts w:hint="default" w:eastAsia="等线"/>
          <w:kern w:val="2"/>
          <w:lang w:val="en-US" w:eastAsia="zh-CN"/>
        </w:rPr>
        <w:t>S</w:t>
      </w:r>
      <w:r>
        <w:rPr>
          <w:rFonts w:eastAsia="等线"/>
          <w:kern w:val="2"/>
          <w:lang w:eastAsia="zh-CN"/>
        </w:rPr>
        <w:t>2. Family Presence Risk-Benefit scores among emergency nurses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43" w:type="dxa"/>
          <w:bottom w:w="0" w:type="dxa"/>
          <w:right w:w="43" w:type="dxa"/>
        </w:tblCellMar>
      </w:tblPr>
      <w:tblGrid>
        <w:gridCol w:w="7508"/>
        <w:gridCol w:w="1508"/>
      </w:tblGrid>
      <w:tr w14:paraId="4999214E">
        <w:trPr>
          <w:jc w:val="center"/>
        </w:trPr>
        <w:tc>
          <w:tcPr>
            <w:tcW w:w="7508" w:type="dxa"/>
            <w:shd w:val="clear" w:color="auto" w:fill="FFFFFF"/>
            <w:vAlign w:val="center"/>
          </w:tcPr>
          <w:p w14:paraId="6A23710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bookmarkStart w:id="0" w:name="_Hlk179659235"/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Item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6CB3D25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Mean ± standard deviation</w:t>
            </w:r>
          </w:p>
        </w:tc>
      </w:tr>
      <w:bookmarkEnd w:id="0"/>
      <w:tr w14:paraId="169DD7DF">
        <w:trPr>
          <w:jc w:val="center"/>
        </w:trPr>
        <w:tc>
          <w:tcPr>
            <w:tcW w:w="7508" w:type="dxa"/>
            <w:shd w:val="clear" w:color="auto" w:fill="FFFFFF"/>
            <w:vAlign w:val="center"/>
          </w:tcPr>
          <w:p w14:paraId="129F951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1. Family members should be given the option to be present when a loved one is being resuscitated.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0F2842F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2.108 ± 1.265</w:t>
            </w:r>
          </w:p>
        </w:tc>
      </w:tr>
      <w:tr w14:paraId="2A33C244">
        <w:trPr>
          <w:jc w:val="center"/>
        </w:trPr>
        <w:tc>
          <w:tcPr>
            <w:tcW w:w="7508" w:type="dxa"/>
            <w:shd w:val="clear" w:color="auto" w:fill="FFFFFF"/>
            <w:vAlign w:val="center"/>
          </w:tcPr>
          <w:p w14:paraId="406F4D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 Family members will panic when witnessing resuscitation.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08F1401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3.444 ± 1.126</w:t>
            </w:r>
          </w:p>
        </w:tc>
      </w:tr>
      <w:tr w14:paraId="6390B61F">
        <w:trPr>
          <w:jc w:val="center"/>
        </w:trPr>
        <w:tc>
          <w:tcPr>
            <w:tcW w:w="7508" w:type="dxa"/>
            <w:shd w:val="clear" w:color="auto" w:fill="FFFFFF"/>
            <w:vAlign w:val="center"/>
          </w:tcPr>
          <w:p w14:paraId="1EB0685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3. Family members will have difficulty adjusting to the long-term emotional impact of watching a resuscitation effort.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70A0CAC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3.270 ± 1.157</w:t>
            </w:r>
          </w:p>
        </w:tc>
      </w:tr>
      <w:tr w14:paraId="61AAE2C1">
        <w:trPr>
          <w:jc w:val="center"/>
        </w:trPr>
        <w:tc>
          <w:tcPr>
            <w:tcW w:w="7508" w:type="dxa"/>
            <w:shd w:val="clear" w:color="auto" w:fill="FFFFFF"/>
            <w:vAlign w:val="center"/>
          </w:tcPr>
          <w:p w14:paraId="41A79E2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4. The resuscitation team may develop closer relationships with family members who witness the efforts than with those who do not witness the efforts.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566AFE4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2.543 ± 1.123</w:t>
            </w:r>
          </w:p>
        </w:tc>
      </w:tr>
      <w:tr w14:paraId="142B26D8">
        <w:trPr>
          <w:jc w:val="center"/>
        </w:trPr>
        <w:tc>
          <w:tcPr>
            <w:tcW w:w="7508" w:type="dxa"/>
            <w:shd w:val="clear" w:color="auto" w:fill="FFFFFF"/>
            <w:vAlign w:val="center"/>
          </w:tcPr>
          <w:p w14:paraId="73C9FFF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5. I would be more anxious about doing things right if family members were present during a resuscitation effort.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276CCE1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2.514 ± 1.149</w:t>
            </w:r>
          </w:p>
        </w:tc>
      </w:tr>
      <w:tr w14:paraId="416D6326">
        <w:trPr>
          <w:jc w:val="center"/>
        </w:trPr>
        <w:tc>
          <w:tcPr>
            <w:tcW w:w="7508" w:type="dxa"/>
            <w:shd w:val="clear" w:color="auto" w:fill="FFFFFF"/>
            <w:vAlign w:val="center"/>
          </w:tcPr>
          <w:p w14:paraId="567DE1D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6. If my loved one were being resuscitated, I would want to be present in the room.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364CF55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2.413 ± 1.026</w:t>
            </w:r>
          </w:p>
        </w:tc>
      </w:tr>
      <w:tr w14:paraId="1AD288B5">
        <w:trPr>
          <w:jc w:val="center"/>
        </w:trPr>
        <w:tc>
          <w:tcPr>
            <w:tcW w:w="7508" w:type="dxa"/>
            <w:shd w:val="clear" w:color="auto" w:fill="FFFFFF"/>
            <w:vAlign w:val="center"/>
          </w:tcPr>
          <w:p w14:paraId="1C81806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7. Patients do not want family members present during a resuscitation attempt.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2F27897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2.546 ± 1.022</w:t>
            </w:r>
          </w:p>
        </w:tc>
      </w:tr>
      <w:tr w14:paraId="125D3C92">
        <w:trPr>
          <w:jc w:val="center"/>
        </w:trPr>
        <w:tc>
          <w:tcPr>
            <w:tcW w:w="7508" w:type="dxa"/>
            <w:shd w:val="clear" w:color="auto" w:fill="FFFFFF"/>
            <w:vAlign w:val="center"/>
          </w:tcPr>
          <w:p w14:paraId="19D34AB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8. The resuscitation team will try more extensive interventions if family members are present.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59E71D5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2.384 ± 1.255</w:t>
            </w:r>
          </w:p>
        </w:tc>
      </w:tr>
      <w:tr w14:paraId="2D333843">
        <w:trPr>
          <w:jc w:val="center"/>
        </w:trPr>
        <w:tc>
          <w:tcPr>
            <w:tcW w:w="7508" w:type="dxa"/>
            <w:shd w:val="clear" w:color="auto" w:fill="FFFFFF"/>
            <w:vAlign w:val="center"/>
          </w:tcPr>
          <w:p w14:paraId="1DE955B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9. Family members who witness unsuccessful resuscitation efforts will have a better grieving process.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1B8A8C4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2.194 ± 1.108</w:t>
            </w:r>
          </w:p>
        </w:tc>
      </w:tr>
      <w:tr w14:paraId="557D9CAE">
        <w:trPr>
          <w:jc w:val="center"/>
        </w:trPr>
        <w:tc>
          <w:tcPr>
            <w:tcW w:w="7508" w:type="dxa"/>
            <w:shd w:val="clear" w:color="auto" w:fill="FFFFFF"/>
            <w:vAlign w:val="center"/>
          </w:tcPr>
          <w:p w14:paraId="210220F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10. If my loved one were being resuscitated, I should be allowed to be present because I am a nurse.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69B8115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2.397 ± 1.073</w:t>
            </w:r>
          </w:p>
        </w:tc>
      </w:tr>
      <w:tr w14:paraId="7CE2948D">
        <w:trPr>
          <w:jc w:val="center"/>
        </w:trPr>
        <w:tc>
          <w:tcPr>
            <w:tcW w:w="7508" w:type="dxa"/>
            <w:shd w:val="clear" w:color="auto" w:fill="FFFFFF"/>
            <w:vAlign w:val="center"/>
          </w:tcPr>
          <w:p w14:paraId="4EF09EE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11. Family members will become disruptive if they witness resuscitation efforts.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000C8F5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3.095 ± 1.096</w:t>
            </w:r>
          </w:p>
        </w:tc>
      </w:tr>
      <w:tr w14:paraId="078E7CF3">
        <w:trPr>
          <w:jc w:val="center"/>
        </w:trPr>
        <w:tc>
          <w:tcPr>
            <w:tcW w:w="7508" w:type="dxa"/>
            <w:shd w:val="clear" w:color="auto" w:fill="FFFFFF"/>
            <w:vAlign w:val="center"/>
          </w:tcPr>
          <w:p w14:paraId="1B69D0A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12. Family members who witness a resuscitation effort are more likely to sue.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457729E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2.810 ± 1.017</w:t>
            </w:r>
          </w:p>
        </w:tc>
      </w:tr>
      <w:tr w14:paraId="0CEBCDBB">
        <w:trPr>
          <w:jc w:val="center"/>
        </w:trPr>
        <w:tc>
          <w:tcPr>
            <w:tcW w:w="7508" w:type="dxa"/>
            <w:shd w:val="clear" w:color="auto" w:fill="FFFFFF"/>
            <w:vAlign w:val="center"/>
          </w:tcPr>
          <w:p w14:paraId="005C327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13. The resuscitation team will not function as well if family members are present in the room.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6C0813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2.654 ± 1.175</w:t>
            </w:r>
          </w:p>
        </w:tc>
      </w:tr>
      <w:tr w14:paraId="34F27EBA">
        <w:trPr>
          <w:jc w:val="center"/>
        </w:trPr>
        <w:tc>
          <w:tcPr>
            <w:tcW w:w="7508" w:type="dxa"/>
            <w:shd w:val="clear" w:color="auto" w:fill="FFFFFF"/>
            <w:vAlign w:val="center"/>
          </w:tcPr>
          <w:p w14:paraId="4D403A5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14. Nurses with whom I work are not supportive of family presence during resuscitation efforts.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340B6A1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3.254 ± 0.964</w:t>
            </w:r>
          </w:p>
        </w:tc>
      </w:tr>
      <w:tr w14:paraId="6D85704B">
        <w:trPr>
          <w:jc w:val="center"/>
        </w:trPr>
        <w:tc>
          <w:tcPr>
            <w:tcW w:w="7508" w:type="dxa"/>
            <w:shd w:val="clear" w:color="auto" w:fill="FFFFFF"/>
            <w:vAlign w:val="center"/>
          </w:tcPr>
          <w:p w14:paraId="55F4752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15. Family members in the unit where I work prefer to be present in the room during resuscitation efforts.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1E3EE28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2.146 ± 0.929</w:t>
            </w:r>
          </w:p>
        </w:tc>
      </w:tr>
      <w:tr w14:paraId="01EE16E7">
        <w:trPr>
          <w:jc w:val="center"/>
        </w:trPr>
        <w:tc>
          <w:tcPr>
            <w:tcW w:w="7508" w:type="dxa"/>
            <w:shd w:val="clear" w:color="auto" w:fill="FFFFFF"/>
            <w:vAlign w:val="center"/>
          </w:tcPr>
          <w:p w14:paraId="3331D4D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 xml:space="preserve">16. </w:t>
            </w:r>
            <w:bookmarkStart w:id="1" w:name="OLE_LINK1"/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 xml:space="preserve">The presence of family members during resuscitation efforts is beneficial to </w:t>
            </w:r>
            <w:bookmarkEnd w:id="1"/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patients.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19C050F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2.063 ± 0.979</w:t>
            </w:r>
          </w:p>
        </w:tc>
      </w:tr>
      <w:tr w14:paraId="47BA7187">
        <w:trPr>
          <w:jc w:val="center"/>
        </w:trPr>
        <w:tc>
          <w:tcPr>
            <w:tcW w:w="7508" w:type="dxa"/>
            <w:shd w:val="clear" w:color="auto" w:fill="FFFFFF"/>
            <w:vAlign w:val="center"/>
          </w:tcPr>
          <w:p w14:paraId="25F15E3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 xml:space="preserve">17. </w:t>
            </w:r>
            <w:bookmarkStart w:id="2" w:name="OLE_LINK2"/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The presence of family members during resuscitation efforts is beneficial to</w:t>
            </w:r>
            <w:bookmarkEnd w:id="2"/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 xml:space="preserve"> families.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37B8CDC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2.095 ± 0.976</w:t>
            </w:r>
          </w:p>
        </w:tc>
      </w:tr>
      <w:tr w14:paraId="43528F3C">
        <w:trPr>
          <w:jc w:val="center"/>
        </w:trPr>
        <w:tc>
          <w:tcPr>
            <w:tcW w:w="7508" w:type="dxa"/>
            <w:shd w:val="clear" w:color="auto" w:fill="FFFFFF"/>
            <w:vAlign w:val="center"/>
          </w:tcPr>
          <w:p w14:paraId="56A23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18. The presence of family members during resuscitation efforts is beneficial to nurses.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273F52A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1.937 ± 1.141</w:t>
            </w:r>
          </w:p>
        </w:tc>
      </w:tr>
      <w:tr w14:paraId="2CA41655">
        <w:trPr>
          <w:jc w:val="center"/>
        </w:trPr>
        <w:tc>
          <w:tcPr>
            <w:tcW w:w="7508" w:type="dxa"/>
            <w:shd w:val="clear" w:color="auto" w:fill="FFFFFF"/>
            <w:vAlign w:val="center"/>
          </w:tcPr>
          <w:p w14:paraId="514DBDF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19. The presence of family members during resuscitation efforts is beneficial to physicians.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2E7DD6B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1.930 ± 1.115</w:t>
            </w:r>
          </w:p>
        </w:tc>
      </w:tr>
      <w:tr w14:paraId="157816B9">
        <w:trPr>
          <w:jc w:val="center"/>
        </w:trPr>
        <w:tc>
          <w:tcPr>
            <w:tcW w:w="7508" w:type="dxa"/>
            <w:shd w:val="clear" w:color="auto" w:fill="FFFFFF"/>
            <w:vAlign w:val="center"/>
          </w:tcPr>
          <w:p w14:paraId="2DF9968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20. The presence of family members during resuscitation efforts should be a component of family-centered care.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5B10256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2.159 ± 1.019</w:t>
            </w:r>
          </w:p>
        </w:tc>
      </w:tr>
      <w:tr w14:paraId="4D48091A">
        <w:trPr>
          <w:jc w:val="center"/>
        </w:trPr>
        <w:tc>
          <w:tcPr>
            <w:tcW w:w="7508" w:type="dxa"/>
            <w:shd w:val="clear" w:color="auto" w:fill="FFFFFF"/>
            <w:vAlign w:val="center"/>
          </w:tcPr>
          <w:p w14:paraId="3B0C681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21. The presence of family members during resuscitation positively affects patient ratings of satisfaction with hospital care.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6600F1C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2.117 ± 0.991</w:t>
            </w:r>
          </w:p>
        </w:tc>
      </w:tr>
      <w:tr w14:paraId="322A174B">
        <w:trPr>
          <w:jc w:val="center"/>
        </w:trPr>
        <w:tc>
          <w:tcPr>
            <w:tcW w:w="7508" w:type="dxa"/>
            <w:shd w:val="clear" w:color="auto" w:fill="FFFFFF"/>
            <w:vAlign w:val="center"/>
          </w:tcPr>
          <w:p w14:paraId="5F9211E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22. The presence of family members during resuscitation efforts positively affects family ratings of satisfaction with hospital care.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01C65EA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2.098 ± 1.009</w:t>
            </w:r>
          </w:p>
        </w:tc>
      </w:tr>
      <w:tr w14:paraId="017391DC">
        <w:trPr>
          <w:jc w:val="center"/>
        </w:trPr>
        <w:tc>
          <w:tcPr>
            <w:tcW w:w="7508" w:type="dxa"/>
            <w:shd w:val="clear" w:color="auto" w:fill="FFFFFF"/>
            <w:vAlign w:val="center"/>
          </w:tcPr>
          <w:p w14:paraId="13CC5DE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23. The presence of family members during resuscitation efforts positively affects nurse ratings of satisfaction in providing optimal patient and family care.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223C617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2.041 ± 0.985</w:t>
            </w:r>
          </w:p>
        </w:tc>
      </w:tr>
      <w:tr w14:paraId="55CBBF49">
        <w:trPr>
          <w:jc w:val="center"/>
        </w:trPr>
        <w:tc>
          <w:tcPr>
            <w:tcW w:w="7508" w:type="dxa"/>
            <w:shd w:val="clear" w:color="auto" w:fill="FFFFFF"/>
            <w:vAlign w:val="center"/>
          </w:tcPr>
          <w:p w14:paraId="49AF5BE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24. The presence of family members during resuscitation efforts positively affects physician ratings of satisfaction in providing optimal patient and family care.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67662CA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2.041 ± 0.981</w:t>
            </w:r>
          </w:p>
        </w:tc>
      </w:tr>
      <w:tr w14:paraId="1851EB10">
        <w:trPr>
          <w:jc w:val="center"/>
        </w:trPr>
        <w:tc>
          <w:tcPr>
            <w:tcW w:w="7508" w:type="dxa"/>
            <w:shd w:val="clear" w:color="auto" w:fill="FFFFFF"/>
            <w:vAlign w:val="center"/>
          </w:tcPr>
          <w:p w14:paraId="04762B57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25. The presence of family members during resuscitation efforts is a right that all patients should have.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4469579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2.219 ± 0.941</w:t>
            </w:r>
          </w:p>
        </w:tc>
      </w:tr>
      <w:tr w14:paraId="55D274B4">
        <w:trPr>
          <w:jc w:val="center"/>
        </w:trPr>
        <w:tc>
          <w:tcPr>
            <w:tcW w:w="7508" w:type="dxa"/>
            <w:shd w:val="clear" w:color="auto" w:fill="FFFFFF"/>
            <w:vAlign w:val="center"/>
          </w:tcPr>
          <w:p w14:paraId="19B388E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26. The presence of family members during resuscitation efforts is a right that all family members should have.</w:t>
            </w:r>
          </w:p>
        </w:tc>
        <w:tc>
          <w:tcPr>
            <w:tcW w:w="1508" w:type="dxa"/>
            <w:shd w:val="clear" w:color="auto" w:fill="FFFFFF"/>
            <w:vAlign w:val="center"/>
          </w:tcPr>
          <w:p w14:paraId="1798A3D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2.184 ± 0.960</w:t>
            </w:r>
          </w:p>
        </w:tc>
      </w:tr>
    </w:tbl>
    <w:p w14:paraId="05D3F210">
      <w:pPr>
        <w:snapToGrid w:val="0"/>
        <w:spacing w:line="240" w:lineRule="auto"/>
        <w:rPr>
          <w:rFonts w:eastAsia="等线"/>
          <w:kern w:val="2"/>
          <w:lang w:eastAsia="zh-CN"/>
        </w:rPr>
      </w:pPr>
    </w:p>
    <w:p w14:paraId="2EFA0D08">
      <w:pPr>
        <w:widowControl w:val="0"/>
        <w:suppressAutoHyphens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等线"/>
          <w:kern w:val="2"/>
          <w:lang w:eastAsia="zh-CN"/>
        </w:rPr>
      </w:pPr>
      <w:r>
        <w:rPr>
          <w:rFonts w:eastAsia="等线"/>
          <w:kern w:val="2"/>
          <w:lang w:eastAsia="zh-CN"/>
        </w:rPr>
        <w:t xml:space="preserve">Supplementary Material </w:t>
      </w:r>
      <w:r>
        <w:rPr>
          <w:rFonts w:hint="default" w:eastAsia="等线"/>
          <w:kern w:val="2"/>
          <w:lang w:val="en-US" w:eastAsia="zh-CN"/>
        </w:rPr>
        <w:t>S</w:t>
      </w:r>
      <w:bookmarkStart w:id="3" w:name="_GoBack"/>
      <w:bookmarkEnd w:id="3"/>
      <w:r>
        <w:rPr>
          <w:rFonts w:eastAsia="等线"/>
          <w:kern w:val="2"/>
          <w:lang w:eastAsia="zh-CN"/>
        </w:rPr>
        <w:t>3. Family Presence Self-Confidence scores among emergency nurses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43" w:type="dxa"/>
          <w:bottom w:w="0" w:type="dxa"/>
          <w:right w:w="43" w:type="dxa"/>
        </w:tblCellMar>
      </w:tblPr>
      <w:tblGrid>
        <w:gridCol w:w="7278"/>
        <w:gridCol w:w="1834"/>
      </w:tblGrid>
      <w:tr w14:paraId="6E5FD667">
        <w:trPr>
          <w:trHeight w:val="3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9D2AEB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Item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8689C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101214"/>
                <w:kern w:val="2"/>
                <w:sz w:val="22"/>
                <w:szCs w:val="22"/>
                <w:shd w:val="clear" w:color="auto" w:fill="FFFFFF"/>
                <w:lang w:eastAsia="zh-CN"/>
              </w:rPr>
              <w:t>Mean ± standard deviation</w:t>
            </w:r>
          </w:p>
        </w:tc>
      </w:tr>
      <w:tr w14:paraId="12E7EE80">
        <w:trPr>
          <w:trHeight w:val="3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DB1221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1. I could communicate with family members about the resuscitation efforts.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75526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2.616 ± 1.004</w:t>
            </w:r>
          </w:p>
        </w:tc>
      </w:tr>
      <w:tr w14:paraId="655EDD2F">
        <w:trPr>
          <w:trHeight w:val="3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6B5623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 I could administer drug therapies during resuscitation efforts with family members present.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86B1C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3.022 ± 0.976</w:t>
            </w:r>
          </w:p>
        </w:tc>
      </w:tr>
      <w:tr w14:paraId="247FCDA2">
        <w:trPr>
          <w:trHeight w:val="3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3582F4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3. I could perform electrical therapies during resuscitation efforts with family members present.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19F95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2.867 ± 1.013</w:t>
            </w:r>
          </w:p>
        </w:tc>
      </w:tr>
      <w:tr w14:paraId="6DF302F3">
        <w:trPr>
          <w:trHeight w:val="3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60094D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4. I could perform chest compressions during resuscitation efforts with family members present.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5A1560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3.054 ± 0.981</w:t>
            </w:r>
          </w:p>
        </w:tc>
      </w:tr>
      <w:tr w14:paraId="72221CD1">
        <w:trPr>
          <w:trHeight w:val="3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EC526E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5. I could communicate effectively with other health team members during resuscitation efforts with family members present.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71504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2.879 ± 1.024</w:t>
            </w:r>
          </w:p>
        </w:tc>
      </w:tr>
      <w:tr w14:paraId="3AAF231F">
        <w:trPr>
          <w:trHeight w:val="3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1B87A6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6. I could maintain the patient’s dignity during resuscitation efforts with family members present.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3BD03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2.816 ± 0.967</w:t>
            </w:r>
          </w:p>
        </w:tc>
      </w:tr>
      <w:tr w14:paraId="0FDEBBC1">
        <w:trPr>
          <w:trHeight w:val="3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BE339F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7. I could select family members who displayed appropriate coping behaviors to be present during resuscitation efforts.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34CE6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2.651 ± 0.933</w:t>
            </w:r>
          </w:p>
        </w:tc>
      </w:tr>
      <w:tr w14:paraId="357A5AB1">
        <w:trPr>
          <w:trHeight w:val="3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ED5A46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8. I could prepare family members to enter the area where the patient is being resuscitated.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1082E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2.584 ± 0.942</w:t>
            </w:r>
          </w:p>
        </w:tc>
      </w:tr>
      <w:tr w14:paraId="5EF438C6">
        <w:trPr>
          <w:trHeight w:val="3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1F6076D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9. I could enlist support from attending physicians for family presence during resuscitation efforts.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87B33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2.229 ± 0.960</w:t>
            </w:r>
          </w:p>
        </w:tc>
      </w:tr>
      <w:tr w14:paraId="5AD5D0B6">
        <w:trPr>
          <w:trHeight w:val="3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A32E94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10. I could escort family members into the room during the patient’s resuscitation.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2D4C5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2.273 ± 0.952</w:t>
            </w:r>
          </w:p>
        </w:tc>
      </w:tr>
      <w:tr w14:paraId="760099DD">
        <w:trPr>
          <w:trHeight w:val="3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7B4B7B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11. I could announce family members’ presence to the resuscitation team during resuscitation efforts.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FA0E3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2.702 ± 1.009</w:t>
            </w:r>
          </w:p>
        </w:tc>
      </w:tr>
      <w:tr w14:paraId="77EBF516">
        <w:trPr>
          <w:trHeight w:val="3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01BA87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12. I could provide psychological support to family members witnessing resuscitation.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1B071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2.549 ± 0.920</w:t>
            </w:r>
          </w:p>
        </w:tc>
      </w:tr>
      <w:tr w14:paraId="4811605A">
        <w:trPr>
          <w:trHeight w:val="3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226573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13. I could identify the spiritual and emotional needs of family members witnessing resuscitation.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ED7796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2.568 ± 0.902</w:t>
            </w:r>
          </w:p>
        </w:tc>
      </w:tr>
      <w:tr w14:paraId="01A60121">
        <w:trPr>
          <w:trHeight w:val="3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DAA32A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14. I could encourage family members to talk to the patient during resuscitation efforts.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657E2A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2.492 ± 0.972</w:t>
            </w:r>
          </w:p>
        </w:tc>
      </w:tr>
      <w:tr w14:paraId="3955822B">
        <w:trPr>
          <w:trHeight w:val="3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88609BB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15. I could delegate tasks to other nurses to support family members during resuscitation efforts.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30345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2.200 ± 1.056</w:t>
            </w:r>
          </w:p>
        </w:tc>
      </w:tr>
      <w:tr w14:paraId="0678EA20">
        <w:trPr>
          <w:trHeight w:val="3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06F6FCF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16. I could debrief family members after resuscitation.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2116E9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2.810 ± 0.893</w:t>
            </w:r>
          </w:p>
        </w:tc>
      </w:tr>
      <w:tr w14:paraId="3B5FA349">
        <w:trPr>
          <w:trHeight w:val="3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7BA7C4E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17. I could coordinate bereavement follow-up with family members after resuscitation efforts, if required.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3F9C6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等线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 w:cs="Arial"/>
                <w:color w:val="000000"/>
                <w:sz w:val="22"/>
                <w:szCs w:val="22"/>
                <w:lang w:eastAsia="zh-CN"/>
              </w:rPr>
              <w:t>2.832 ± 1.016</w:t>
            </w:r>
          </w:p>
        </w:tc>
      </w:tr>
    </w:tbl>
    <w:p w14:paraId="0E56AA93"/>
    <w:sectPr>
      <w:type w:val="continuous"/>
      <w:pgSz w:w="11906" w:h="16838"/>
      <w:pgMar w:top="1440" w:right="1440" w:bottom="1440" w:left="1440" w:header="850" w:footer="994" w:gutter="0"/>
      <w:cols w:space="425" w:num="1"/>
      <w:docGrid w:type="linesAndChar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游明朝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游明朝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游ゴシック Ligh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游明朝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trackRevision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BA"/>
    <w:rsid w:val="000B79B7"/>
    <w:rsid w:val="00123DBA"/>
    <w:rsid w:val="00151E17"/>
    <w:rsid w:val="002B3448"/>
    <w:rsid w:val="003844BC"/>
    <w:rsid w:val="004A0436"/>
    <w:rsid w:val="004D394E"/>
    <w:rsid w:val="00554551"/>
    <w:rsid w:val="006415B5"/>
    <w:rsid w:val="006D24BC"/>
    <w:rsid w:val="007C3F94"/>
    <w:rsid w:val="007E1F50"/>
    <w:rsid w:val="00946BC9"/>
    <w:rsid w:val="009A332A"/>
    <w:rsid w:val="00B56859"/>
    <w:rsid w:val="00C95506"/>
    <w:rsid w:val="00D1739E"/>
    <w:rsid w:val="00D4531B"/>
    <w:rsid w:val="00DF01FE"/>
    <w:rsid w:val="00E05479"/>
    <w:rsid w:val="00F372D1"/>
    <w:rsid w:val="367FA7F2"/>
    <w:rsid w:val="7EAB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</w:pPr>
    <w:rPr>
      <w:rFonts w:ascii="Times New Roman" w:hAnsi="Times New Roman" w:cs="Times New Roman" w:eastAsiaTheme="minorEastAsia"/>
      <w:sz w:val="24"/>
      <w:szCs w:val="24"/>
      <w:lang w:val="en-US" w:eastAsia="ja-JP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12">
    <w:name w:val="header"/>
    <w:basedOn w:val="1"/>
    <w:link w:val="35"/>
    <w:unhideWhenUsed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13">
    <w:name w:val="Subtitle"/>
    <w:basedOn w:val="1"/>
    <w:next w:val="1"/>
    <w:link w:val="27"/>
    <w:qFormat/>
    <w:uiPriority w:val="11"/>
    <w:p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Heading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Heading 3 Char"/>
    <w:basedOn w:val="16"/>
    <w:link w:val="4"/>
    <w:semiHidden/>
    <w:qFormat/>
    <w:uiPriority w:val="9"/>
    <w:rPr>
      <w:rFonts w:asciiTheme="minorHAnsi" w:hAnsiTheme="minorHAnsi"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Heading 4 Char"/>
    <w:basedOn w:val="16"/>
    <w:link w:val="5"/>
    <w:semiHidden/>
    <w:qFormat/>
    <w:uiPriority w:val="9"/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character" w:customStyle="1" w:styleId="21">
    <w:name w:val="Heading 5 Char"/>
    <w:basedOn w:val="16"/>
    <w:link w:val="6"/>
    <w:semiHidden/>
    <w:uiPriority w:val="9"/>
    <w:rPr>
      <w:rFonts w:asciiTheme="minorHAnsi" w:hAnsiTheme="minorHAnsi" w:eastAsiaTheme="majorEastAsia" w:cstheme="majorBidi"/>
      <w:color w:val="2F5597" w:themeColor="accent1" w:themeShade="BF"/>
    </w:rPr>
  </w:style>
  <w:style w:type="character" w:customStyle="1" w:styleId="22">
    <w:name w:val="Heading 6 Char"/>
    <w:basedOn w:val="16"/>
    <w:link w:val="7"/>
    <w:semiHidden/>
    <w:uiPriority w:val="9"/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6"/>
    <w:link w:val="8"/>
    <w:semiHidden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6"/>
    <w:link w:val="9"/>
    <w:semiHidden/>
    <w:uiPriority w:val="9"/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6"/>
    <w:link w:val="10"/>
    <w:semiHidden/>
    <w:uiPriority w:val="9"/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6"/>
    <w:link w:val="13"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Intense Quote Char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Header Char"/>
    <w:basedOn w:val="16"/>
    <w:link w:val="12"/>
    <w:uiPriority w:val="99"/>
  </w:style>
  <w:style w:type="character" w:customStyle="1" w:styleId="36">
    <w:name w:val="Footer Char"/>
    <w:basedOn w:val="16"/>
    <w:link w:val="11"/>
    <w:uiPriority w:val="99"/>
  </w:style>
  <w:style w:type="paragraph" w:customStyle="1" w:styleId="37">
    <w:name w:val="Revision"/>
    <w:hidden/>
    <w:semiHidden/>
    <w:uiPriority w:val="99"/>
    <w:pPr>
      <w:spacing w:line="240" w:lineRule="auto"/>
    </w:pPr>
    <w:rPr>
      <w:rFonts w:ascii="Times New Roman" w:hAnsi="Times New Roman" w:cs="Times New Roman" w:eastAsiaTheme="minorEastAsia"/>
      <w:sz w:val="24"/>
      <w:szCs w:val="24"/>
      <w:lang w:val="en-US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761</Words>
  <Characters>3670</Characters>
  <Lines>68</Lines>
  <Paragraphs>19</Paragraphs>
  <TotalTime>2</TotalTime>
  <ScaleCrop>false</ScaleCrop>
  <LinksUpToDate>false</LinksUpToDate>
  <CharactersWithSpaces>4114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2025-09-01T18:39:00Z</dcterms:created>
  <dc:creator>Author</dc:creator>
  <cp:lastModifiedBy>东东</cp:lastModifiedBy>
  <dcterms:modified xsi:type="dcterms:W3CDTF">2025-11-05T21:18:33Z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eyJoZGlkIjoiOTFjM2IwMjdlMWVjYWUxYTczMzU3NWJkNTU2NjUwMzAiLCJ1c2VySWQiOiI1ODEwNTYzNjMifQ==</vt:lpwstr>
  </property>
  <property fmtid="{D5CDD505-2E9C-101B-9397-08002B2CF9AE}" pid="3" name="KSOProductBuildVer">
    <vt:lpwstr>2052-12.1.22553.22553</vt:lpwstr>
  </property>
  <property fmtid="{D5CDD505-2E9C-101B-9397-08002B2CF9AE}" pid="4" name="ICV">
    <vt:lpwstr>128C31822EAA4AC3B1AAD44A60265A5B_12</vt:lpwstr>
  </property>
</Properties>
</file>